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0097310"/>
      <w:bookmarkStart w:id="1" w:name="_Toc399517418"/>
      <w:bookmarkStart w:id="2" w:name="_Toc387228706"/>
      <w:bookmarkStart w:id="3" w:name="_Toc388541836"/>
      <w:bookmarkStart w:id="4" w:name="_Toc387229283"/>
      <w:bookmarkStart w:id="5" w:name="_Toc388542045"/>
      <w:bookmarkStart w:id="6"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460D21E9403D4877A6159CA02B4DC663" style="width:450.35pt;height:393.95pt">
            <v:imagedata r:id="rId8" o:title=""/>
          </v:shape>
        </w:pict>
      </w:r>
    </w:p>
    <w:bookmarkEnd w:id="6"/>
    <w:p>
      <w:pPr>
        <w:rPr>
          <w:rFonts w:ascii="Times New Roman" w:hAnsi="Times New Roman" w:cs="Times New Roman"/>
          <w:noProof/>
        </w:rPr>
        <w:sectPr>
          <w:headerReference w:type="even" r:id="rId9"/>
          <w:headerReference w:type="default" r:id="rId10"/>
          <w:footerReference w:type="even" r:id="rId11"/>
          <w:footerReference w:type="default" r:id="rId12"/>
          <w:headerReference w:type="first" r:id="rId13"/>
          <w:footerReference w:type="first" r:id="rId14"/>
          <w:pgSz w:w="11906" w:h="16838" w:code="9"/>
          <w:pgMar w:top="1134" w:right="1417" w:bottom="1134" w:left="1417" w:header="709" w:footer="709" w:gutter="0"/>
          <w:pgNumType w:start="0"/>
          <w:cols w:space="720"/>
          <w:docGrid w:linePitch="360"/>
        </w:sectPr>
      </w:pPr>
    </w:p>
    <w:p>
      <w:pPr>
        <w:pStyle w:val="Subtitle"/>
        <w:spacing w:before="0" w:after="240"/>
        <w:rPr>
          <w:noProof/>
          <w:sz w:val="22"/>
          <w:szCs w:val="22"/>
        </w:rPr>
      </w:pPr>
      <w:bookmarkStart w:id="7" w:name="_GoBack"/>
      <w:bookmarkEnd w:id="7"/>
      <w:r>
        <w:rPr>
          <w:noProof/>
          <w:sz w:val="22"/>
        </w:rPr>
        <w:lastRenderedPageBreak/>
        <w:t>ANNEXE</w:t>
      </w:r>
      <w:bookmarkEnd w:id="0"/>
    </w:p>
    <w:p>
      <w:pPr>
        <w:spacing w:after="240"/>
        <w:jc w:val="both"/>
        <w:rPr>
          <w:rFonts w:ascii="Times New Roman" w:hAnsi="Times New Roman" w:cs="Times New Roman"/>
          <w:noProof/>
        </w:rPr>
      </w:pPr>
      <w:r>
        <w:rPr>
          <w:rFonts w:ascii="Times New Roman" w:hAnsi="Times New Roman"/>
          <w:noProof/>
        </w:rPr>
        <w:t>Les fiches ci-après résument, pour chaque instrument, les informations disponibles au 31 décembre 2014 concernant chacun des 12 points stipulés par l’article 140, paragraphe 8, du règlement financier. Des informations plus détaillées figurent dans le document de travail.</w:t>
      </w:r>
    </w:p>
    <w:p>
      <w:pPr>
        <w:spacing w:after="240"/>
        <w:jc w:val="both"/>
        <w:rPr>
          <w:rFonts w:ascii="Times New Roman" w:hAnsi="Times New Roman" w:cs="Times New Roman"/>
          <w:noProof/>
        </w:rPr>
      </w:pPr>
      <w:r>
        <w:rPr>
          <w:rFonts w:ascii="Times New Roman" w:hAnsi="Times New Roman"/>
          <w:noProof/>
        </w:rPr>
        <w:t xml:space="preserve">Il convient de noter que, bien que le point k) de l’article 140, paragraphe 8, exige d’indiquer à la fois l'effet de levier </w:t>
      </w:r>
      <w:r>
        <w:rPr>
          <w:rFonts w:ascii="Times New Roman" w:hAnsi="Times New Roman"/>
          <w:i/>
          <w:noProof/>
        </w:rPr>
        <w:t>visé</w:t>
      </w:r>
      <w:r>
        <w:rPr>
          <w:rFonts w:ascii="Times New Roman" w:hAnsi="Times New Roman"/>
          <w:noProof/>
        </w:rPr>
        <w:t xml:space="preserve"> et l'effet de levier </w:t>
      </w:r>
      <w:r>
        <w:rPr>
          <w:rFonts w:ascii="Times New Roman" w:hAnsi="Times New Roman"/>
          <w:i/>
          <w:noProof/>
        </w:rPr>
        <w:t>atteint</w:t>
      </w:r>
      <w:r>
        <w:rPr>
          <w:rFonts w:ascii="Times New Roman" w:hAnsi="Times New Roman"/>
          <w:noProof/>
        </w:rPr>
        <w:t xml:space="preserve">, aucun </w:t>
      </w:r>
      <w:r>
        <w:rPr>
          <w:rFonts w:ascii="Times New Roman" w:hAnsi="Times New Roman"/>
          <w:i/>
          <w:noProof/>
        </w:rPr>
        <w:t>objectif</w:t>
      </w:r>
      <w:r>
        <w:rPr>
          <w:rFonts w:ascii="Times New Roman" w:hAnsi="Times New Roman"/>
          <w:noProof/>
        </w:rPr>
        <w:t xml:space="preserve"> n’a été fixé pour la plupart des instruments financiers de la période 2007-2013 en ce qui concerne l'effet de levier. Les informations portent donc uniquement sur l'effet de levier </w:t>
      </w:r>
      <w:r>
        <w:rPr>
          <w:rFonts w:ascii="Times New Roman" w:hAnsi="Times New Roman"/>
          <w:i/>
          <w:noProof/>
        </w:rPr>
        <w:t>atteint</w:t>
      </w:r>
      <w:r>
        <w:rPr>
          <w:rFonts w:ascii="Times New Roman" w:hAnsi="Times New Roman"/>
          <w:noProof/>
        </w:rPr>
        <w:t>, dont le calcul est décrit dans la section correspondante du document de travail</w:t>
      </w:r>
      <w:r>
        <w:rPr>
          <w:rStyle w:val="FootnoteReference"/>
          <w:rFonts w:ascii="Times New Roman" w:hAnsi="Times New Roman"/>
          <w:noProof/>
        </w:rPr>
        <w:footnoteReference w:id="1"/>
      </w:r>
      <w:r>
        <w:rPr>
          <w:noProof/>
        </w:rPr>
        <w:t>.</w:t>
      </w:r>
      <w:r>
        <w:rPr>
          <w:rFonts w:ascii="Times New Roman" w:hAnsi="Times New Roman"/>
          <w:noProof/>
        </w:rPr>
        <w:t xml:space="preserve"> À ce stade, ce calcul n'est pas encore définitif dans de nombreux cas, le nombre des bénéficiaires finaux continuant d’augmenter. Pour les nouveaux instruments dont la mise en œuvre vient de commencer, les fiches indiquent un effet de levier </w:t>
      </w:r>
      <w:r>
        <w:rPr>
          <w:rFonts w:ascii="Times New Roman" w:hAnsi="Times New Roman"/>
          <w:i/>
          <w:noProof/>
        </w:rPr>
        <w:t>attendu</w:t>
      </w:r>
      <w:r>
        <w:rPr>
          <w:rFonts w:ascii="Times New Roman" w:hAnsi="Times New Roman"/>
          <w:noProof/>
        </w:rPr>
        <w:t>, qui repose sur le montant de financement destiné aux bénéficiaires finaux éligibles censé résulter des opérations que l’entité chargée de l’exécution a déjà signées avec des intermédiaires financiers (ou des bénéficiaires finaux).</w:t>
      </w:r>
    </w:p>
    <w:p>
      <w:pPr>
        <w:spacing w:after="0"/>
        <w:jc w:val="both"/>
        <w:rPr>
          <w:rFonts w:ascii="Times New Roman" w:hAnsi="Times New Roman" w:cs="Times New Roman"/>
          <w:noProof/>
        </w:rPr>
      </w:pPr>
      <w:r>
        <w:rPr>
          <w:noProof/>
        </w:rPr>
        <w:br w:type="page"/>
      </w:r>
    </w:p>
    <w:p>
      <w:pPr>
        <w:pStyle w:val="Heading4"/>
        <w:spacing w:before="0" w:after="240"/>
        <w:ind w:left="357" w:hanging="357"/>
        <w:rPr>
          <w:noProof/>
          <w:sz w:val="22"/>
          <w:szCs w:val="22"/>
        </w:rPr>
      </w:pPr>
      <w:r>
        <w:rPr>
          <w:noProof/>
          <w:sz w:val="22"/>
        </w:rPr>
        <w:t>Instruments de capitaux propres</w:t>
      </w:r>
      <w:bookmarkEnd w:id="1"/>
    </w:p>
    <w:tbl>
      <w:tblPr>
        <w:tblW w:w="4942" w:type="pct"/>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580"/>
        <w:gridCol w:w="3340"/>
        <w:gridCol w:w="3260"/>
      </w:tblGrid>
      <w:tr>
        <w:tc>
          <w:tcPr>
            <w:tcW w:w="2580" w:type="dxa"/>
            <w:tcBorders>
              <w:top w:val="single" w:sz="8" w:space="0" w:color="7BA0CD"/>
              <w:left w:val="single" w:sz="8" w:space="0" w:color="7BA0CD"/>
              <w:bottom w:val="single" w:sz="8" w:space="0" w:color="7BA0CD"/>
            </w:tcBorders>
            <w:shd w:val="clear" w:color="auto" w:fill="4F81BD"/>
          </w:tcPr>
          <w:p>
            <w:pPr>
              <w:rPr>
                <w:rFonts w:ascii="Times New Roman" w:hAnsi="Times New Roman" w:cs="Times New Roman"/>
                <w:b/>
                <w:bCs/>
                <w:noProof/>
                <w:color w:val="FFFFFF"/>
              </w:rPr>
            </w:pPr>
          </w:p>
        </w:tc>
        <w:tc>
          <w:tcPr>
            <w:tcW w:w="3340" w:type="dxa"/>
            <w:tcBorders>
              <w:top w:val="single" w:sz="8" w:space="0" w:color="7BA0CD"/>
              <w:bottom w:val="single" w:sz="8" w:space="0" w:color="7BA0CD"/>
            </w:tcBorders>
            <w:shd w:val="clear" w:color="auto" w:fill="4F81BD"/>
          </w:tcPr>
          <w:p>
            <w:pPr>
              <w:jc w:val="center"/>
              <w:rPr>
                <w:rFonts w:ascii="Times New Roman" w:eastAsia="Times New Roman" w:hAnsi="Times New Roman" w:cs="Times New Roman"/>
                <w:b/>
                <w:bCs/>
                <w:noProof/>
                <w:color w:val="FFFFFF"/>
              </w:rPr>
            </w:pPr>
            <w:r>
              <w:rPr>
                <w:rFonts w:ascii="Times New Roman" w:hAnsi="Times New Roman"/>
                <w:b/>
                <w:noProof/>
                <w:color w:val="FFFFFF"/>
              </w:rPr>
              <w:t>Mécanisme en faveur des PME innovantes et à forte croissance au titre du PIC —</w:t>
            </w:r>
          </w:p>
          <w:p>
            <w:pPr>
              <w:jc w:val="center"/>
              <w:rPr>
                <w:rFonts w:ascii="Times New Roman" w:hAnsi="Times New Roman" w:cs="Times New Roman"/>
                <w:b/>
                <w:bCs/>
                <w:noProof/>
                <w:color w:val="FFFFFF"/>
              </w:rPr>
            </w:pPr>
            <w:r>
              <w:rPr>
                <w:rFonts w:ascii="Times New Roman" w:hAnsi="Times New Roman"/>
                <w:b/>
                <w:noProof/>
                <w:color w:val="FFFFFF"/>
              </w:rPr>
              <w:t>MIC (point 1.1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responsables:</w:t>
            </w:r>
          </w:p>
          <w:p>
            <w:pPr>
              <w:jc w:val="center"/>
              <w:rPr>
                <w:rFonts w:ascii="Times New Roman" w:hAnsi="Times New Roman" w:cs="Times New Roman"/>
                <w:b/>
                <w:bCs/>
                <w:noProof/>
                <w:color w:val="FFFFFF"/>
              </w:rPr>
            </w:pPr>
            <w:r>
              <w:rPr>
                <w:rFonts w:ascii="Times New Roman" w:hAnsi="Times New Roman"/>
                <w:b/>
                <w:noProof/>
                <w:color w:val="FFFFFF"/>
              </w:rPr>
              <w:t>GROW et ECFIN</w:t>
            </w:r>
          </w:p>
        </w:tc>
        <w:tc>
          <w:tcPr>
            <w:tcW w:w="3260" w:type="dxa"/>
            <w:tcBorders>
              <w:top w:val="single" w:sz="8" w:space="0" w:color="7BA0CD"/>
              <w:bottom w:val="single" w:sz="8" w:space="0" w:color="7BA0CD"/>
              <w:right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b/>
                <w:noProof/>
                <w:color w:val="FFFFFF"/>
              </w:rPr>
              <w:t>Facilité «capital-risque» pour la croissance au titre du programme COSME —</w:t>
            </w:r>
          </w:p>
          <w:p>
            <w:pPr>
              <w:jc w:val="center"/>
              <w:rPr>
                <w:rFonts w:ascii="Times New Roman" w:hAnsi="Times New Roman" w:cs="Times New Roman"/>
                <w:b/>
                <w:bCs/>
                <w:noProof/>
                <w:color w:val="FFFFFF"/>
              </w:rPr>
            </w:pPr>
            <w:r>
              <w:rPr>
                <w:rFonts w:ascii="Times New Roman" w:hAnsi="Times New Roman"/>
                <w:b/>
                <w:noProof/>
                <w:color w:val="FFFFFF"/>
              </w:rPr>
              <w:t>EFG (point 1.2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GROW</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3340" w:type="dxa"/>
            <w:shd w:val="clear" w:color="auto" w:fill="D3DFEE"/>
          </w:tcPr>
          <w:p>
            <w:pPr>
              <w:jc w:val="center"/>
              <w:rPr>
                <w:rFonts w:ascii="Times New Roman" w:hAnsi="Times New Roman" w:cs="Times New Roman"/>
                <w:noProof/>
              </w:rPr>
            </w:pPr>
            <w:r>
              <w:rPr>
                <w:rFonts w:ascii="Times New Roman" w:hAnsi="Times New Roman"/>
                <w:noProof/>
              </w:rPr>
              <w:t>Décision n° 1639/2006/CE</w:t>
            </w:r>
          </w:p>
        </w:tc>
        <w:tc>
          <w:tcPr>
            <w:tcW w:w="3260" w:type="dxa"/>
            <w:shd w:val="clear" w:color="auto" w:fill="D3DFEE"/>
          </w:tcPr>
          <w:p>
            <w:pPr>
              <w:spacing w:after="120" w:line="240" w:lineRule="auto"/>
              <w:jc w:val="center"/>
              <w:rPr>
                <w:rFonts w:ascii="Times New Roman" w:hAnsi="Times New Roman" w:cs="Times New Roman"/>
                <w:noProof/>
              </w:rPr>
            </w:pPr>
            <w:r>
              <w:rPr>
                <w:rFonts w:ascii="Times New Roman" w:hAnsi="Times New Roman"/>
                <w:noProof/>
              </w:rPr>
              <w:t>Règlement (UE) n° 1287/2013</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3340" w:type="dxa"/>
            <w:tcBorders>
              <w:left w:val="nil"/>
              <w:right w:val="nil"/>
            </w:tcBorders>
            <w:shd w:val="clear" w:color="auto" w:fill="auto"/>
          </w:tcPr>
          <w:p>
            <w:pPr>
              <w:spacing w:before="30" w:after="30"/>
              <w:jc w:val="both"/>
              <w:rPr>
                <w:rFonts w:ascii="Times New Roman" w:eastAsia="Times New Roman" w:hAnsi="Times New Roman" w:cs="Times New Roman"/>
                <w:noProof/>
              </w:rPr>
            </w:pPr>
            <w:r>
              <w:rPr>
                <w:rFonts w:ascii="Times New Roman" w:hAnsi="Times New Roman"/>
                <w:noProof/>
              </w:rPr>
              <w:t>Instrument visant à augmenter l’apport de capitaux propres aux PME innovantes en phase de démarrage ou d’expansion</w:t>
            </w:r>
          </w:p>
        </w:tc>
        <w:tc>
          <w:tcPr>
            <w:tcW w:w="3260" w:type="dxa"/>
            <w:tcBorders>
              <w:left w:val="nil"/>
            </w:tcBorders>
            <w:shd w:val="clear" w:color="auto" w:fill="auto"/>
          </w:tcPr>
          <w:p>
            <w:pPr>
              <w:spacing w:after="120" w:line="240" w:lineRule="auto"/>
              <w:jc w:val="both"/>
              <w:rPr>
                <w:rFonts w:ascii="Times New Roman" w:hAnsi="Times New Roman" w:cs="Times New Roman"/>
                <w:noProof/>
              </w:rPr>
            </w:pPr>
            <w:r>
              <w:rPr>
                <w:rFonts w:ascii="Times New Roman" w:hAnsi="Times New Roman"/>
                <w:noProof/>
              </w:rPr>
              <w:t>Instrument fournissant du capital-risque et des financements mezzanine aux PME en phase d’expansion et de croissance</w:t>
            </w:r>
          </w:p>
        </w:tc>
      </w:tr>
      <w:tr>
        <w:trPr>
          <w:trHeight w:val="543"/>
        </w:trP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3340" w:type="dxa"/>
            <w:shd w:val="clear" w:color="auto" w:fill="D3DFEE"/>
          </w:tcPr>
          <w:p>
            <w:pPr>
              <w:jc w:val="center"/>
              <w:rPr>
                <w:rFonts w:ascii="Times New Roman" w:eastAsia="Times New Roman" w:hAnsi="Times New Roman" w:cs="Times New Roman"/>
                <w:noProof/>
              </w:rPr>
            </w:pPr>
            <w:r>
              <w:rPr>
                <w:rFonts w:ascii="Times New Roman" w:hAnsi="Times New Roman"/>
                <w:noProof/>
              </w:rPr>
              <w:t>FEI</w:t>
            </w:r>
          </w:p>
        </w:tc>
        <w:tc>
          <w:tcPr>
            <w:tcW w:w="3260" w:type="dxa"/>
            <w:shd w:val="clear" w:color="auto" w:fill="D3DFEE"/>
          </w:tcPr>
          <w:p>
            <w:pPr>
              <w:jc w:val="center"/>
              <w:rPr>
                <w:rFonts w:ascii="Times New Roman" w:hAnsi="Times New Roman" w:cs="Times New Roman"/>
                <w:noProof/>
              </w:rPr>
            </w:pPr>
            <w:r>
              <w:rPr>
                <w:rFonts w:ascii="Times New Roman" w:hAnsi="Times New Roman"/>
                <w:noProof/>
              </w:rPr>
              <w:t>FEI</w:t>
            </w:r>
          </w:p>
        </w:tc>
      </w:tr>
      <w:tr>
        <w:trPr>
          <w:trHeight w:val="903"/>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noProof/>
              </w:rPr>
              <w:t>625,2 Mio EUR</w:t>
            </w:r>
          </w:p>
          <w:p>
            <w:pPr>
              <w:jc w:val="center"/>
              <w:rPr>
                <w:rFonts w:ascii="Times New Roman" w:hAnsi="Times New Roman" w:cs="Times New Roman"/>
                <w:noProof/>
              </w:rPr>
            </w:pPr>
            <w:r>
              <w:rPr>
                <w:rFonts w:ascii="Times New Roman" w:hAnsi="Times New Roman"/>
                <w:noProof/>
              </w:rPr>
              <w:t>358,0 Mio EUR</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noProof/>
              </w:rPr>
              <w:t>51,7 Mio EUR</w:t>
            </w:r>
          </w:p>
          <w:p>
            <w:pPr>
              <w:jc w:val="center"/>
              <w:rPr>
                <w:rFonts w:ascii="Times New Roman" w:hAnsi="Times New Roman" w:cs="Times New Roman"/>
                <w:noProof/>
              </w:rPr>
            </w:pPr>
            <w:r>
              <w:rPr>
                <w:rFonts w:ascii="Times New Roman" w:hAnsi="Times New Roman"/>
                <w:noProof/>
              </w:rPr>
              <w:t>32,5 Mio EUR</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3340" w:type="dxa"/>
            <w:shd w:val="clear" w:color="auto" w:fill="D3DFEE"/>
          </w:tcPr>
          <w:p>
            <w:pPr>
              <w:jc w:val="center"/>
              <w:rPr>
                <w:rFonts w:ascii="Times New Roman" w:hAnsi="Times New Roman" w:cs="Times New Roman"/>
                <w:noProof/>
              </w:rPr>
            </w:pPr>
            <w:r>
              <w:rPr>
                <w:rFonts w:ascii="Times New Roman" w:hAnsi="Times New Roman"/>
                <w:noProof/>
              </w:rPr>
              <w:t>43 accords signés avec des fonds de capital-risque, dont ont bénéficié 371 PME éligibles</w:t>
            </w:r>
          </w:p>
        </w:tc>
        <w:tc>
          <w:tcPr>
            <w:tcW w:w="3260" w:type="dxa"/>
            <w:shd w:val="clear" w:color="auto" w:fill="D3DFEE"/>
          </w:tcPr>
          <w:p>
            <w:pPr>
              <w:spacing w:after="120"/>
              <w:jc w:val="center"/>
              <w:rPr>
                <w:rFonts w:ascii="Times New Roman" w:hAnsi="Times New Roman" w:cs="Times New Roman"/>
                <w:noProof/>
              </w:rPr>
            </w:pPr>
            <w:r>
              <w:rPr>
                <w:rFonts w:ascii="Times New Roman" w:hAnsi="Times New Roman"/>
                <w:noProof/>
              </w:rPr>
              <w:t xml:space="preserve">Sans objet </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noProof/>
              </w:rPr>
              <w:t>Plus de 90 %</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noProof/>
              </w:rPr>
              <w:t>Sans objet</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3340" w:type="dxa"/>
            <w:shd w:val="clear" w:color="auto" w:fill="D3DFEE"/>
          </w:tcPr>
          <w:p>
            <w:pPr>
              <w:jc w:val="center"/>
              <w:rPr>
                <w:rFonts w:ascii="Times New Roman" w:hAnsi="Times New Roman" w:cs="Times New Roman"/>
                <w:noProof/>
              </w:rPr>
            </w:pPr>
            <w:r>
              <w:rPr>
                <w:rFonts w:ascii="Times New Roman" w:hAnsi="Times New Roman"/>
                <w:noProof/>
              </w:rPr>
              <w:t>81,6 Mio EUR</w:t>
            </w:r>
          </w:p>
        </w:tc>
        <w:tc>
          <w:tcPr>
            <w:tcW w:w="3260" w:type="dxa"/>
            <w:shd w:val="clear" w:color="auto" w:fill="D3DFEE"/>
          </w:tcPr>
          <w:p>
            <w:pPr>
              <w:jc w:val="center"/>
              <w:rPr>
                <w:rFonts w:ascii="Times New Roman" w:hAnsi="Times New Roman" w:cs="Times New Roman"/>
                <w:noProof/>
              </w:rPr>
            </w:pPr>
            <w:r>
              <w:rPr>
                <w:rFonts w:ascii="Times New Roman" w:hAnsi="Times New Roman"/>
                <w:noProof/>
              </w:rPr>
              <w:t>31,1 Mio EUR</w:t>
            </w:r>
          </w:p>
        </w:tc>
      </w:tr>
      <w:tr>
        <w:trPr>
          <w:trHeight w:val="663"/>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noProof/>
              </w:rPr>
              <w:t>Recettes: 19,5 Mio EUR</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noProof/>
              </w:rPr>
              <w:t>Sans objet</w:t>
            </w:r>
          </w:p>
        </w:tc>
      </w:tr>
      <w:t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3340" w:type="dxa"/>
            <w:shd w:val="clear" w:color="auto" w:fill="D3DFEE"/>
          </w:tcPr>
          <w:p>
            <w:pPr>
              <w:jc w:val="center"/>
              <w:rPr>
                <w:rFonts w:ascii="Times New Roman" w:hAnsi="Times New Roman" w:cs="Times New Roman"/>
                <w:noProof/>
              </w:rPr>
            </w:pPr>
            <w:r>
              <w:rPr>
                <w:rFonts w:ascii="Times New Roman" w:hAnsi="Times New Roman"/>
                <w:noProof/>
              </w:rPr>
              <w:t>241,5 Mio EUR</w:t>
            </w:r>
          </w:p>
        </w:tc>
        <w:tc>
          <w:tcPr>
            <w:tcW w:w="3260" w:type="dxa"/>
            <w:shd w:val="clear" w:color="auto" w:fill="D3DFEE"/>
          </w:tcPr>
          <w:p>
            <w:pPr>
              <w:jc w:val="center"/>
              <w:rPr>
                <w:rFonts w:ascii="Times New Roman" w:hAnsi="Times New Roman" w:cs="Times New Roman"/>
                <w:noProof/>
              </w:rPr>
            </w:pPr>
            <w:r>
              <w:rPr>
                <w:rFonts w:ascii="Times New Roman" w:hAnsi="Times New Roman"/>
                <w:noProof/>
              </w:rPr>
              <w:t>Sans objet</w:t>
            </w:r>
          </w:p>
        </w:tc>
      </w:tr>
      <w:t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3340" w:type="dxa"/>
            <w:tcBorders>
              <w:left w:val="nil"/>
              <w:right w:val="nil"/>
            </w:tcBorders>
            <w:shd w:val="clear" w:color="auto" w:fill="auto"/>
          </w:tcPr>
          <w:p>
            <w:pPr>
              <w:jc w:val="center"/>
              <w:rPr>
                <w:rFonts w:ascii="Times New Roman" w:hAnsi="Times New Roman" w:cs="Times New Roman"/>
                <w:noProof/>
              </w:rPr>
            </w:pPr>
            <w:r>
              <w:rPr>
                <w:rFonts w:ascii="Times New Roman" w:hAnsi="Times New Roman"/>
                <w:noProof/>
              </w:rPr>
              <w:t>2,8 Mio EUR</w:t>
            </w:r>
          </w:p>
        </w:tc>
        <w:tc>
          <w:tcPr>
            <w:tcW w:w="3260" w:type="dxa"/>
            <w:tcBorders>
              <w:left w:val="nil"/>
            </w:tcBorders>
            <w:shd w:val="clear" w:color="auto" w:fill="auto"/>
          </w:tcPr>
          <w:p>
            <w:pPr>
              <w:jc w:val="center"/>
              <w:rPr>
                <w:rFonts w:ascii="Times New Roman" w:hAnsi="Times New Roman" w:cs="Times New Roman"/>
                <w:noProof/>
              </w:rPr>
            </w:pPr>
            <w:r>
              <w:rPr>
                <w:rFonts w:ascii="Times New Roman" w:hAnsi="Times New Roman"/>
                <w:noProof/>
              </w:rPr>
              <w:t>Sans objet</w:t>
            </w:r>
          </w:p>
        </w:tc>
      </w:tr>
      <w:tr>
        <w:trPr>
          <w:trHeight w:val="303"/>
        </w:trPr>
        <w:tc>
          <w:tcPr>
            <w:tcW w:w="2580" w:type="dxa"/>
            <w:shd w:val="clear" w:color="auto" w:fill="D3DFEE"/>
            <w:vAlign w:val="center"/>
          </w:tcPr>
          <w:p>
            <w:pPr>
              <w:jc w:val="center"/>
              <w:rPr>
                <w:rFonts w:ascii="Times New Roman" w:hAnsi="Times New Roman" w:cs="Times New Roman"/>
                <w:b/>
                <w:bCs/>
                <w:noProof/>
              </w:rPr>
            </w:pPr>
            <w:r>
              <w:rPr>
                <w:rFonts w:ascii="Times New Roman" w:hAnsi="Times New Roman"/>
                <w:b/>
                <w:noProof/>
              </w:rPr>
              <w:t>k) Effet de levier</w:t>
            </w:r>
          </w:p>
        </w:tc>
        <w:tc>
          <w:tcPr>
            <w:tcW w:w="3340" w:type="dxa"/>
            <w:shd w:val="clear" w:color="auto" w:fill="D3DFEE"/>
          </w:tcPr>
          <w:p>
            <w:pPr>
              <w:jc w:val="center"/>
              <w:rPr>
                <w:rFonts w:ascii="Times New Roman" w:hAnsi="Times New Roman" w:cs="Times New Roman"/>
                <w:noProof/>
              </w:rPr>
            </w:pPr>
            <w:r>
              <w:rPr>
                <w:rFonts w:ascii="Times New Roman" w:hAnsi="Times New Roman"/>
                <w:noProof/>
              </w:rPr>
              <w:t>Atteint: 5,5</w:t>
            </w:r>
          </w:p>
        </w:tc>
        <w:tc>
          <w:tcPr>
            <w:tcW w:w="3260" w:type="dxa"/>
            <w:shd w:val="clear" w:color="auto" w:fill="D3DFEE"/>
          </w:tcPr>
          <w:p>
            <w:pPr>
              <w:spacing w:after="120"/>
              <w:jc w:val="center"/>
              <w:rPr>
                <w:rFonts w:ascii="Times New Roman" w:hAnsi="Times New Roman" w:cs="Times New Roman"/>
                <w:noProof/>
              </w:rPr>
            </w:pPr>
            <w:r>
              <w:rPr>
                <w:rFonts w:ascii="Times New Roman" w:hAnsi="Times New Roman"/>
                <w:noProof/>
              </w:rPr>
              <w:t>Visé: entre 4 et 6</w:t>
            </w:r>
          </w:p>
        </w:tc>
      </w:tr>
      <w:tr>
        <w:trPr>
          <w:trHeight w:val="60"/>
        </w:trPr>
        <w:tc>
          <w:tcPr>
            <w:tcW w:w="2580"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3340" w:type="dxa"/>
            <w:tcBorders>
              <w:left w:val="nil"/>
              <w:right w:val="nil"/>
            </w:tcBorders>
            <w:shd w:val="clear" w:color="auto" w:fill="auto"/>
          </w:tcPr>
          <w:p>
            <w:pPr>
              <w:pStyle w:val="ListParagraph"/>
              <w:ind w:left="0"/>
              <w:jc w:val="both"/>
              <w:rPr>
                <w:noProof/>
                <w:sz w:val="22"/>
              </w:rPr>
            </w:pPr>
            <w:r>
              <w:rPr>
                <w:noProof/>
                <w:sz w:val="22"/>
              </w:rPr>
              <w:t xml:space="preserve">Fin 2014, les contributions du MIC avaient permis de mobiliser 984 Mio EUR en faveur des PME innovantes </w:t>
            </w:r>
          </w:p>
        </w:tc>
        <w:tc>
          <w:tcPr>
            <w:tcW w:w="3260" w:type="dxa"/>
            <w:tcBorders>
              <w:left w:val="nil"/>
            </w:tcBorders>
            <w:shd w:val="clear" w:color="auto" w:fill="auto"/>
          </w:tcPr>
          <w:p>
            <w:pPr>
              <w:pStyle w:val="ListParagraph"/>
              <w:ind w:left="0"/>
              <w:jc w:val="both"/>
              <w:rPr>
                <w:noProof/>
                <w:sz w:val="22"/>
              </w:rPr>
            </w:pPr>
            <w:r>
              <w:rPr>
                <w:noProof/>
                <w:sz w:val="22"/>
              </w:rPr>
              <w:t>La valeur des investissements en capital-risque mobilisés grâce à la contribution de l’UE sera comprise entre 2,6 et 3,9 Mrd EUR</w:t>
            </w:r>
          </w:p>
        </w:tc>
      </w:tr>
    </w:tbl>
    <w:p>
      <w:pPr>
        <w:pStyle w:val="Heading4"/>
        <w:spacing w:before="120"/>
        <w:rPr>
          <w:noProof/>
          <w:sz w:val="22"/>
          <w:szCs w:val="22"/>
        </w:rPr>
      </w:pPr>
      <w:r>
        <w:rPr>
          <w:noProof/>
        </w:rPr>
        <w:br w:type="page"/>
      </w:r>
      <w:bookmarkStart w:id="8" w:name="_Toc399517419"/>
      <w:r>
        <w:rPr>
          <w:noProof/>
          <w:sz w:val="22"/>
        </w:rPr>
        <w:t>Instruments de garantie</w:t>
      </w:r>
      <w:bookmarkEnd w:id="2"/>
      <w:bookmarkEnd w:id="3"/>
      <w:bookmarkEnd w:id="4"/>
      <w:bookmarkEnd w:id="5"/>
      <w:bookmarkEnd w:id="8"/>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1982"/>
        <w:gridCol w:w="2166"/>
        <w:gridCol w:w="2301"/>
        <w:gridCol w:w="2839"/>
      </w:tblGrid>
      <w:tr>
        <w:tc>
          <w:tcPr>
            <w:tcW w:w="0" w:type="auto"/>
            <w:tcBorders>
              <w:top w:val="single" w:sz="8" w:space="0" w:color="7BA0CD"/>
              <w:left w:val="single" w:sz="8" w:space="0" w:color="7BA0CD"/>
              <w:bottom w:val="single" w:sz="8" w:space="0" w:color="7BA0CD"/>
            </w:tcBorders>
            <w:shd w:val="clear" w:color="auto" w:fill="4F81BD"/>
          </w:tcPr>
          <w:p>
            <w:pPr>
              <w:jc w:val="both"/>
              <w:rPr>
                <w:rFonts w:ascii="Times New Roman" w:eastAsia="Times New Roman" w:hAnsi="Times New Roman" w:cs="Times New Roman"/>
                <w:b/>
                <w:bCs/>
                <w:i/>
                <w:noProof/>
                <w:color w:val="FFFFFF"/>
              </w:rPr>
            </w:pPr>
          </w:p>
        </w:tc>
        <w:tc>
          <w:tcPr>
            <w:tcW w:w="0" w:type="auto"/>
            <w:tcBorders>
              <w:top w:val="single" w:sz="8" w:space="0" w:color="7BA0CD"/>
              <w:bottom w:val="single" w:sz="8" w:space="0" w:color="7BA0CD"/>
            </w:tcBorders>
            <w:shd w:val="clear" w:color="auto" w:fill="4F81BD"/>
          </w:tcPr>
          <w:p>
            <w:pPr>
              <w:jc w:val="center"/>
              <w:rPr>
                <w:rFonts w:ascii="Times New Roman" w:eastAsia="Times New Roman" w:hAnsi="Times New Roman" w:cs="Times New Roman"/>
                <w:b/>
                <w:bCs/>
                <w:noProof/>
                <w:color w:val="FFFFFF"/>
              </w:rPr>
            </w:pPr>
            <w:r>
              <w:rPr>
                <w:rFonts w:ascii="Times New Roman" w:hAnsi="Times New Roman"/>
                <w:b/>
                <w:noProof/>
                <w:color w:val="FFFFFF"/>
              </w:rPr>
              <w:t>Mécanisme de garantie des PME au titre du PIC — GPME07</w:t>
            </w:r>
          </w:p>
          <w:p>
            <w:pPr>
              <w:jc w:val="center"/>
              <w:rPr>
                <w:rFonts w:ascii="Times New Roman" w:eastAsia="Times New Roman" w:hAnsi="Times New Roman" w:cs="Times New Roman"/>
                <w:b/>
                <w:bCs/>
                <w:noProof/>
                <w:color w:val="FFFFFF"/>
              </w:rPr>
            </w:pPr>
            <w:r>
              <w:rPr>
                <w:rFonts w:ascii="Times New Roman" w:hAnsi="Times New Roman"/>
                <w:b/>
                <w:noProof/>
                <w:color w:val="FFFFFF"/>
              </w:rPr>
              <w:t>(point 2.1 du document de travail)</w:t>
            </w:r>
          </w:p>
          <w:p>
            <w:pPr>
              <w:jc w:val="center"/>
              <w:rPr>
                <w:rFonts w:ascii="Times New Roman" w:eastAsia="Times New Roman" w:hAnsi="Times New Roman" w:cs="Times New Roman"/>
                <w:b/>
                <w:bCs/>
                <w:noProof/>
                <w:color w:val="FFFFFF"/>
              </w:rPr>
            </w:pPr>
            <w:r>
              <w:rPr>
                <w:rFonts w:ascii="Times New Roman" w:hAnsi="Times New Roman"/>
                <w:b/>
                <w:noProof/>
                <w:color w:val="FFFFFF"/>
              </w:rPr>
              <w:t>DG responsables:</w:t>
            </w:r>
          </w:p>
          <w:p>
            <w:pPr>
              <w:jc w:val="center"/>
              <w:rPr>
                <w:rFonts w:ascii="Times New Roman" w:eastAsia="Times New Roman" w:hAnsi="Times New Roman" w:cs="Times New Roman"/>
                <w:b/>
                <w:bCs/>
                <w:noProof/>
                <w:color w:val="FFFFFF"/>
              </w:rPr>
            </w:pPr>
            <w:r>
              <w:rPr>
                <w:rFonts w:ascii="Times New Roman" w:hAnsi="Times New Roman"/>
                <w:b/>
                <w:noProof/>
                <w:color w:val="FFFFFF"/>
              </w:rPr>
              <w:t>GROW et ECFIN</w:t>
            </w:r>
          </w:p>
        </w:tc>
        <w:tc>
          <w:tcPr>
            <w:tcW w:w="0" w:type="auto"/>
            <w:tcBorders>
              <w:top w:val="single" w:sz="8" w:space="0" w:color="7BA0CD"/>
              <w:bottom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b/>
                <w:noProof/>
                <w:color w:val="FFFFFF"/>
              </w:rPr>
              <w:t>Instrument européen Progress de garantie de microfinancements — EPMF-G</w:t>
            </w:r>
          </w:p>
          <w:p>
            <w:pPr>
              <w:jc w:val="center"/>
              <w:rPr>
                <w:rFonts w:ascii="Times New Roman" w:hAnsi="Times New Roman" w:cs="Times New Roman"/>
                <w:b/>
                <w:bCs/>
                <w:noProof/>
                <w:color w:val="FFFFFF"/>
              </w:rPr>
            </w:pPr>
            <w:r>
              <w:rPr>
                <w:rFonts w:ascii="Times New Roman" w:hAnsi="Times New Roman"/>
                <w:b/>
                <w:noProof/>
                <w:color w:val="FFFFFF"/>
              </w:rPr>
              <w:t>(point 2.2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responsables:</w:t>
            </w:r>
          </w:p>
          <w:p>
            <w:pPr>
              <w:jc w:val="center"/>
              <w:rPr>
                <w:rFonts w:ascii="Times New Roman" w:eastAsia="Times New Roman" w:hAnsi="Times New Roman" w:cs="Times New Roman"/>
                <w:b/>
                <w:bCs/>
                <w:noProof/>
                <w:color w:val="FFFFFF"/>
              </w:rPr>
            </w:pPr>
            <w:r>
              <w:rPr>
                <w:rFonts w:ascii="Times New Roman" w:hAnsi="Times New Roman"/>
                <w:b/>
                <w:noProof/>
                <w:color w:val="FFFFFF"/>
              </w:rPr>
              <w:t>EMPL et ECFIN</w:t>
            </w:r>
          </w:p>
        </w:tc>
        <w:tc>
          <w:tcPr>
            <w:tcW w:w="0" w:type="auto"/>
            <w:tcBorders>
              <w:top w:val="single" w:sz="8" w:space="0" w:color="7BA0CD"/>
              <w:bottom w:val="single" w:sz="8" w:space="0" w:color="7BA0CD"/>
              <w:right w:val="single" w:sz="8" w:space="0" w:color="7BA0CD"/>
            </w:tcBorders>
            <w:shd w:val="clear" w:color="auto" w:fill="4F81BD"/>
          </w:tcPr>
          <w:p>
            <w:pPr>
              <w:jc w:val="center"/>
              <w:rPr>
                <w:rFonts w:ascii="Times New Roman" w:hAnsi="Times New Roman" w:cs="Times New Roman"/>
                <w:b/>
                <w:bCs/>
                <w:noProof/>
                <w:color w:val="FFFFFF"/>
              </w:rPr>
            </w:pPr>
            <w:r>
              <w:rPr>
                <w:rFonts w:ascii="Times New Roman" w:hAnsi="Times New Roman"/>
                <w:b/>
                <w:noProof/>
                <w:color w:val="FFFFFF"/>
              </w:rPr>
              <w:t>Facilité pilote de garantie pour les PME et petites entreprises à capitalisation moyenne axées sur la R&amp;I — IPR</w:t>
            </w:r>
          </w:p>
          <w:p>
            <w:pPr>
              <w:jc w:val="center"/>
              <w:rPr>
                <w:rFonts w:ascii="Times New Roman" w:hAnsi="Times New Roman" w:cs="Times New Roman"/>
                <w:b/>
                <w:bCs/>
                <w:noProof/>
                <w:color w:val="FFFFFF"/>
              </w:rPr>
            </w:pPr>
            <w:r>
              <w:rPr>
                <w:rFonts w:ascii="Times New Roman" w:hAnsi="Times New Roman"/>
                <w:b/>
                <w:noProof/>
                <w:color w:val="FFFFFF"/>
              </w:rPr>
              <w:t>(point 2.5 du document de travail)</w:t>
            </w:r>
          </w:p>
          <w:p>
            <w:pPr>
              <w:jc w:val="center"/>
              <w:rPr>
                <w:rFonts w:ascii="Times New Roman" w:eastAsia="Times New Roman" w:hAnsi="Times New Roman" w:cs="Times New Roman"/>
                <w:b/>
                <w:bCs/>
                <w:noProof/>
                <w:color w:val="FFFFFF"/>
              </w:rPr>
            </w:pPr>
            <w:r>
              <w:rPr>
                <w:rFonts w:ascii="Times New Roman" w:hAnsi="Times New Roman"/>
                <w:b/>
                <w:noProof/>
                <w:color w:val="FFFFFF"/>
              </w:rPr>
              <w:t>DG responsable: RTD</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a) Identification / acte de base</w:t>
            </w:r>
          </w:p>
        </w:tc>
        <w:tc>
          <w:tcPr>
            <w:tcW w:w="0" w:type="auto"/>
            <w:shd w:val="clear" w:color="auto" w:fill="D3DFEE"/>
          </w:tcPr>
          <w:p>
            <w:pPr>
              <w:jc w:val="center"/>
              <w:rPr>
                <w:rFonts w:ascii="Times New Roman" w:hAnsi="Times New Roman" w:cs="Times New Roman"/>
                <w:i/>
                <w:noProof/>
              </w:rPr>
            </w:pPr>
            <w:r>
              <w:rPr>
                <w:rFonts w:ascii="Times New Roman" w:hAnsi="Times New Roman"/>
                <w:noProof/>
              </w:rPr>
              <w:t>Décision n° 1639/2006/CE</w:t>
            </w:r>
          </w:p>
        </w:tc>
        <w:tc>
          <w:tcPr>
            <w:tcW w:w="0" w:type="auto"/>
            <w:shd w:val="clear" w:color="auto" w:fill="D3DFEE"/>
          </w:tcPr>
          <w:p>
            <w:pPr>
              <w:jc w:val="center"/>
              <w:rPr>
                <w:rFonts w:ascii="Times New Roman" w:hAnsi="Times New Roman" w:cs="Times New Roman"/>
                <w:i/>
                <w:noProof/>
              </w:rPr>
            </w:pPr>
            <w:r>
              <w:rPr>
                <w:rFonts w:ascii="Times New Roman" w:hAnsi="Times New Roman"/>
                <w:noProof/>
              </w:rPr>
              <w:t>Décision n° 283/2010/UE</w:t>
            </w:r>
          </w:p>
        </w:tc>
        <w:tc>
          <w:tcPr>
            <w:tcW w:w="0" w:type="auto"/>
            <w:shd w:val="clear" w:color="auto" w:fill="D3DFEE"/>
          </w:tcPr>
          <w:p>
            <w:pPr>
              <w:jc w:val="center"/>
              <w:rPr>
                <w:rFonts w:ascii="Times New Roman" w:hAnsi="Times New Roman" w:cs="Times New Roman"/>
                <w:noProof/>
              </w:rPr>
            </w:pPr>
            <w:r>
              <w:rPr>
                <w:rFonts w:ascii="Times New Roman" w:hAnsi="Times New Roman"/>
                <w:noProof/>
              </w:rPr>
              <w:t>Décision n° 1982/2006/CE</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b) Description</w:t>
            </w:r>
          </w:p>
        </w:tc>
        <w:tc>
          <w:tcPr>
            <w:tcW w:w="0" w:type="auto"/>
            <w:tcBorders>
              <w:left w:val="nil"/>
              <w:right w:val="nil"/>
            </w:tcBorders>
            <w:shd w:val="clear" w:color="auto" w:fill="auto"/>
          </w:tcPr>
          <w:p>
            <w:pPr>
              <w:spacing w:before="30" w:after="30"/>
              <w:jc w:val="both"/>
              <w:rPr>
                <w:rFonts w:ascii="Times New Roman" w:hAnsi="Times New Roman" w:cs="Times New Roman"/>
                <w:noProof/>
              </w:rPr>
            </w:pPr>
            <w:r>
              <w:rPr>
                <w:rFonts w:ascii="Times New Roman" w:hAnsi="Times New Roman"/>
                <w:noProof/>
              </w:rPr>
              <w:t xml:space="preserve">Instrument de garantie améliorant l’accès des PME au financement </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 xml:space="preserve">Instrument de garantie améliorant l’accès des personnes et des micro-entreprises aux micro-crédits </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noProof/>
              </w:rPr>
              <w:t>Instrument de garantie améliorant l’accès des investissements en RDI au financement par l'emprunt</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c) Institution(s) financière(s) concernée(s)</w:t>
            </w:r>
          </w:p>
        </w:tc>
        <w:tc>
          <w:tcPr>
            <w:tcW w:w="0" w:type="auto"/>
            <w:shd w:val="clear" w:color="auto" w:fill="D3DFEE"/>
            <w:vAlign w:val="center"/>
          </w:tcPr>
          <w:p>
            <w:pPr>
              <w:spacing w:before="30" w:after="30"/>
              <w:jc w:val="center"/>
              <w:rPr>
                <w:rFonts w:ascii="Times New Roman" w:hAnsi="Times New Roman" w:cs="Times New Roman"/>
                <w:noProof/>
              </w:rPr>
            </w:pPr>
            <w:r>
              <w:rPr>
                <w:rFonts w:ascii="Times New Roman" w:hAnsi="Times New Roman"/>
                <w:noProof/>
              </w:rPr>
              <w:t>FEI</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FEI</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FEI</w:t>
            </w:r>
          </w:p>
        </w:tc>
      </w:tr>
      <w:tr>
        <w:trPr>
          <w:trHeight w:val="1396"/>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d) Total des engagements et des paiements budgétaires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637,8 Mio EUR</w:t>
            </w:r>
          </w:p>
          <w:p>
            <w:pPr>
              <w:pStyle w:val="ListParagraph"/>
              <w:keepNext/>
              <w:keepLines/>
              <w:spacing w:before="120" w:after="40"/>
              <w:ind w:left="0"/>
              <w:jc w:val="center"/>
              <w:rPr>
                <w:noProof/>
                <w:sz w:val="22"/>
              </w:rPr>
            </w:pPr>
            <w:r>
              <w:rPr>
                <w:noProof/>
                <w:sz w:val="22"/>
              </w:rPr>
              <w:t>336,2 Mio EUR</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23,9 Mio EUR</w:t>
            </w:r>
          </w:p>
          <w:p>
            <w:pPr>
              <w:jc w:val="center"/>
              <w:rPr>
                <w:rFonts w:ascii="Times New Roman" w:hAnsi="Times New Roman" w:cs="Times New Roman"/>
                <w:noProof/>
              </w:rPr>
            </w:pPr>
            <w:r>
              <w:rPr>
                <w:rFonts w:ascii="Times New Roman" w:hAnsi="Times New Roman"/>
                <w:noProof/>
              </w:rPr>
              <w:t>18,5 Mio EUR</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270 Mio EUR</w:t>
            </w:r>
          </w:p>
          <w:p>
            <w:pPr>
              <w:jc w:val="center"/>
              <w:rPr>
                <w:rFonts w:ascii="Times New Roman" w:hAnsi="Times New Roman" w:cs="Times New Roman"/>
                <w:noProof/>
              </w:rPr>
            </w:pPr>
            <w:r>
              <w:rPr>
                <w:rFonts w:ascii="Times New Roman" w:hAnsi="Times New Roman"/>
                <w:noProof/>
              </w:rPr>
              <w:t>270 Mio EUR</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e) Utilisation</w:t>
            </w:r>
          </w:p>
        </w:tc>
        <w:tc>
          <w:tcPr>
            <w:tcW w:w="0" w:type="auto"/>
            <w:shd w:val="clear" w:color="auto" w:fill="D3DFEE"/>
          </w:tcPr>
          <w:p>
            <w:pPr>
              <w:spacing w:after="240"/>
              <w:jc w:val="both"/>
              <w:rPr>
                <w:rFonts w:ascii="Times New Roman" w:hAnsi="Times New Roman" w:cs="Times New Roman"/>
                <w:noProof/>
              </w:rPr>
            </w:pPr>
            <w:r>
              <w:rPr>
                <w:rFonts w:ascii="Times New Roman" w:hAnsi="Times New Roman"/>
                <w:noProof/>
              </w:rPr>
              <w:t>73 accords signés avec 57 intermédiaires financiers;</w:t>
            </w:r>
            <w:r>
              <w:rPr>
                <w:noProof/>
              </w:rPr>
              <w:br/>
            </w:r>
            <w:r>
              <w:rPr>
                <w:noProof/>
              </w:rPr>
              <w:tab/>
            </w:r>
            <w:r>
              <w:rPr>
                <w:rFonts w:ascii="Times New Roman" w:hAnsi="Times New Roman"/>
                <w:noProof/>
              </w:rPr>
              <w:t>587,6 Mio EUR de garanties fournies, couvrant 431 561 prêts</w:t>
            </w:r>
          </w:p>
        </w:tc>
        <w:tc>
          <w:tcPr>
            <w:tcW w:w="0" w:type="auto"/>
            <w:shd w:val="clear" w:color="auto" w:fill="D3DFEE"/>
          </w:tcPr>
          <w:p>
            <w:pPr>
              <w:ind w:left="150"/>
              <w:jc w:val="both"/>
              <w:rPr>
                <w:rFonts w:ascii="Times New Roman" w:hAnsi="Times New Roman" w:cs="Times New Roman"/>
                <w:noProof/>
              </w:rPr>
            </w:pPr>
            <w:r>
              <w:rPr>
                <w:rFonts w:ascii="Times New Roman" w:hAnsi="Times New Roman"/>
                <w:noProof/>
              </w:rPr>
              <w:t>35 accords signés avec des intermédiaires financiers;</w:t>
            </w:r>
            <w:r>
              <w:rPr>
                <w:noProof/>
              </w:rPr>
              <w:br/>
            </w:r>
            <w:r>
              <w:rPr>
                <w:noProof/>
              </w:rPr>
              <w:tab/>
            </w:r>
            <w:r>
              <w:rPr>
                <w:rFonts w:ascii="Times New Roman" w:hAnsi="Times New Roman"/>
                <w:noProof/>
              </w:rPr>
              <w:t xml:space="preserve">14 973 micro-crédits fournis, permettant la création de 21 939 emplois </w:t>
            </w:r>
          </w:p>
        </w:tc>
        <w:tc>
          <w:tcPr>
            <w:tcW w:w="0" w:type="auto"/>
            <w:shd w:val="clear" w:color="auto" w:fill="D3DFEE"/>
          </w:tcPr>
          <w:p>
            <w:pPr>
              <w:spacing w:after="240"/>
              <w:ind w:left="720"/>
              <w:jc w:val="both"/>
              <w:rPr>
                <w:rFonts w:ascii="Times New Roman" w:hAnsi="Times New Roman" w:cs="Times New Roman"/>
                <w:noProof/>
              </w:rPr>
            </w:pPr>
            <w:r>
              <w:rPr>
                <w:rFonts w:ascii="Times New Roman" w:hAnsi="Times New Roman"/>
                <w:noProof/>
              </w:rPr>
              <w:t>1,59 Mrd EUR de garanties et contre-garanties fournies à 37  intermédiaires financiers;</w:t>
            </w:r>
            <w:r>
              <w:rPr>
                <w:noProof/>
              </w:rPr>
              <w:br/>
            </w:r>
            <w:r>
              <w:rPr>
                <w:noProof/>
              </w:rPr>
              <w:tab/>
            </w:r>
            <w:r>
              <w:rPr>
                <w:rFonts w:ascii="Times New Roman" w:hAnsi="Times New Roman"/>
                <w:noProof/>
              </w:rPr>
              <w:t>3,3 Mrd EUR de prêts attendus</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f) Évaluation de l’utilisation des montants remboursés à l’instrument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 xml:space="preserve">Plus de 60 % </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Tous les fonds reçus ont été utilisés</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g) Solde du compte fiduciaire</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150,8 Mio EUR</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13,42 Mio EUR</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81,13 Mio EUR</w:t>
            </w:r>
          </w:p>
        </w:tc>
      </w:tr>
      <w:t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h) Recettes et remboursements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12,1 Mio EUR</w:t>
            </w:r>
          </w:p>
        </w:tc>
        <w:tc>
          <w:tcPr>
            <w:tcW w:w="0" w:type="auto"/>
            <w:tcBorders>
              <w:left w:val="nil"/>
              <w:right w:val="nil"/>
            </w:tcBorders>
            <w:shd w:val="clear" w:color="auto" w:fill="auto"/>
            <w:vAlign w:val="center"/>
          </w:tcPr>
          <w:p>
            <w:pPr>
              <w:ind w:right="141"/>
              <w:jc w:val="center"/>
              <w:rPr>
                <w:rFonts w:ascii="Times New Roman" w:hAnsi="Times New Roman" w:cs="Times New Roman"/>
                <w:noProof/>
              </w:rPr>
            </w:pPr>
            <w:r>
              <w:rPr>
                <w:rFonts w:ascii="Times New Roman" w:hAnsi="Times New Roman"/>
                <w:noProof/>
              </w:rPr>
              <w:t>273 348 EUR</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1,32 Mio EUR</w:t>
            </w:r>
          </w:p>
        </w:tc>
      </w:tr>
      <w:tr>
        <w:trPr>
          <w:trHeight w:val="1105"/>
        </w:trP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i) Valeur des investissements de fonds propres</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r>
      <w:tr>
        <w:trPr>
          <w:trHeight w:val="1360"/>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j) Dépréciations / garanties appelées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181,7 Mio EUR</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2,5 Mio EUR</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1,7 Mio EUR</w:t>
            </w:r>
          </w:p>
        </w:tc>
      </w:tr>
      <w:tr>
        <w:trPr>
          <w:trHeight w:val="1332"/>
        </w:trPr>
        <w:tc>
          <w:tcPr>
            <w:tcW w:w="0" w:type="auto"/>
            <w:shd w:val="clear" w:color="auto" w:fill="D3DFEE"/>
            <w:vAlign w:val="center"/>
          </w:tcPr>
          <w:p>
            <w:pPr>
              <w:jc w:val="center"/>
              <w:rPr>
                <w:rFonts w:ascii="Times New Roman" w:eastAsia="Times New Roman" w:hAnsi="Times New Roman" w:cs="Times New Roman"/>
                <w:b/>
                <w:bCs/>
                <w:noProof/>
              </w:rPr>
            </w:pPr>
            <w:r>
              <w:rPr>
                <w:rFonts w:ascii="Times New Roman" w:hAnsi="Times New Roman"/>
                <w:b/>
                <w:noProof/>
              </w:rPr>
              <w:t>k) Effet de levier</w:t>
            </w:r>
          </w:p>
        </w:tc>
        <w:tc>
          <w:tcPr>
            <w:tcW w:w="0" w:type="auto"/>
            <w:shd w:val="clear" w:color="auto" w:fill="D3DFEE"/>
            <w:vAlign w:val="center"/>
          </w:tcPr>
          <w:p>
            <w:pPr>
              <w:tabs>
                <w:tab w:val="num" w:pos="1080"/>
              </w:tabs>
              <w:jc w:val="center"/>
              <w:rPr>
                <w:rFonts w:ascii="Times New Roman" w:hAnsi="Times New Roman" w:cs="Times New Roman"/>
                <w:noProof/>
              </w:rPr>
            </w:pPr>
            <w:r>
              <w:rPr>
                <w:rFonts w:ascii="Times New Roman" w:hAnsi="Times New Roman"/>
                <w:noProof/>
              </w:rPr>
              <w:t>Atteint: 31,6</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Visé: 6,67</w:t>
            </w:r>
          </w:p>
          <w:p>
            <w:pPr>
              <w:jc w:val="center"/>
              <w:rPr>
                <w:rFonts w:ascii="Times New Roman" w:hAnsi="Times New Roman" w:cs="Times New Roman"/>
                <w:noProof/>
              </w:rPr>
            </w:pPr>
            <w:r>
              <w:rPr>
                <w:rFonts w:ascii="Times New Roman" w:hAnsi="Times New Roman"/>
                <w:noProof/>
              </w:rPr>
              <w:t>Atteint: 7,1</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Atteint: 12</w:t>
            </w:r>
          </w:p>
        </w:tc>
      </w:tr>
      <w:tr>
        <w:trPr>
          <w:trHeight w:val="3200"/>
        </w:trPr>
        <w:tc>
          <w:tcPr>
            <w:tcW w:w="0" w:type="auto"/>
            <w:tcBorders>
              <w:right w:val="nil"/>
            </w:tcBorders>
            <w:shd w:val="clear" w:color="auto" w:fill="auto"/>
            <w:vAlign w:val="center"/>
          </w:tcPr>
          <w:p>
            <w:pPr>
              <w:jc w:val="center"/>
              <w:rPr>
                <w:rFonts w:ascii="Times New Roman" w:eastAsia="Times New Roman" w:hAnsi="Times New Roman" w:cs="Times New Roman"/>
                <w:b/>
                <w:bCs/>
                <w:noProof/>
              </w:rPr>
            </w:pPr>
            <w:r>
              <w:rPr>
                <w:rFonts w:ascii="Times New Roman" w:hAnsi="Times New Roman"/>
                <w:b/>
                <w:noProof/>
              </w:rPr>
              <w:t>l) Contribution à la réalisation des objectifs du programme</w:t>
            </w:r>
          </w:p>
        </w:tc>
        <w:tc>
          <w:tcPr>
            <w:tcW w:w="0" w:type="auto"/>
            <w:tcBorders>
              <w:left w:val="nil"/>
              <w:right w:val="nil"/>
            </w:tcBorders>
            <w:shd w:val="clear" w:color="auto" w:fill="auto"/>
          </w:tcPr>
          <w:p>
            <w:pPr>
              <w:ind w:left="33" w:right="141"/>
              <w:jc w:val="both"/>
              <w:rPr>
                <w:rFonts w:ascii="Times New Roman" w:hAnsi="Times New Roman" w:cs="Times New Roman"/>
                <w:noProof/>
              </w:rPr>
            </w:pPr>
            <w:r>
              <w:rPr>
                <w:rFonts w:ascii="Times New Roman" w:hAnsi="Times New Roman"/>
                <w:noProof/>
              </w:rPr>
              <w:t>18,6 Mrd EUR de nouveaux financements mobilisés au profit de 356 589 PME;</w:t>
            </w:r>
          </w:p>
          <w:p>
            <w:pPr>
              <w:ind w:left="33" w:right="141"/>
              <w:jc w:val="both"/>
              <w:rPr>
                <w:rFonts w:ascii="Times New Roman" w:hAnsi="Times New Roman" w:cs="Times New Roman"/>
                <w:noProof/>
              </w:rPr>
            </w:pPr>
            <w:r>
              <w:rPr>
                <w:rFonts w:ascii="Times New Roman" w:hAnsi="Times New Roman"/>
                <w:noProof/>
              </w:rPr>
              <w:t>27,3 Mrd EUR d’investissements mobilisés;</w:t>
            </w:r>
          </w:p>
          <w:p>
            <w:pPr>
              <w:ind w:left="33" w:right="141"/>
              <w:jc w:val="both"/>
              <w:rPr>
                <w:rFonts w:ascii="Times New Roman" w:hAnsi="Times New Roman" w:cs="Times New Roman"/>
                <w:noProof/>
              </w:rPr>
            </w:pPr>
            <w:r>
              <w:rPr>
                <w:rFonts w:ascii="Times New Roman" w:hAnsi="Times New Roman"/>
                <w:noProof/>
              </w:rPr>
              <w:t>24 pays couverts;</w:t>
            </w:r>
          </w:p>
          <w:p>
            <w:pPr>
              <w:ind w:left="33" w:right="141"/>
              <w:jc w:val="both"/>
              <w:rPr>
                <w:rFonts w:ascii="Times New Roman" w:hAnsi="Times New Roman" w:cs="Times New Roman"/>
                <w:noProof/>
              </w:rPr>
            </w:pPr>
            <w:r>
              <w:rPr>
                <w:rFonts w:ascii="Times New Roman" w:hAnsi="Times New Roman"/>
                <w:noProof/>
              </w:rPr>
              <w:t>356 589 emplois créés ou préservés</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160,26 Mio EUR de nouveaux micro-crédits mobilisés, au profit de 14 448 destinataires finaux éligibles;</w:t>
            </w:r>
          </w:p>
          <w:p>
            <w:pPr>
              <w:jc w:val="both"/>
              <w:rPr>
                <w:rFonts w:ascii="Times New Roman" w:hAnsi="Times New Roman" w:cs="Times New Roman"/>
                <w:noProof/>
              </w:rPr>
            </w:pPr>
            <w:r>
              <w:rPr>
                <w:rFonts w:ascii="Times New Roman" w:hAnsi="Times New Roman"/>
                <w:noProof/>
              </w:rPr>
              <w:t>18 États membres couverts;</w:t>
            </w:r>
          </w:p>
          <w:p>
            <w:pPr>
              <w:jc w:val="both"/>
              <w:rPr>
                <w:rFonts w:ascii="Times New Roman" w:hAnsi="Times New Roman" w:cs="Times New Roman"/>
                <w:noProof/>
              </w:rPr>
            </w:pPr>
            <w:r>
              <w:rPr>
                <w:rFonts w:ascii="Times New Roman" w:hAnsi="Times New Roman"/>
                <w:noProof/>
              </w:rPr>
              <w:t>21 939 emplois créés</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noProof/>
              </w:rPr>
              <w:t>831 Mio EUR de nouveaux prêts mobilisés, au profit de 1 376 destinataires finaux éligibles;</w:t>
            </w:r>
          </w:p>
          <w:p>
            <w:pPr>
              <w:jc w:val="both"/>
              <w:rPr>
                <w:rFonts w:ascii="Times New Roman" w:hAnsi="Times New Roman" w:cs="Times New Roman"/>
                <w:noProof/>
              </w:rPr>
            </w:pPr>
            <w:r>
              <w:rPr>
                <w:rFonts w:ascii="Times New Roman" w:hAnsi="Times New Roman"/>
                <w:noProof/>
              </w:rPr>
              <w:t>18 pays couverts</w:t>
            </w:r>
          </w:p>
        </w:tc>
      </w:tr>
    </w:tbl>
    <w:p>
      <w:pPr>
        <w:rPr>
          <w:rFonts w:ascii="Times New Roman" w:hAnsi="Times New Roman" w:cs="Times New Roman"/>
          <w:noProof/>
        </w:rPr>
      </w:pPr>
      <w:r>
        <w:rPr>
          <w:noProof/>
        </w:rPr>
        <w:br w:type="page"/>
      </w:r>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160"/>
        <w:gridCol w:w="2416"/>
        <w:gridCol w:w="2229"/>
        <w:gridCol w:w="2483"/>
      </w:tblGrid>
      <w:tr>
        <w:trPr>
          <w:trHeight w:val="1984"/>
        </w:trPr>
        <w:tc>
          <w:tcPr>
            <w:tcW w:w="0" w:type="auto"/>
            <w:tcBorders>
              <w:top w:val="single" w:sz="8" w:space="0" w:color="7BA0CD"/>
              <w:left w:val="single" w:sz="8" w:space="0" w:color="7BA0CD"/>
              <w:bottom w:val="single" w:sz="8" w:space="0" w:color="7BA0CD"/>
            </w:tcBorders>
            <w:shd w:val="clear" w:color="auto" w:fill="4F81BD"/>
          </w:tcPr>
          <w:p>
            <w:pPr>
              <w:rPr>
                <w:rFonts w:ascii="Times New Roman" w:hAnsi="Times New Roman" w:cs="Times New Roman"/>
                <w:b/>
                <w:bCs/>
                <w:noProof/>
                <w:color w:val="FFFFFF"/>
              </w:rPr>
            </w:pPr>
          </w:p>
        </w:tc>
        <w:tc>
          <w:tcPr>
            <w:tcW w:w="0" w:type="auto"/>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bookmarkStart w:id="9" w:name="_Ref387223784"/>
            <w:bookmarkStart w:id="10" w:name="_Toc387228829"/>
            <w:bookmarkStart w:id="11" w:name="_Toc388541891"/>
            <w:bookmarkStart w:id="12" w:name="_Toc393281937"/>
            <w:bookmarkStart w:id="13" w:name="_Toc400446066"/>
            <w:r>
              <w:rPr>
                <w:rFonts w:ascii="Times New Roman" w:hAnsi="Times New Roman"/>
                <w:b/>
                <w:noProof/>
                <w:color w:val="FFFFFF"/>
              </w:rPr>
              <w:t>Programme pour l'emploi et l'innovation sociale (volet Microfinance et entrepreneuriat social)</w:t>
            </w:r>
            <w:bookmarkEnd w:id="9"/>
            <w:bookmarkEnd w:id="10"/>
            <w:bookmarkEnd w:id="11"/>
            <w:bookmarkEnd w:id="12"/>
            <w:bookmarkEnd w:id="13"/>
            <w:r>
              <w:rPr>
                <w:rFonts w:ascii="Times New Roman" w:hAnsi="Times New Roman"/>
                <w:b/>
                <w:noProof/>
                <w:color w:val="FFFFFF"/>
              </w:rPr>
              <w:t>- Garanties — EaSI-G</w:t>
            </w:r>
          </w:p>
          <w:p>
            <w:pPr>
              <w:jc w:val="center"/>
              <w:rPr>
                <w:rFonts w:ascii="Times New Roman" w:hAnsi="Times New Roman" w:cs="Times New Roman"/>
                <w:b/>
                <w:bCs/>
                <w:noProof/>
                <w:color w:val="FFFFFF"/>
              </w:rPr>
            </w:pPr>
            <w:r>
              <w:rPr>
                <w:rFonts w:ascii="Times New Roman" w:hAnsi="Times New Roman"/>
                <w:b/>
                <w:noProof/>
                <w:color w:val="FFFFFF"/>
              </w:rPr>
              <w:t>(point 2.3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EMPL</w:t>
            </w:r>
          </w:p>
        </w:tc>
        <w:tc>
          <w:tcPr>
            <w:tcW w:w="0" w:type="auto"/>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Mécanisme de garantie de prêts dans le cadre du programme COSME  (point 2.4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GROW</w:t>
            </w:r>
          </w:p>
        </w:tc>
        <w:tc>
          <w:tcPr>
            <w:tcW w:w="0" w:type="auto"/>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 xml:space="preserve">Service prêts aux PME et petites entreprises de taille intermédiaire pour la R&amp;I dans le cadre d’Horizon 2020 — InnovFin GPME </w:t>
            </w:r>
          </w:p>
          <w:p>
            <w:pPr>
              <w:jc w:val="center"/>
              <w:rPr>
                <w:rFonts w:ascii="Times New Roman" w:hAnsi="Times New Roman" w:cs="Times New Roman"/>
                <w:b/>
                <w:bCs/>
                <w:noProof/>
                <w:color w:val="FFFFFF"/>
              </w:rPr>
            </w:pPr>
            <w:r>
              <w:rPr>
                <w:rFonts w:ascii="Times New Roman" w:hAnsi="Times New Roman"/>
                <w:b/>
                <w:noProof/>
                <w:color w:val="FFFFFF"/>
              </w:rPr>
              <w:t>(point 2.6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RTD</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Règlement (UE) n° 1296/2013</w:t>
            </w:r>
          </w:p>
        </w:tc>
        <w:tc>
          <w:tcPr>
            <w:tcW w:w="0" w:type="auto"/>
            <w:shd w:val="clear" w:color="auto" w:fill="D3DFEE"/>
            <w:vAlign w:val="center"/>
          </w:tcPr>
          <w:p>
            <w:pPr>
              <w:spacing w:after="120" w:line="240" w:lineRule="auto"/>
              <w:jc w:val="center"/>
              <w:rPr>
                <w:rFonts w:ascii="Times New Roman" w:hAnsi="Times New Roman" w:cs="Times New Roman"/>
                <w:noProof/>
              </w:rPr>
            </w:pPr>
            <w:r>
              <w:rPr>
                <w:rFonts w:ascii="Times New Roman" w:hAnsi="Times New Roman"/>
                <w:noProof/>
              </w:rPr>
              <w:t>Règlement (UE) n° 1287/2013</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Règlement (UE) n° 1291/2013</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Instrument de garantie visant à promouvoir l’emploi et l’inclusion sociale par un accès accru aux microcrédits</w:t>
            </w:r>
          </w:p>
        </w:tc>
        <w:tc>
          <w:tcPr>
            <w:tcW w:w="0" w:type="auto"/>
            <w:tcBorders>
              <w:left w:val="nil"/>
              <w:right w:val="nil"/>
            </w:tcBorders>
            <w:shd w:val="clear" w:color="auto" w:fill="auto"/>
          </w:tcPr>
          <w:p>
            <w:pPr>
              <w:spacing w:after="0" w:line="240" w:lineRule="auto"/>
              <w:jc w:val="both"/>
              <w:rPr>
                <w:rFonts w:ascii="Times New Roman" w:hAnsi="Times New Roman" w:cs="Times New Roman"/>
                <w:noProof/>
              </w:rPr>
            </w:pPr>
            <w:r>
              <w:rPr>
                <w:rFonts w:ascii="Times New Roman" w:hAnsi="Times New Roman"/>
                <w:noProof/>
              </w:rPr>
              <w:t xml:space="preserve">Instrument fournissant des garanties et d'autres modalités de partage des risques pour améliorer l’accès des PME au financement </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noProof/>
              </w:rPr>
              <w:t>Instrument de garantie visant à promouvoir l'accès au capital-risque des PME et petites entreprises de taille intermédiaire axées sur la R&amp;I</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FEI</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FEI</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FEI</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28,4 Mio EUR</w:t>
            </w:r>
            <w:r>
              <w:rPr>
                <w:rStyle w:val="FootnoteReference"/>
                <w:rFonts w:ascii="Times New Roman" w:hAnsi="Times New Roman"/>
                <w:noProof/>
              </w:rPr>
              <w:footnoteReference w:id="2"/>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89,1 Mio EUR</w:t>
            </w:r>
          </w:p>
          <w:p>
            <w:pPr>
              <w:jc w:val="center"/>
              <w:rPr>
                <w:rFonts w:ascii="Times New Roman" w:hAnsi="Times New Roman" w:cs="Times New Roman"/>
                <w:noProof/>
              </w:rPr>
            </w:pPr>
            <w:r>
              <w:rPr>
                <w:rFonts w:ascii="Times New Roman" w:hAnsi="Times New Roman"/>
                <w:noProof/>
              </w:rPr>
              <w:t>41,7 Mio EUR</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168,6 Mio EUR</w:t>
            </w:r>
          </w:p>
          <w:p>
            <w:pPr>
              <w:jc w:val="center"/>
              <w:rPr>
                <w:rFonts w:ascii="Times New Roman" w:hAnsi="Times New Roman" w:cs="Times New Roman"/>
                <w:noProof/>
              </w:rPr>
            </w:pPr>
            <w:r>
              <w:rPr>
                <w:rFonts w:ascii="Times New Roman" w:hAnsi="Times New Roman"/>
                <w:noProof/>
              </w:rPr>
              <w:t>168,6 Mio EUR</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Pas encore applicable</w:t>
            </w:r>
          </w:p>
        </w:tc>
        <w:tc>
          <w:tcPr>
            <w:tcW w:w="0" w:type="auto"/>
            <w:shd w:val="clear" w:color="auto" w:fill="D3DFEE"/>
          </w:tcPr>
          <w:p>
            <w:pPr>
              <w:jc w:val="both"/>
              <w:rPr>
                <w:rFonts w:ascii="Times New Roman" w:hAnsi="Times New Roman" w:cs="Times New Roman"/>
                <w:noProof/>
              </w:rPr>
            </w:pPr>
            <w:r>
              <w:rPr>
                <w:rFonts w:ascii="Times New Roman" w:hAnsi="Times New Roman"/>
                <w:noProof/>
              </w:rPr>
              <w:t>3 accords signés avec des intermédiaires financiers correspondant à un volume de garanties fournies de 42,4 Mio EUR</w:t>
            </w:r>
          </w:p>
        </w:tc>
        <w:tc>
          <w:tcPr>
            <w:tcW w:w="0" w:type="auto"/>
            <w:shd w:val="clear" w:color="auto" w:fill="D3DFEE"/>
          </w:tcPr>
          <w:p>
            <w:pPr>
              <w:jc w:val="both"/>
              <w:rPr>
                <w:rFonts w:ascii="Times New Roman" w:hAnsi="Times New Roman" w:cs="Times New Roman"/>
                <w:noProof/>
              </w:rPr>
            </w:pPr>
            <w:r>
              <w:rPr>
                <w:rFonts w:ascii="Times New Roman" w:hAnsi="Times New Roman"/>
                <w:noProof/>
              </w:rPr>
              <w:t xml:space="preserve">Accords signés portant sur un volume de nouveau financement de 475 Mio EUR destiné à 900 bénéficiaires finaux. </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39,3 Mio EUR</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67,4 Mio EUR</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0 EUR</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61 000 EUR</w:t>
            </w:r>
          </w:p>
        </w:tc>
      </w:tr>
      <w:tr>
        <w:tc>
          <w:tcPr>
            <w:tcW w:w="0" w:type="auto"/>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0" w:type="auto"/>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r>
      <w:tr>
        <w:tc>
          <w:tcPr>
            <w:tcW w:w="0" w:type="auto"/>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0" w:type="auto"/>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Aucune</w:t>
            </w:r>
          </w:p>
        </w:tc>
        <w:tc>
          <w:tcPr>
            <w:tcW w:w="0" w:type="auto"/>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Aucune</w:t>
            </w:r>
          </w:p>
        </w:tc>
      </w:tr>
      <w:tr>
        <w:tc>
          <w:tcPr>
            <w:tcW w:w="0" w:type="auto"/>
            <w:shd w:val="clear" w:color="auto" w:fill="D3DFEE"/>
            <w:vAlign w:val="center"/>
          </w:tcPr>
          <w:p>
            <w:pPr>
              <w:spacing w:before="240" w:after="0"/>
              <w:jc w:val="center"/>
              <w:rPr>
                <w:rFonts w:ascii="Times New Roman" w:hAnsi="Times New Roman" w:cs="Times New Roman"/>
                <w:b/>
                <w:bCs/>
                <w:noProof/>
              </w:rPr>
            </w:pPr>
            <w:r>
              <w:rPr>
                <w:rFonts w:ascii="Times New Roman" w:hAnsi="Times New Roman"/>
                <w:b/>
                <w:noProof/>
              </w:rPr>
              <w:t>k) Effet de levier</w:t>
            </w:r>
          </w:p>
        </w:tc>
        <w:tc>
          <w:tcPr>
            <w:tcW w:w="0" w:type="auto"/>
            <w:shd w:val="clear" w:color="auto" w:fill="D3DFEE"/>
            <w:vAlign w:val="center"/>
          </w:tcPr>
          <w:p>
            <w:pPr>
              <w:autoSpaceDE w:val="0"/>
              <w:autoSpaceDN w:val="0"/>
              <w:adjustRightInd w:val="0"/>
              <w:spacing w:after="0"/>
              <w:ind w:right="141"/>
              <w:jc w:val="center"/>
              <w:rPr>
                <w:rFonts w:ascii="Times New Roman" w:hAnsi="Times New Roman" w:cs="Times New Roman"/>
                <w:noProof/>
              </w:rPr>
            </w:pPr>
            <w:r>
              <w:rPr>
                <w:rFonts w:ascii="Times New Roman" w:hAnsi="Times New Roman"/>
                <w:noProof/>
              </w:rPr>
              <w:t>Visé: 5,5</w:t>
            </w:r>
          </w:p>
        </w:tc>
        <w:tc>
          <w:tcPr>
            <w:tcW w:w="0" w:type="auto"/>
            <w:shd w:val="clear" w:color="auto" w:fill="D3DFEE"/>
            <w:vAlign w:val="center"/>
          </w:tcPr>
          <w:p>
            <w:pPr>
              <w:spacing w:after="0"/>
              <w:jc w:val="center"/>
              <w:rPr>
                <w:rFonts w:ascii="Times New Roman" w:hAnsi="Times New Roman" w:cs="Times New Roman"/>
                <w:noProof/>
              </w:rPr>
            </w:pPr>
            <w:r>
              <w:rPr>
                <w:rFonts w:ascii="Times New Roman" w:hAnsi="Times New Roman"/>
                <w:noProof/>
              </w:rPr>
              <w:t>Visé: de 20 à 30</w:t>
            </w:r>
          </w:p>
          <w:p>
            <w:pPr>
              <w:spacing w:after="0"/>
              <w:jc w:val="center"/>
              <w:rPr>
                <w:rFonts w:ascii="Times New Roman" w:hAnsi="Times New Roman" w:cs="Times New Roman"/>
                <w:noProof/>
              </w:rPr>
            </w:pPr>
            <w:r>
              <w:rPr>
                <w:rFonts w:ascii="Times New Roman" w:hAnsi="Times New Roman"/>
                <w:noProof/>
              </w:rPr>
              <w:t>Attendu: 10</w:t>
            </w:r>
          </w:p>
        </w:tc>
        <w:tc>
          <w:tcPr>
            <w:tcW w:w="0" w:type="auto"/>
            <w:shd w:val="clear" w:color="auto" w:fill="D3DFEE"/>
            <w:vAlign w:val="center"/>
          </w:tcPr>
          <w:p>
            <w:pPr>
              <w:spacing w:after="0"/>
              <w:jc w:val="center"/>
              <w:rPr>
                <w:rFonts w:ascii="Times New Roman" w:hAnsi="Times New Roman" w:cs="Times New Roman"/>
                <w:noProof/>
              </w:rPr>
            </w:pPr>
            <w:r>
              <w:rPr>
                <w:rFonts w:ascii="Times New Roman" w:hAnsi="Times New Roman"/>
                <w:noProof/>
              </w:rPr>
              <w:t>Visé: 9</w:t>
            </w:r>
          </w:p>
          <w:p>
            <w:pPr>
              <w:spacing w:after="0"/>
              <w:jc w:val="center"/>
              <w:rPr>
                <w:rFonts w:ascii="Times New Roman" w:hAnsi="Times New Roman" w:cs="Times New Roman"/>
                <w:noProof/>
              </w:rPr>
            </w:pPr>
            <w:r>
              <w:rPr>
                <w:rFonts w:ascii="Times New Roman" w:hAnsi="Times New Roman"/>
                <w:noProof/>
              </w:rPr>
              <w:t>Attendu: 2,82</w:t>
            </w:r>
          </w:p>
        </w:tc>
      </w:tr>
      <w:tr>
        <w:trPr>
          <w:trHeight w:val="761"/>
        </w:trPr>
        <w:tc>
          <w:tcPr>
            <w:tcW w:w="0" w:type="auto"/>
            <w:tcBorders>
              <w:right w:val="nil"/>
            </w:tcBorders>
            <w:shd w:val="clear" w:color="auto" w:fill="auto"/>
            <w:vAlign w:val="center"/>
          </w:tcPr>
          <w:p>
            <w:pPr>
              <w:jc w:val="center"/>
              <w:rPr>
                <w:rFonts w:ascii="Times New Roman" w:hAnsi="Times New Roman" w:cs="Times New Roman"/>
                <w:b/>
                <w:bCs/>
                <w:i/>
                <w:noProof/>
              </w:rPr>
            </w:pPr>
            <w:r>
              <w:rPr>
                <w:rFonts w:ascii="Times New Roman" w:hAnsi="Times New Roman"/>
                <w:b/>
                <w:noProof/>
              </w:rPr>
              <w:t>l) Contribution à la réalisation des objectifs du programme</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 xml:space="preserve">Soutien à l'octroi de 528 Mio EUR de nouveaux financements (objectif); fourniture de 96 Mio EUR de garanties </w:t>
            </w:r>
          </w:p>
        </w:tc>
        <w:tc>
          <w:tcPr>
            <w:tcW w:w="0" w:type="auto"/>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Soutien à l'octroi d'un montant escompté de 851 Mio EUR de nouveaux financements destinés à 13 000 PME</w:t>
            </w:r>
          </w:p>
        </w:tc>
        <w:tc>
          <w:tcPr>
            <w:tcW w:w="0" w:type="auto"/>
            <w:tcBorders>
              <w:left w:val="nil"/>
            </w:tcBorders>
            <w:shd w:val="clear" w:color="auto" w:fill="auto"/>
          </w:tcPr>
          <w:p>
            <w:pPr>
              <w:jc w:val="both"/>
              <w:rPr>
                <w:rFonts w:ascii="Times New Roman" w:hAnsi="Times New Roman" w:cs="Times New Roman"/>
                <w:noProof/>
              </w:rPr>
            </w:pPr>
            <w:r>
              <w:rPr>
                <w:rFonts w:ascii="Times New Roman" w:hAnsi="Times New Roman"/>
                <w:noProof/>
              </w:rPr>
              <w:t>Soutien à l'octroi de 11 Mio EUR de nouveaux prêts en faveur de 21 destinataires finaux</w:t>
            </w:r>
          </w:p>
        </w:tc>
      </w:tr>
    </w:tbl>
    <w:p>
      <w:pPr>
        <w:rPr>
          <w:rFonts w:ascii="Times New Roman" w:hAnsi="Times New Roman" w:cs="Times New Roman"/>
          <w:noProof/>
        </w:rPr>
      </w:pPr>
      <w:r>
        <w:rPr>
          <w:noProof/>
        </w:rPr>
        <w:br w:type="page"/>
      </w:r>
    </w:p>
    <w:tbl>
      <w:tblPr>
        <w:tblW w:w="5000" w:type="pct"/>
        <w:jc w:val="center"/>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710"/>
        <w:gridCol w:w="3290"/>
        <w:gridCol w:w="3288"/>
      </w:tblGrid>
      <w:tr>
        <w:trPr>
          <w:trHeight w:val="1984"/>
          <w:jc w:val="center"/>
        </w:trPr>
        <w:tc>
          <w:tcPr>
            <w:tcW w:w="2552" w:type="dxa"/>
            <w:tcBorders>
              <w:top w:val="single" w:sz="8" w:space="0" w:color="7BA0CD"/>
              <w:left w:val="single" w:sz="8" w:space="0" w:color="7BA0CD"/>
              <w:bottom w:val="single" w:sz="8" w:space="0" w:color="7BA0CD"/>
              <w:right w:val="nil"/>
            </w:tcBorders>
            <w:shd w:val="clear" w:color="auto" w:fill="4F81BD"/>
          </w:tcPr>
          <w:p>
            <w:pPr>
              <w:rPr>
                <w:rFonts w:ascii="Times New Roman" w:hAnsi="Times New Roman" w:cs="Times New Roman"/>
                <w:b/>
                <w:bCs/>
                <w:noProof/>
                <w:color w:val="FFFFFF"/>
              </w:rPr>
            </w:pPr>
          </w:p>
        </w:tc>
        <w:tc>
          <w:tcPr>
            <w:tcW w:w="3097"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Mécanisme de garantie de prêts aux étudiants (Erasmus+) — SLGF (point 2.8 du document de travail)</w:t>
            </w:r>
            <w:r>
              <w:rPr>
                <w:noProof/>
              </w:rPr>
              <w:br/>
            </w:r>
            <w:r>
              <w:rPr>
                <w:rFonts w:ascii="Times New Roman" w:hAnsi="Times New Roman"/>
                <w:b/>
                <w:noProof/>
                <w:color w:val="FFFFFF"/>
              </w:rPr>
              <w:t>DG responsable: EAC</w:t>
            </w:r>
          </w:p>
        </w:tc>
        <w:tc>
          <w:tcPr>
            <w:tcW w:w="3095" w:type="dxa"/>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bookmarkStart w:id="14" w:name="_Toc387228919"/>
            <w:bookmarkStart w:id="15" w:name="_Toc388541921"/>
            <w:bookmarkStart w:id="16" w:name="_Toc393281942"/>
            <w:bookmarkStart w:id="17" w:name="_Toc400446071"/>
            <w:r>
              <w:rPr>
                <w:rFonts w:ascii="Times New Roman" w:hAnsi="Times New Roman"/>
                <w:b/>
                <w:noProof/>
                <w:color w:val="FFFFFF"/>
              </w:rPr>
              <w:t>Instruments de financement privé pour l'efficacité énergétique — PF4EE</w:t>
            </w:r>
            <w:bookmarkEnd w:id="14"/>
            <w:bookmarkEnd w:id="15"/>
            <w:bookmarkEnd w:id="16"/>
            <w:bookmarkEnd w:id="17"/>
            <w:r>
              <w:rPr>
                <w:rFonts w:ascii="Times New Roman" w:hAnsi="Times New Roman"/>
                <w:b/>
                <w:noProof/>
                <w:color w:val="FFFFFF"/>
              </w:rPr>
              <w:t xml:space="preserve"> (point 2.9 du document de travail)</w:t>
            </w:r>
            <w:r>
              <w:rPr>
                <w:noProof/>
              </w:rPr>
              <w:br/>
            </w:r>
            <w:r>
              <w:rPr>
                <w:rFonts w:ascii="Times New Roman" w:hAnsi="Times New Roman"/>
                <w:b/>
                <w:noProof/>
                <w:color w:val="FFFFFF"/>
              </w:rPr>
              <w:t>DG responsable: CLIMA</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3097" w:type="dxa"/>
            <w:tcBorders>
              <w:left w:val="nil"/>
              <w:right w:val="nil"/>
            </w:tcBorders>
            <w:shd w:val="clear" w:color="auto" w:fill="D3DFEE"/>
            <w:vAlign w:val="center"/>
          </w:tcPr>
          <w:p>
            <w:pPr>
              <w:spacing w:before="30" w:after="30"/>
              <w:jc w:val="center"/>
              <w:rPr>
                <w:rFonts w:ascii="Times New Roman" w:hAnsi="Times New Roman" w:cs="Times New Roman"/>
                <w:i/>
                <w:noProof/>
              </w:rPr>
            </w:pPr>
            <w:r>
              <w:rPr>
                <w:rFonts w:ascii="Times New Roman" w:hAnsi="Times New Roman"/>
                <w:noProof/>
              </w:rPr>
              <w:t>Règlement (UE) n° 1288/2013</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Règlement (UE) n° 1293/2013</w:t>
            </w:r>
          </w:p>
        </w:tc>
      </w:tr>
      <w:tr>
        <w:trPr>
          <w:jc w:val="center"/>
        </w:trPr>
        <w:tc>
          <w:tcPr>
            <w:tcW w:w="2552" w:type="dxa"/>
            <w:tcBorders>
              <w:right w:val="nil"/>
            </w:tcBorders>
            <w:shd w:val="clear" w:color="auto" w:fill="auto"/>
            <w:vAlign w:val="center"/>
          </w:tcPr>
          <w:p>
            <w:pPr>
              <w:spacing w:before="600"/>
              <w:jc w:val="center"/>
              <w:rPr>
                <w:rFonts w:ascii="Times New Roman" w:hAnsi="Times New Roman" w:cs="Times New Roman"/>
                <w:b/>
                <w:bCs/>
                <w:noProof/>
              </w:rPr>
            </w:pPr>
            <w:r>
              <w:rPr>
                <w:rFonts w:ascii="Times New Roman" w:hAnsi="Times New Roman"/>
                <w:b/>
                <w:noProof/>
              </w:rPr>
              <w:t>b) Description</w:t>
            </w:r>
          </w:p>
        </w:tc>
        <w:tc>
          <w:tcPr>
            <w:tcW w:w="3097" w:type="dxa"/>
            <w:tcBorders>
              <w:left w:val="nil"/>
              <w:right w:val="nil"/>
            </w:tcBorders>
            <w:shd w:val="clear" w:color="auto" w:fill="auto"/>
          </w:tcPr>
          <w:p>
            <w:pPr>
              <w:jc w:val="both"/>
              <w:rPr>
                <w:rFonts w:ascii="Times New Roman" w:hAnsi="Times New Roman" w:cs="Times New Roman"/>
                <w:noProof/>
              </w:rPr>
            </w:pPr>
            <w:r>
              <w:rPr>
                <w:rFonts w:ascii="Times New Roman" w:hAnsi="Times New Roman"/>
                <w:noProof/>
              </w:rPr>
              <w:t>Instrument de garantie favorisant la mobilité, l’équité et l’excellence académique en encourageant l'octroi de prêts aux étudiants de niveau master souhaitant étudier à l'étranger</w:t>
            </w:r>
          </w:p>
        </w:tc>
        <w:tc>
          <w:tcPr>
            <w:tcW w:w="3095" w:type="dxa"/>
            <w:tcBorders>
              <w:left w:val="nil"/>
            </w:tcBorders>
            <w:shd w:val="clear" w:color="auto" w:fill="auto"/>
          </w:tcPr>
          <w:p>
            <w:pPr>
              <w:jc w:val="both"/>
              <w:rPr>
                <w:rFonts w:ascii="Times New Roman" w:hAnsi="Times New Roman" w:cs="Times New Roman"/>
                <w:noProof/>
              </w:rPr>
            </w:pPr>
            <w:r>
              <w:rPr>
                <w:rFonts w:ascii="Times New Roman" w:hAnsi="Times New Roman"/>
                <w:noProof/>
              </w:rPr>
              <w:t xml:space="preserve">Instrument de garantie facilitant l'accès à un financement commercial adéquat et abordable des investissements éligibles en matière d’efficacité énergétique  </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BEI</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28,4 Mio EUR</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30 Mio EUR</w:t>
            </w:r>
          </w:p>
          <w:p>
            <w:pPr>
              <w:jc w:val="center"/>
              <w:rPr>
                <w:rFonts w:ascii="Times New Roman" w:hAnsi="Times New Roman" w:cs="Times New Roman"/>
                <w:noProof/>
              </w:rPr>
            </w:pPr>
            <w:r>
              <w:rPr>
                <w:rFonts w:ascii="Times New Roman" w:hAnsi="Times New Roman"/>
                <w:noProof/>
              </w:rPr>
              <w:t>6 Mio EUR</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Pas encore applicable</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Pas encore applicable</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6 Mio EUR</w:t>
            </w:r>
          </w:p>
        </w:tc>
      </w:tr>
      <w:tr>
        <w:trPr>
          <w:jc w:val="center"/>
        </w:trPr>
        <w:tc>
          <w:tcPr>
            <w:tcW w:w="2552"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3097"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0</w:t>
            </w:r>
          </w:p>
        </w:tc>
      </w:tr>
      <w:tr>
        <w:trPr>
          <w:jc w:val="center"/>
        </w:trPr>
        <w:tc>
          <w:tcPr>
            <w:tcW w:w="2552"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r>
      <w:tr>
        <w:trPr>
          <w:jc w:val="center"/>
        </w:trPr>
        <w:tc>
          <w:tcPr>
            <w:tcW w:w="2552" w:type="dxa"/>
            <w:tcBorders>
              <w:right w:val="nil"/>
            </w:tcBorders>
            <w:shd w:val="clear" w:color="auto" w:fill="auto"/>
            <w:vAlign w:val="center"/>
          </w:tcPr>
          <w:p>
            <w:pPr>
              <w:spacing w:after="0"/>
              <w:jc w:val="center"/>
              <w:rPr>
                <w:rFonts w:ascii="Times New Roman" w:hAnsi="Times New Roman" w:cs="Times New Roman"/>
                <w:b/>
                <w:bCs/>
                <w:noProof/>
              </w:rPr>
            </w:pPr>
            <w:r>
              <w:rPr>
                <w:rFonts w:ascii="Times New Roman" w:hAnsi="Times New Roman"/>
                <w:b/>
                <w:noProof/>
              </w:rPr>
              <w:t>j) Dépréciations / garanties appelées</w:t>
            </w:r>
          </w:p>
        </w:tc>
        <w:tc>
          <w:tcPr>
            <w:tcW w:w="3097" w:type="dxa"/>
            <w:tcBorders>
              <w:left w:val="nil"/>
              <w:right w:val="nil"/>
            </w:tcBorders>
            <w:shd w:val="clear" w:color="auto" w:fill="auto"/>
            <w:vAlign w:val="center"/>
          </w:tcPr>
          <w:p>
            <w:pPr>
              <w:spacing w:before="120" w:after="0"/>
              <w:jc w:val="center"/>
              <w:rPr>
                <w:rFonts w:ascii="Times New Roman" w:hAnsi="Times New Roman" w:cs="Times New Roman"/>
                <w:noProof/>
              </w:rPr>
            </w:pPr>
            <w:r>
              <w:rPr>
                <w:rFonts w:ascii="Times New Roman" w:hAnsi="Times New Roman"/>
                <w:noProof/>
              </w:rPr>
              <w:t>Sans objet</w:t>
            </w:r>
          </w:p>
        </w:tc>
        <w:tc>
          <w:tcPr>
            <w:tcW w:w="3095"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0</w:t>
            </w:r>
          </w:p>
        </w:tc>
      </w:tr>
      <w:tr>
        <w:trPr>
          <w:jc w:val="center"/>
        </w:trPr>
        <w:tc>
          <w:tcPr>
            <w:tcW w:w="2552" w:type="dxa"/>
            <w:tcBorders>
              <w:right w:val="nil"/>
            </w:tcBorders>
            <w:shd w:val="clear" w:color="auto" w:fill="D3DFEE"/>
            <w:vAlign w:val="center"/>
          </w:tcPr>
          <w:p>
            <w:pPr>
              <w:spacing w:after="0"/>
              <w:jc w:val="center"/>
              <w:rPr>
                <w:rFonts w:ascii="Times New Roman" w:hAnsi="Times New Roman" w:cs="Times New Roman"/>
                <w:b/>
                <w:bCs/>
                <w:noProof/>
              </w:rPr>
            </w:pPr>
            <w:r>
              <w:rPr>
                <w:rFonts w:ascii="Times New Roman" w:hAnsi="Times New Roman"/>
                <w:b/>
                <w:noProof/>
              </w:rPr>
              <w:t>k) Effet de levier</w:t>
            </w:r>
          </w:p>
        </w:tc>
        <w:tc>
          <w:tcPr>
            <w:tcW w:w="3097"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5,7</w:t>
            </w:r>
          </w:p>
        </w:tc>
        <w:tc>
          <w:tcPr>
            <w:tcW w:w="3095"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8</w:t>
            </w:r>
          </w:p>
        </w:tc>
      </w:tr>
      <w:tr>
        <w:trPr>
          <w:trHeight w:val="761"/>
          <w:jc w:val="center"/>
        </w:trPr>
        <w:tc>
          <w:tcPr>
            <w:tcW w:w="2552" w:type="dxa"/>
            <w:tcBorders>
              <w:right w:val="nil"/>
            </w:tcBorders>
            <w:shd w:val="clear" w:color="auto" w:fill="auto"/>
            <w:vAlign w:val="center"/>
          </w:tcPr>
          <w:p>
            <w:pPr>
              <w:spacing w:before="360"/>
              <w:jc w:val="center"/>
              <w:rPr>
                <w:rFonts w:ascii="Times New Roman" w:hAnsi="Times New Roman" w:cs="Times New Roman"/>
                <w:b/>
                <w:bCs/>
                <w:i/>
                <w:noProof/>
              </w:rPr>
            </w:pPr>
            <w:r>
              <w:rPr>
                <w:rFonts w:ascii="Times New Roman" w:hAnsi="Times New Roman"/>
                <w:b/>
                <w:noProof/>
              </w:rPr>
              <w:t>l) Contribution à la réalisation des objectifs du programme</w:t>
            </w:r>
          </w:p>
        </w:tc>
        <w:tc>
          <w:tcPr>
            <w:tcW w:w="3097" w:type="dxa"/>
            <w:tcBorders>
              <w:left w:val="nil"/>
              <w:right w:val="nil"/>
            </w:tcBorders>
            <w:shd w:val="clear" w:color="auto" w:fill="auto"/>
          </w:tcPr>
          <w:p>
            <w:pPr>
              <w:spacing w:line="240" w:lineRule="auto"/>
              <w:jc w:val="both"/>
              <w:rPr>
                <w:rFonts w:ascii="Times New Roman" w:hAnsi="Times New Roman" w:cs="Times New Roman"/>
                <w:noProof/>
              </w:rPr>
            </w:pPr>
            <w:r>
              <w:rPr>
                <w:rFonts w:ascii="Times New Roman" w:hAnsi="Times New Roman"/>
                <w:noProof/>
              </w:rPr>
              <w:t>Mobilisation visée de 3 Mrd EUR de nouveaux financements en faveur d'un maximum de 200 000 étudiants;</w:t>
            </w:r>
          </w:p>
          <w:p>
            <w:pPr>
              <w:spacing w:after="0" w:line="240" w:lineRule="auto"/>
              <w:jc w:val="both"/>
              <w:rPr>
                <w:rFonts w:ascii="Times New Roman" w:hAnsi="Times New Roman" w:cs="Times New Roman"/>
                <w:noProof/>
              </w:rPr>
            </w:pPr>
            <w:r>
              <w:rPr>
                <w:rFonts w:ascii="Times New Roman" w:hAnsi="Times New Roman"/>
                <w:noProof/>
              </w:rPr>
              <w:t>possibilité d’effectuer un master dans un autre pays participant au programme</w:t>
            </w:r>
          </w:p>
        </w:tc>
        <w:tc>
          <w:tcPr>
            <w:tcW w:w="3095" w:type="dxa"/>
            <w:tcBorders>
              <w:left w:val="nil"/>
            </w:tcBorders>
            <w:shd w:val="clear" w:color="auto" w:fill="auto"/>
          </w:tcPr>
          <w:p>
            <w:pPr>
              <w:jc w:val="both"/>
              <w:rPr>
                <w:rFonts w:ascii="Times New Roman" w:hAnsi="Times New Roman" w:cs="Times New Roman"/>
                <w:noProof/>
              </w:rPr>
            </w:pPr>
            <w:r>
              <w:rPr>
                <w:rFonts w:ascii="Times New Roman" w:hAnsi="Times New Roman"/>
                <w:noProof/>
              </w:rPr>
              <w:t>Mobilisation visée de 540 Mio EUR de nouveaux financements (prêts pour des investissements dans l'efficacité énergétique);</w:t>
            </w:r>
          </w:p>
          <w:p>
            <w:pPr>
              <w:jc w:val="both"/>
              <w:rPr>
                <w:rFonts w:ascii="Times New Roman" w:hAnsi="Times New Roman" w:cs="Times New Roman"/>
                <w:noProof/>
              </w:rPr>
            </w:pPr>
            <w:r>
              <w:rPr>
                <w:rFonts w:ascii="Times New Roman" w:hAnsi="Times New Roman"/>
                <w:noProof/>
              </w:rPr>
              <w:t>constitue également une expérience pilote avant un passage éventuel à plus grande échelle</w:t>
            </w:r>
          </w:p>
        </w:tc>
      </w:tr>
    </w:tbl>
    <w:p>
      <w:pPr>
        <w:pStyle w:val="Heading4"/>
        <w:spacing w:before="120"/>
        <w:rPr>
          <w:noProof/>
          <w:sz w:val="22"/>
          <w:szCs w:val="22"/>
        </w:rPr>
      </w:pPr>
      <w:r>
        <w:rPr>
          <w:noProof/>
        </w:rPr>
        <w:br w:type="page"/>
      </w:r>
      <w:bookmarkStart w:id="18" w:name="_Toc399517420"/>
      <w:r>
        <w:rPr>
          <w:noProof/>
          <w:sz w:val="22"/>
        </w:rPr>
        <w:t>Instruments de partage des risques</w:t>
      </w:r>
      <w:bookmarkEnd w:id="18"/>
    </w:p>
    <w:tbl>
      <w:tblPr>
        <w:tblStyle w:val="MediumShading1-Accent1"/>
        <w:tblW w:w="4790" w:type="pct"/>
        <w:tblLook w:val="04A0" w:firstRow="1" w:lastRow="0" w:firstColumn="1" w:lastColumn="0" w:noHBand="0" w:noVBand="1"/>
      </w:tblPr>
      <w:tblGrid>
        <w:gridCol w:w="2194"/>
        <w:gridCol w:w="2261"/>
        <w:gridCol w:w="2432"/>
        <w:gridCol w:w="2011"/>
      </w:tblGrid>
      <w:tr>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tcPr>
          <w:p>
            <w:pPr>
              <w:rPr>
                <w:rFonts w:ascii="Times New Roman" w:hAnsi="Times New Roman"/>
                <w:b w:val="0"/>
                <w:bCs w:val="0"/>
                <w:noProof/>
                <w:sz w:val="22"/>
                <w:szCs w:val="22"/>
              </w:rPr>
            </w:pPr>
          </w:p>
        </w:tc>
        <w:tc>
          <w:tcPr>
            <w:tcW w:w="2261"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Mécanisme de financement avec partage des risques — MFPR</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3.1 du document de travail)</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 RTD</w:t>
            </w:r>
          </w:p>
        </w:tc>
        <w:tc>
          <w:tcPr>
            <w:tcW w:w="2432"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Service de prêts pour la R&amp;I au titre d'Horizon 2020 — InnovFin (point 3.2 du document de travail)</w:t>
            </w:r>
            <w:r>
              <w:rPr>
                <w:noProof/>
              </w:rPr>
              <w:br/>
            </w:r>
            <w:r>
              <w:rPr>
                <w:rFonts w:ascii="Times New Roman" w:hAnsi="Times New Roman"/>
                <w:noProof/>
                <w:sz w:val="22"/>
              </w:rPr>
              <w:t>DG responsable: RTD</w:t>
            </w:r>
          </w:p>
        </w:tc>
        <w:tc>
          <w:tcPr>
            <w:tcW w:w="2011" w:type="dxa"/>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Instrument de garantie de prêt — LGTT</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3.3 du document de travail)</w:t>
            </w:r>
            <w:r>
              <w:rPr>
                <w:noProof/>
              </w:rPr>
              <w:br/>
            </w:r>
            <w:r>
              <w:rPr>
                <w:rFonts w:ascii="Times New Roman" w:hAnsi="Times New Roman"/>
                <w:noProof/>
                <w:sz w:val="22"/>
              </w:rPr>
              <w:t>DG responsable: MOVE</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a) Identification / acte de base</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Décision n° 1982/2006/CE</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 (UE) n° 1291/2013</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Règlements (CE) n° 680/2007 et (UE) n° 670/2012</w:t>
            </w:r>
          </w:p>
        </w:tc>
      </w:tr>
      <w:tr>
        <w:trPr>
          <w:cnfStyle w:val="000000010000" w:firstRow="0" w:lastRow="0" w:firstColumn="0" w:lastColumn="0" w:oddVBand="0" w:evenVBand="0" w:oddHBand="0" w:evenHBand="1" w:firstRowFirstColumn="0" w:firstRowLastColumn="0" w:lastRowFirstColumn="0" w:lastRowLastColumn="0"/>
          <w:trHeight w:val="2193"/>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b) Description</w:t>
            </w:r>
          </w:p>
        </w:tc>
        <w:tc>
          <w:tcPr>
            <w:tcW w:w="2261"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financement par l’emprunt améliorant l’accès au capital-risque des bénéficiaires finaux pour des projets de RDI</w:t>
            </w:r>
          </w:p>
        </w:tc>
        <w:tc>
          <w:tcPr>
            <w:tcW w:w="2432"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financement améliorant l’accès à l'emprunt des bénéficiaires finaux investissant dans la R&amp;I</w:t>
            </w:r>
          </w:p>
        </w:tc>
        <w:tc>
          <w:tcPr>
            <w:tcW w:w="2011"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partage des risques pour les projets de transport basés sur les prévisions de recettes</w:t>
            </w:r>
          </w:p>
        </w:tc>
      </w:tr>
      <w:tr>
        <w:trPr>
          <w:cnfStyle w:val="000000100000" w:firstRow="0" w:lastRow="0" w:firstColumn="0" w:lastColumn="0" w:oddVBand="0" w:evenVBand="0" w:oddHBand="1" w:evenHBand="0" w:firstRowFirstColumn="0" w:firstRowLastColumn="0" w:lastRowFirstColumn="0" w:lastRowLastColumn="0"/>
          <w:trHeight w:val="126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banques publiques et privées dans les États membres</w:t>
            </w:r>
          </w:p>
        </w:tc>
      </w:tr>
      <w:tr>
        <w:trPr>
          <w:cnfStyle w:val="000000010000" w:firstRow="0" w:lastRow="0" w:firstColumn="0" w:lastColumn="0" w:oddVBand="0" w:evenVBand="0" w:oddHBand="0" w:evenHBand="1" w:firstRowFirstColumn="0" w:firstRowLastColumn="0" w:lastRowFirstColumn="0" w:lastRowLastColumn="0"/>
          <w:trHeight w:val="1675"/>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960,73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960,73 Mio EUR</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483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483 Mio EUR</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257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212 Mio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e) Utilisation</w:t>
            </w:r>
          </w:p>
        </w:tc>
        <w:tc>
          <w:tcPr>
            <w:tcW w:w="2261"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114 opérations signées avec les bénéficiaires finaux éligibles pour un volume de nouveaux prêts de 11,3 Mrd EUR</w:t>
            </w:r>
          </w:p>
        </w:tc>
        <w:tc>
          <w:tcPr>
            <w:tcW w:w="2432"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30 opérations signées avec les bénéficiaires finaux éligibles pour un volume de nouveaux prêts de 2,5 Mrd EUR</w:t>
            </w:r>
          </w:p>
        </w:tc>
        <w:tc>
          <w:tcPr>
            <w:tcW w:w="2011"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6 opérations signées dans les secteurs du transport routier, portuaire et ferroviaire, représentant un encours de garanties octroyées de 497 Mio EUR</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Néant</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Montants inclus dans la tranche de première perte du portefeuille</w:t>
            </w:r>
          </w:p>
        </w:tc>
      </w:tr>
      <w:tr>
        <w:trPr>
          <w:cnfStyle w:val="000000100000" w:firstRow="0" w:lastRow="0" w:firstColumn="0" w:lastColumn="0" w:oddVBand="0" w:evenVBand="0" w:oddHBand="1" w:evenHBand="0" w:firstRowFirstColumn="0" w:firstRowLastColumn="0" w:lastRowFirstColumn="0" w:lastRowLastColumn="0"/>
          <w:trHeight w:val="1193"/>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g) Solde du compte fiduciaire</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108,63 Mio EUR</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61,57 Mio EUR</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28,4 Mio EUR</w:t>
            </w:r>
          </w:p>
        </w:tc>
      </w:tr>
      <w:tr>
        <w:trPr>
          <w:cnfStyle w:val="000000010000" w:firstRow="0" w:lastRow="0" w:firstColumn="0" w:lastColumn="0" w:oddVBand="0" w:evenVBand="0" w:oddHBand="0" w:evenHBand="1"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2194" w:type="dxa"/>
            <w:vAlign w:val="center"/>
          </w:tcPr>
          <w:p>
            <w:pPr>
              <w:spacing w:before="480" w:after="480"/>
              <w:jc w:val="center"/>
              <w:rPr>
                <w:rFonts w:ascii="Times New Roman" w:hAnsi="Times New Roman"/>
                <w:bCs w:val="0"/>
                <w:noProof/>
                <w:sz w:val="22"/>
                <w:szCs w:val="22"/>
              </w:rPr>
            </w:pPr>
            <w:r>
              <w:rPr>
                <w:rFonts w:ascii="Times New Roman" w:hAnsi="Times New Roman"/>
                <w:noProof/>
                <w:sz w:val="22"/>
              </w:rPr>
              <w:t>h) Recettes et remboursements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136,11 Mio EUR</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0</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35,4 Mio EUR</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i) Valeur des investissements de fonds propres</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226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5,02 Mio EUR</w:t>
            </w:r>
          </w:p>
        </w:tc>
        <w:tc>
          <w:tcPr>
            <w:tcW w:w="243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011"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k) Effet de levier</w:t>
            </w:r>
          </w:p>
        </w:tc>
        <w:tc>
          <w:tcPr>
            <w:tcW w:w="226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de 5 à 6,5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12</w:t>
            </w:r>
          </w:p>
        </w:tc>
        <w:tc>
          <w:tcPr>
            <w:tcW w:w="243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12,5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2,4 (attendu: 5,1)</w:t>
            </w:r>
          </w:p>
        </w:tc>
        <w:tc>
          <w:tcPr>
            <w:tcW w:w="2011"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57,1</w:t>
            </w:r>
          </w:p>
        </w:tc>
      </w:tr>
      <w:tr>
        <w:trPr>
          <w:cnfStyle w:val="000000010000" w:firstRow="0" w:lastRow="0" w:firstColumn="0" w:lastColumn="0" w:oddVBand="0" w:evenVBand="0" w:oddHBand="0" w:evenHBand="1"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2194" w:type="dxa"/>
            <w:vAlign w:val="center"/>
          </w:tcPr>
          <w:p>
            <w:pPr>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2261"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9,6 Mrd EUR de nouveaux financements par capital-risque mobilisés au profit de 98 bénéficiaires finaux éligibles;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19 Mrd EUR d’investissements mobilisés;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25 pays couverts</w:t>
            </w:r>
          </w:p>
        </w:tc>
        <w:tc>
          <w:tcPr>
            <w:tcW w:w="2432"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1,2 Mrd EUR de nouveaux financements par capital-risque mobilisés au profit de 15 bénéficiaires finaux éligibles;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3,2 Mrd EUR d’investissements mobilisés;</w:t>
            </w:r>
          </w:p>
        </w:tc>
        <w:tc>
          <w:tcPr>
            <w:tcW w:w="2011" w:type="dxa"/>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12,1 Mrd EUR de nouveaux financements (coûts des projets) mobilisés au profit de 6 bénéficiaires finaux éligibles;</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5 pays couverts</w:t>
            </w:r>
          </w:p>
        </w:tc>
      </w:tr>
    </w:tbl>
    <w:p>
      <w:pPr>
        <w:jc w:val="both"/>
        <w:rPr>
          <w:rFonts w:ascii="Times New Roman" w:hAnsi="Times New Roman" w:cs="Times New Roman"/>
          <w:noProof/>
        </w:rPr>
      </w:pPr>
    </w:p>
    <w:tbl>
      <w:tblPr>
        <w:tblStyle w:val="MediumShading1-Accent1"/>
        <w:tblW w:w="9367" w:type="dxa"/>
        <w:jc w:val="center"/>
        <w:tblLayout w:type="fixed"/>
        <w:tblLook w:val="04A0" w:firstRow="1" w:lastRow="0" w:firstColumn="1" w:lastColumn="0" w:noHBand="0" w:noVBand="1"/>
      </w:tblPr>
      <w:tblGrid>
        <w:gridCol w:w="2196"/>
        <w:gridCol w:w="2023"/>
        <w:gridCol w:w="2410"/>
        <w:gridCol w:w="236"/>
        <w:gridCol w:w="1252"/>
        <w:gridCol w:w="1171"/>
        <w:gridCol w:w="79"/>
      </w:tblGrid>
      <w:tr>
        <w:trPr>
          <w:gridAfter w:val="1"/>
          <w:cnfStyle w:val="100000000000" w:firstRow="1" w:lastRow="0" w:firstColumn="0" w:lastColumn="0" w:oddVBand="0" w:evenVBand="0" w:oddHBand="0" w:evenHBand="0" w:firstRowFirstColumn="0" w:firstRowLastColumn="0" w:lastRowFirstColumn="0" w:lastRowLastColumn="0"/>
          <w:wAfter w:w="79" w:type="dxa"/>
          <w:trHeight w:val="2683"/>
          <w:jc w:val="center"/>
        </w:trPr>
        <w:tc>
          <w:tcPr>
            <w:cnfStyle w:val="001000000000" w:firstRow="0" w:lastRow="0" w:firstColumn="1" w:lastColumn="0" w:oddVBand="0" w:evenVBand="0" w:oddHBand="0" w:evenHBand="0" w:firstRowFirstColumn="0" w:firstRowLastColumn="0" w:lastRowFirstColumn="0" w:lastRowLastColumn="0"/>
            <w:tcW w:w="2196" w:type="dxa"/>
          </w:tcPr>
          <w:p>
            <w:pPr>
              <w:rPr>
                <w:rFonts w:ascii="Times New Roman" w:hAnsi="Times New Roman"/>
                <w:b w:val="0"/>
                <w:bCs w:val="0"/>
                <w:noProof/>
                <w:sz w:val="22"/>
                <w:szCs w:val="22"/>
              </w:rPr>
            </w:pPr>
            <w:r>
              <w:rPr>
                <w:noProof/>
              </w:rPr>
              <w:br w:type="page"/>
            </w:r>
          </w:p>
        </w:tc>
        <w:tc>
          <w:tcPr>
            <w:tcW w:w="2023"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Initiative relative aux emprunts obligataires — PBI</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(point 3.4 du document de travail)</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responsables: MOVE,</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ENER, CNECT</w:t>
            </w:r>
          </w:p>
        </w:tc>
        <w:tc>
          <w:tcPr>
            <w:tcW w:w="2410" w:type="dxa"/>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Mécanisme de financement du capital naturel — NCFF (point 3.6 du document de travail)</w:t>
            </w:r>
            <w:r>
              <w:rPr>
                <w:noProof/>
              </w:rPr>
              <w:br/>
            </w:r>
            <w:r>
              <w:rPr>
                <w:rFonts w:ascii="Times New Roman" w:hAnsi="Times New Roman"/>
                <w:noProof/>
                <w:sz w:val="22"/>
              </w:rPr>
              <w:t>DG responsables: ENV/CLIMA</w:t>
            </w:r>
          </w:p>
        </w:tc>
        <w:tc>
          <w:tcPr>
            <w:tcW w:w="2659" w:type="dxa"/>
            <w:gridSpan w:val="3"/>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Initiative en faveur des PME (point 3.7 document de travail)</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Cs w:val="0"/>
                <w:noProof/>
                <w:sz w:val="22"/>
                <w:szCs w:val="22"/>
              </w:rPr>
            </w:pPr>
            <w:r>
              <w:rPr>
                <w:rFonts w:ascii="Times New Roman" w:hAnsi="Times New Roman"/>
                <w:noProof/>
                <w:sz w:val="22"/>
              </w:rPr>
              <w:t>DG responsables: ECFIN, RTD, GROW, REGIO</w:t>
            </w:r>
          </w:p>
        </w:tc>
      </w:tr>
      <w:tr>
        <w:trPr>
          <w:cnfStyle w:val="000000100000" w:firstRow="0" w:lastRow="0" w:firstColumn="0" w:lastColumn="0" w:oddVBand="0" w:evenVBand="0" w:oddHBand="1" w:evenHBand="0" w:firstRowFirstColumn="0" w:firstRowLastColumn="0" w:lastRowFirstColumn="0" w:lastRowLastColumn="0"/>
          <w:trHeight w:val="1955"/>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a) Identification / acte de base</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 (UE) n° 670/2012</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rPr>
              <w:t>Règlement (UE) n° 1293/2013</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2502" w:type="dxa"/>
            <w:gridSpan w:val="3"/>
            <w:vAlign w:val="center"/>
          </w:tcPr>
          <w:p>
            <w:pPr>
              <w:ind w:left="121"/>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Règlements (EU) n° 1287/2013, 1291/2013 et 1303/2013</w:t>
            </w:r>
          </w:p>
        </w:tc>
      </w:tr>
      <w:tr>
        <w:trPr>
          <w:cnfStyle w:val="000000010000" w:firstRow="0" w:lastRow="0" w:firstColumn="0" w:lastColumn="0" w:oddVBand="0" w:evenVBand="0" w:oddHBand="0" w:evenHBand="1" w:firstRowFirstColumn="0" w:firstRowLastColumn="0" w:lastRowFirstColumn="0" w:lastRowLastColumn="0"/>
          <w:trHeight w:val="2766"/>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b) Description</w:t>
            </w:r>
          </w:p>
        </w:tc>
        <w:tc>
          <w:tcPr>
            <w:tcW w:w="2023"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Instrument de partage des risques visant à stimuler le financement des projets d’infrastructures (transport, énergie et haut débit) par les marchés des capitaux</w:t>
            </w:r>
          </w:p>
        </w:tc>
        <w:tc>
          <w:tcPr>
            <w:tcW w:w="2410"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Instrument de partage des risques finançant des investissements dans le capital naturel générateurs de recettes </w:t>
            </w:r>
          </w:p>
        </w:tc>
        <w:tc>
          <w:tcPr>
            <w:tcW w:w="236"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 xml:space="preserve">Instrument de partage des risques visant à compléter et exploiter les synergies entre les programmes nationaux et européens existants de soutien aux PME </w:t>
            </w:r>
          </w:p>
        </w:tc>
      </w:tr>
      <w:tr>
        <w:trPr>
          <w:cnfStyle w:val="000000100000" w:firstRow="0" w:lastRow="0" w:firstColumn="0" w:lastColumn="0" w:oddVBand="0" w:evenVBand="0" w:oddHBand="1" w:evenHBand="0" w:firstRowFirstColumn="0" w:firstRowLastColumn="0" w:lastRowFirstColumn="0" w:lastRowLastColumn="0"/>
          <w:trHeight w:val="126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et FEI</w:t>
            </w:r>
          </w:p>
        </w:tc>
      </w:tr>
      <w:tr>
        <w:trPr>
          <w:cnfStyle w:val="000000010000" w:firstRow="0" w:lastRow="0" w:firstColumn="0" w:lastColumn="0" w:oddVBand="0" w:evenVBand="0" w:oddHBand="0" w:evenHBand="1" w:firstRowFirstColumn="0" w:firstRowLastColumn="0" w:lastRowFirstColumn="0" w:lastRowLastColumn="0"/>
          <w:trHeight w:val="1534"/>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230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146 Mio EUR</w:t>
            </w:r>
            <w:r>
              <w:rPr>
                <w:rStyle w:val="FootnoteReference"/>
                <w:rFonts w:ascii="Times New Roman" w:hAnsi="Times New Roman"/>
                <w:noProof/>
                <w:sz w:val="22"/>
              </w:rPr>
              <w:footnoteReference w:id="3"/>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10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3,25 Mio EUR</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trHeight w:val="4242"/>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e) Utilisation</w:t>
            </w:r>
          </w:p>
        </w:tc>
        <w:tc>
          <w:tcPr>
            <w:tcW w:w="2023" w:type="dxa"/>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color w:val="000000"/>
                <w:sz w:val="22"/>
                <w:szCs w:val="22"/>
              </w:rPr>
            </w:pPr>
            <w:r>
              <w:rPr>
                <w:rFonts w:ascii="Times New Roman" w:hAnsi="Times New Roman"/>
                <w:noProof/>
                <w:color w:val="000000"/>
                <w:sz w:val="22"/>
              </w:rPr>
              <w:t>5 opérations ont été signés (2 dans les transports, 2 dans l’énergie, 1 dans les télécommunications)</w:t>
            </w:r>
          </w:p>
          <w:p>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noProof/>
                <w:color w:val="000000"/>
                <w:sz w:val="22"/>
                <w:szCs w:val="22"/>
              </w:rPr>
            </w:pPr>
            <w:r>
              <w:rPr>
                <w:rFonts w:ascii="Times New Roman" w:hAnsi="Times New Roman"/>
                <w:noProof/>
                <w:color w:val="000000"/>
                <w:sz w:val="22"/>
              </w:rPr>
              <w:t>Rehaussement de crédit d'emprunt obligataire pour ces 5 opérations: 493 Mio EUR</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Pas encore applicable</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Pas encore applicable</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g) Solde du compte fiduciaire</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15,15 Mio EUR</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0 EUR</w:t>
            </w:r>
            <w:r>
              <w:rPr>
                <w:rStyle w:val="FootnoteReference"/>
                <w:rFonts w:ascii="Times New Roman" w:hAnsi="Times New Roman"/>
                <w:noProof/>
                <w:sz w:val="22"/>
              </w:rPr>
              <w:footnoteReference w:id="4"/>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h) Recettes et remboursements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7,04 Mio EUR</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i) Valeur des investissements de fonds propres</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2023"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410"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236"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50" w:type="dxa"/>
            <w:gridSpan w:val="2"/>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k) Effet de levier</w:t>
            </w:r>
          </w:p>
        </w:tc>
        <w:tc>
          <w:tcPr>
            <w:tcW w:w="2023"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9</w:t>
            </w:r>
          </w:p>
        </w:tc>
        <w:tc>
          <w:tcPr>
            <w:tcW w:w="2410"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entre 2 et 4</w:t>
            </w:r>
          </w:p>
        </w:tc>
        <w:tc>
          <w:tcPr>
            <w:tcW w:w="236"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c>
          <w:tcPr>
            <w:tcW w:w="1252" w:type="dxa"/>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7</w:t>
            </w:r>
          </w:p>
        </w:tc>
        <w:tc>
          <w:tcPr>
            <w:tcW w:w="1250" w:type="dxa"/>
            <w:gridSpan w:val="2"/>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2196" w:type="dxa"/>
            <w:vAlign w:val="center"/>
          </w:tcPr>
          <w:p>
            <w:pPr>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2023"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Mobilisation de 2,1 Mrd EUR de nouveaux financements (coûts d’investissement) en faveur de 4 projets, avec un rehaussement de crédit de 493 Mio EUR</w:t>
            </w:r>
          </w:p>
        </w:tc>
        <w:tc>
          <w:tcPr>
            <w:tcW w:w="2410"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Mobilisation visée de 100 à 200 Mio EUR de nouveaux financements destinés à promouvoir les services écosystémiques, les infrastructures vertes et la biodiversité</w:t>
            </w:r>
          </w:p>
        </w:tc>
        <w:tc>
          <w:tcPr>
            <w:tcW w:w="236" w:type="dxa"/>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p>
        </w:tc>
        <w:tc>
          <w:tcPr>
            <w:tcW w:w="2502" w:type="dxa"/>
            <w:gridSpan w:val="3"/>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Mobilisation visée de 5 723 Mio EUR de nouveaux prêts en faveur de toutes les régions espagnoles</w:t>
            </w:r>
          </w:p>
        </w:tc>
      </w:tr>
    </w:tbl>
    <w:p>
      <w:pPr>
        <w:pStyle w:val="Heading4"/>
        <w:spacing w:before="120"/>
        <w:rPr>
          <w:noProof/>
          <w:sz w:val="22"/>
          <w:szCs w:val="22"/>
        </w:rPr>
      </w:pPr>
      <w:bookmarkStart w:id="19" w:name="_Toc399517421"/>
      <w:r>
        <w:rPr>
          <w:noProof/>
        </w:rPr>
        <w:br w:type="page"/>
      </w:r>
      <w:r>
        <w:rPr>
          <w:noProof/>
          <w:sz w:val="22"/>
        </w:rPr>
        <w:t>Véhicules d’investissement spécialisés</w:t>
      </w:r>
      <w:bookmarkEnd w:id="19"/>
    </w:p>
    <w:tbl>
      <w:tblPr>
        <w:tblStyle w:val="MediumShading1-Accent1"/>
        <w:tblW w:w="5000" w:type="pct"/>
        <w:jc w:val="center"/>
        <w:tblLook w:val="04A0" w:firstRow="1" w:lastRow="0" w:firstColumn="1" w:lastColumn="0" w:noHBand="0" w:noVBand="1"/>
      </w:tblPr>
      <w:tblGrid>
        <w:gridCol w:w="2388"/>
        <w:gridCol w:w="2298"/>
        <w:gridCol w:w="2300"/>
        <w:gridCol w:w="2302"/>
      </w:tblGrid>
      <w:tr>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 w:val="0"/>
                <w:bCs w:val="0"/>
                <w:noProof/>
                <w:sz w:val="22"/>
                <w:szCs w:val="22"/>
              </w:rPr>
            </w:pPr>
          </w:p>
        </w:tc>
        <w:tc>
          <w:tcPr>
            <w:tcW w:w="1237"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noProof/>
                <w:sz w:val="22"/>
              </w:rPr>
              <w:t>Instrument européen de microfinancement Progress — FCP-FIS</w:t>
            </w:r>
          </w:p>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noProof/>
                <w:sz w:val="22"/>
              </w:rPr>
              <w:t>(point 4.1 du document de travail)</w:t>
            </w:r>
            <w:r>
              <w:rPr>
                <w:noProof/>
              </w:rPr>
              <w:br/>
            </w:r>
            <w:r>
              <w:rPr>
                <w:rFonts w:ascii="Times New Roman" w:hAnsi="Times New Roman"/>
                <w:b w:val="0"/>
                <w:noProof/>
                <w:sz w:val="22"/>
              </w:rPr>
              <w:t>DG responsables: EMPL et ECFIN</w:t>
            </w:r>
          </w:p>
        </w:tc>
        <w:tc>
          <w:tcPr>
            <w:tcW w:w="1238"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noProof/>
                <w:sz w:val="22"/>
              </w:rPr>
              <w:t>Fonds européen 2020 – Fonds Marguerite (point 4.2 du document de travail)</w:t>
            </w:r>
            <w:r>
              <w:rPr>
                <w:noProof/>
              </w:rPr>
              <w:br/>
            </w:r>
            <w:r>
              <w:rPr>
                <w:rFonts w:ascii="Times New Roman" w:hAnsi="Times New Roman"/>
                <w:b w:val="0"/>
                <w:noProof/>
                <w:sz w:val="22"/>
              </w:rPr>
              <w:t>DG responsable: MOVE</w:t>
            </w:r>
          </w:p>
        </w:tc>
        <w:tc>
          <w:tcPr>
            <w:tcW w:w="1239" w:type="pct"/>
            <w:vAlign w:val="center"/>
          </w:tcPr>
          <w:p>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noProof/>
                <w:sz w:val="22"/>
                <w:szCs w:val="22"/>
              </w:rPr>
            </w:pPr>
            <w:r>
              <w:rPr>
                <w:rFonts w:ascii="Times New Roman" w:hAnsi="Times New Roman"/>
                <w:b w:val="0"/>
                <w:noProof/>
                <w:sz w:val="22"/>
              </w:rPr>
              <w:t>Fonds européen pour l’efficacité énergétique – FEEE (point 4.3 du document de travail)</w:t>
            </w:r>
            <w:r>
              <w:rPr>
                <w:noProof/>
              </w:rPr>
              <w:br/>
            </w:r>
            <w:r>
              <w:rPr>
                <w:rFonts w:ascii="Times New Roman" w:hAnsi="Times New Roman"/>
                <w:b w:val="0"/>
                <w:noProof/>
                <w:sz w:val="22"/>
              </w:rPr>
              <w:t>DG responsable: ENER</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a) Identification / acte de base</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Décision n° 283/2010/UE</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Règlement (CE) n° 680/2007</w:t>
            </w:r>
          </w:p>
        </w:tc>
        <w:tc>
          <w:tcPr>
            <w:tcW w:w="1239" w:type="pct"/>
            <w:vAlign w:val="center"/>
          </w:tcPr>
          <w:p>
            <w:pPr>
              <w:spacing w:before="30" w:after="3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i/>
                <w:noProof/>
                <w:sz w:val="22"/>
                <w:szCs w:val="22"/>
              </w:rPr>
            </w:pPr>
            <w:r>
              <w:rPr>
                <w:rFonts w:ascii="Times New Roman" w:hAnsi="Times New Roman"/>
                <w:noProof/>
                <w:sz w:val="22"/>
              </w:rPr>
              <w:t>Règlement (UE) n° 1233/2010</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b) Description</w:t>
            </w:r>
          </w:p>
        </w:tc>
        <w:tc>
          <w:tcPr>
            <w:tcW w:w="1237"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Copropriété de fait d'actions et d’autres actifs éligibles visant à augmenter l’accès à la micro-finance</w:t>
            </w:r>
          </w:p>
        </w:tc>
        <w:tc>
          <w:tcPr>
            <w:tcW w:w="1238"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Fonds paneuropéen de capital-investissement soutenant les investissements à long terme dans les infrastructures des secteurs des transports, de l’énergie et des énergies renouvelables dans l'UE</w:t>
            </w:r>
          </w:p>
        </w:tc>
        <w:tc>
          <w:tcPr>
            <w:tcW w:w="1239"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Fonds d’investissement spécialisé (SICAV) investissant dans des projets liés à l’efficacité énergétique, aux énergies renouvelables et aux transports urbains propres</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c) Institution(s) financière(s) concernée(s)</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FEI (gestionnaire)</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(co-investisseur)</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Co-investisseurs: France (CDC), Italie (CdP), Allemagne (KfW), Espagne (ICO), Pologne (PKO) et BEI</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BEI (entité chargée de l’exécution), Deutsche Bank (gestionnaire des investissements), CDP (investisseur)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d) Total des engagements et des paiements budgétaires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80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63,4 Mio EUR</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80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31,3 Mio EUR</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146,3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98,6 Mio EUR</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e) Utilisation</w:t>
            </w:r>
          </w:p>
        </w:tc>
        <w:tc>
          <w:tcPr>
            <w:tcW w:w="1237"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41 accords signés avec des intermédiaires financiers pour l'octroi d'un volume de nouveaux prêts de 292,1 Mio EUR, destinés à 41 060 bénéficiaires finaux</w:t>
            </w:r>
          </w:p>
        </w:tc>
        <w:tc>
          <w:tcPr>
            <w:tcW w:w="1238"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295 Mio EUR de fonds propres engagés en faveur de 10 projets (3 dans le RTE-T et 7 dans le secteur des énergies renouvelables)</w:t>
            </w:r>
          </w:p>
        </w:tc>
        <w:tc>
          <w:tcPr>
            <w:tcW w:w="1239" w:type="pct"/>
            <w:vAlign w:val="center"/>
          </w:tcPr>
          <w:p>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265 Mio EUR de capitaux propres fournis par le Fonds (dont une contribution de l’Union de 125 Mio EUR) pour un volume d'investissements attendu de 441 Mio EUR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f) Évaluation de l’utilisation des montants remboursés à l’instrument</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g) Solde du compte fiduciaire</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26,8 Mio EUR</w:t>
            </w:r>
            <w:r>
              <w:rPr>
                <w:rStyle w:val="FootnoteReference"/>
                <w:rFonts w:ascii="Times New Roman" w:hAnsi="Times New Roman"/>
                <w:noProof/>
                <w:sz w:val="22"/>
              </w:rPr>
              <w:footnoteReference w:id="5"/>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h) Recettes et remboursements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8,7 Mio EUR</w:t>
            </w:r>
          </w:p>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13,4 Mio EUR</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6,1 Mio EUR</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i) Valeur des investissements de fonds propres</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59,9 Mio EUR</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36,6 Mio EUR</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Valeur liquidative: 64,29 Mio EUR</w:t>
            </w:r>
          </w:p>
        </w:tc>
      </w:tr>
      <w:tr>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j) Dépréciations / garanties appelées</w:t>
            </w:r>
          </w:p>
        </w:tc>
        <w:tc>
          <w:tcPr>
            <w:tcW w:w="1237"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Non disponible</w:t>
            </w:r>
          </w:p>
        </w:tc>
        <w:tc>
          <w:tcPr>
            <w:tcW w:w="1238"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Néant</w:t>
            </w:r>
          </w:p>
        </w:tc>
        <w:tc>
          <w:tcPr>
            <w:tcW w:w="1239" w:type="pct"/>
            <w:vAlign w:val="center"/>
          </w:tcPr>
          <w:p>
            <w:pPr>
              <w:jc w:val="center"/>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Sans objet</w:t>
            </w:r>
          </w:p>
        </w:tc>
      </w:tr>
      <w:tr>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k) Effet de levier</w:t>
            </w:r>
          </w:p>
        </w:tc>
        <w:tc>
          <w:tcPr>
            <w:tcW w:w="1237"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2,33</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1,8</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Attendu: 4,6</w:t>
            </w:r>
          </w:p>
        </w:tc>
        <w:tc>
          <w:tcPr>
            <w:tcW w:w="1238"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125</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157</w:t>
            </w:r>
          </w:p>
        </w:tc>
        <w:tc>
          <w:tcPr>
            <w:tcW w:w="1239" w:type="pct"/>
            <w:vAlign w:val="center"/>
          </w:tcPr>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Visé: 5,6</w:t>
            </w:r>
          </w:p>
          <w:p>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noProof/>
                <w:sz w:val="22"/>
                <w:szCs w:val="22"/>
              </w:rPr>
            </w:pPr>
            <w:r>
              <w:rPr>
                <w:rFonts w:ascii="Times New Roman" w:hAnsi="Times New Roman"/>
                <w:noProof/>
                <w:sz w:val="22"/>
              </w:rPr>
              <w:t>Atteint: 2,12</w:t>
            </w:r>
          </w:p>
        </w:tc>
      </w:tr>
      <w:tr>
        <w:trPr>
          <w:cnfStyle w:val="000000010000" w:firstRow="0" w:lastRow="0" w:firstColumn="0" w:lastColumn="0" w:oddVBand="0" w:evenVBand="0" w:oddHBand="0" w:evenHBand="1" w:firstRowFirstColumn="0" w:firstRowLastColumn="0" w:lastRowFirstColumn="0" w:lastRowLastColumn="0"/>
          <w:trHeight w:val="761"/>
          <w:jc w:val="center"/>
        </w:trPr>
        <w:tc>
          <w:tcPr>
            <w:cnfStyle w:val="001000000000" w:firstRow="0" w:lastRow="0" w:firstColumn="1" w:lastColumn="0" w:oddVBand="0" w:evenVBand="0" w:oddHBand="0" w:evenHBand="0" w:firstRowFirstColumn="0" w:firstRowLastColumn="0" w:lastRowFirstColumn="0" w:lastRowLastColumn="0"/>
            <w:tcW w:w="1286" w:type="pct"/>
            <w:vAlign w:val="center"/>
          </w:tcPr>
          <w:p>
            <w:pPr>
              <w:jc w:val="center"/>
              <w:rPr>
                <w:rFonts w:ascii="Times New Roman" w:hAnsi="Times New Roman"/>
                <w:bCs w:val="0"/>
                <w:noProof/>
                <w:sz w:val="22"/>
                <w:szCs w:val="22"/>
              </w:rPr>
            </w:pPr>
            <w:r>
              <w:rPr>
                <w:rFonts w:ascii="Times New Roman" w:hAnsi="Times New Roman"/>
                <w:noProof/>
                <w:sz w:val="22"/>
              </w:rPr>
              <w:t>l) Contribution à la réalisation des objectifs du programme</w:t>
            </w:r>
          </w:p>
        </w:tc>
        <w:tc>
          <w:tcPr>
            <w:tcW w:w="1237"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Mobilisation de 114 Mio EUR de nouveaux financements en faveur de 16 025 destinataires finaux;</w:t>
            </w:r>
          </w:p>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14 États membres couverts</w:t>
            </w:r>
          </w:p>
        </w:tc>
        <w:tc>
          <w:tcPr>
            <w:tcW w:w="1238"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Mobilisation de 4,9 Mrd EUR de financements en faveur de 10 projets, grâce à 295 Mio EUR d'investissements en fonds propres du Fonds</w:t>
            </w:r>
          </w:p>
        </w:tc>
        <w:tc>
          <w:tcPr>
            <w:tcW w:w="1239" w:type="pct"/>
            <w:vAlign w:val="center"/>
          </w:tcPr>
          <w:p>
            <w:pPr>
              <w:jc w:val="both"/>
              <w:cnfStyle w:val="000000010000" w:firstRow="0" w:lastRow="0" w:firstColumn="0" w:lastColumn="0" w:oddVBand="0" w:evenVBand="0" w:oddHBand="0" w:evenHBand="1" w:firstRowFirstColumn="0" w:firstRowLastColumn="0" w:lastRowFirstColumn="0" w:lastRowLastColumn="0"/>
              <w:rPr>
                <w:rFonts w:ascii="Times New Roman" w:hAnsi="Times New Roman"/>
                <w:noProof/>
                <w:sz w:val="22"/>
                <w:szCs w:val="22"/>
              </w:rPr>
            </w:pPr>
            <w:r>
              <w:rPr>
                <w:rFonts w:ascii="Times New Roman" w:hAnsi="Times New Roman"/>
                <w:noProof/>
                <w:sz w:val="22"/>
              </w:rPr>
              <w:t>185 Mio EUR de financements alloués à 12 projets, dont 9 ont été signés et devraient entraîner un investissement total de 216 Mio EUR</w:t>
            </w:r>
          </w:p>
        </w:tc>
      </w:tr>
    </w:tbl>
    <w:p>
      <w:pPr>
        <w:pStyle w:val="Heading4"/>
        <w:spacing w:before="120"/>
        <w:rPr>
          <w:noProof/>
          <w:sz w:val="22"/>
          <w:szCs w:val="22"/>
        </w:rPr>
      </w:pPr>
      <w:bookmarkStart w:id="20" w:name="_Toc420402803"/>
      <w:bookmarkStart w:id="21" w:name="_Toc420402856"/>
      <w:bookmarkStart w:id="22" w:name="_Toc420402804"/>
      <w:bookmarkStart w:id="23" w:name="_Toc420402857"/>
      <w:bookmarkStart w:id="24" w:name="_Toc399517422"/>
      <w:bookmarkEnd w:id="20"/>
      <w:bookmarkEnd w:id="21"/>
      <w:bookmarkEnd w:id="22"/>
      <w:bookmarkEnd w:id="23"/>
      <w:r>
        <w:rPr>
          <w:noProof/>
        </w:rPr>
        <w:br w:type="page"/>
      </w:r>
      <w:r>
        <w:rPr>
          <w:noProof/>
          <w:sz w:val="22"/>
        </w:rPr>
        <w:t>Instruments financiers dans les pays concernés par l'élargissement</w:t>
      </w:r>
      <w:bookmarkEnd w:id="24"/>
    </w:p>
    <w:tbl>
      <w:tblPr>
        <w:tblW w:w="5000" w:type="pct"/>
        <w:tblBorders>
          <w:top w:val="single" w:sz="8" w:space="0" w:color="7BA0CD"/>
          <w:left w:val="single" w:sz="8" w:space="0" w:color="7BA0CD"/>
          <w:bottom w:val="single" w:sz="8" w:space="0" w:color="7BA0CD"/>
          <w:right w:val="single" w:sz="8" w:space="0" w:color="7BA0CD"/>
          <w:insideH w:val="single" w:sz="8" w:space="0" w:color="7BA0CD"/>
        </w:tblBorders>
        <w:tblLook w:val="04A0" w:firstRow="1" w:lastRow="0" w:firstColumn="1" w:lastColumn="0" w:noHBand="0" w:noVBand="1"/>
      </w:tblPr>
      <w:tblGrid>
        <w:gridCol w:w="2195"/>
        <w:gridCol w:w="2365"/>
        <w:gridCol w:w="2495"/>
        <w:gridCol w:w="2233"/>
      </w:tblGrid>
      <w:tr>
        <w:tc>
          <w:tcPr>
            <w:tcW w:w="1182" w:type="pct"/>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1273" w:type="pct"/>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Facilité de garantie dans le cadre du WB EDIF</w:t>
            </w:r>
            <w:r>
              <w:rPr>
                <w:rStyle w:val="FootnoteReference"/>
                <w:rFonts w:ascii="Times New Roman" w:hAnsi="Times New Roman"/>
                <w:b/>
                <w:noProof/>
                <w:color w:val="FFFFFF"/>
              </w:rPr>
              <w:footnoteReference w:id="6"/>
            </w:r>
            <w:r>
              <w:rPr>
                <w:rFonts w:ascii="Times New Roman" w:hAnsi="Times New Roman"/>
                <w:b/>
                <w:noProof/>
                <w:color w:val="FFFFFF"/>
              </w:rPr>
              <w:t xml:space="preserve"> — GF WB (point 5.1 du document de travail)</w:t>
            </w:r>
            <w:r>
              <w:rPr>
                <w:noProof/>
              </w:rPr>
              <w:br/>
            </w:r>
            <w:r>
              <w:rPr>
                <w:rFonts w:ascii="Times New Roman" w:hAnsi="Times New Roman"/>
                <w:b/>
                <w:noProof/>
                <w:color w:val="FFFFFF"/>
              </w:rPr>
              <w:t>DG responsable: NEAR</w:t>
            </w:r>
          </w:p>
        </w:tc>
        <w:tc>
          <w:tcPr>
            <w:tcW w:w="1343" w:type="pct"/>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Fonds pour le développement des entreprises — ENEF</w:t>
            </w:r>
            <w:r>
              <w:rPr>
                <w:rStyle w:val="FootnoteReference"/>
                <w:rFonts w:ascii="Times New Roman" w:hAnsi="Times New Roman"/>
                <w:b/>
                <w:noProof/>
                <w:color w:val="FFFFFF"/>
              </w:rPr>
              <w:footnoteReference w:id="7"/>
            </w:r>
          </w:p>
          <w:p>
            <w:pPr>
              <w:jc w:val="center"/>
              <w:rPr>
                <w:rFonts w:ascii="Times New Roman" w:hAnsi="Times New Roman" w:cs="Times New Roman"/>
                <w:b/>
                <w:bCs/>
                <w:noProof/>
                <w:color w:val="FFFFFF"/>
              </w:rPr>
            </w:pPr>
            <w:r>
              <w:rPr>
                <w:rFonts w:ascii="Times New Roman" w:hAnsi="Times New Roman"/>
                <w:b/>
                <w:noProof/>
                <w:color w:val="FFFFFF"/>
              </w:rPr>
              <w:t>(point 5.2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NEAR</w:t>
            </w:r>
          </w:p>
        </w:tc>
        <w:tc>
          <w:tcPr>
            <w:tcW w:w="1202" w:type="pct"/>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Fonds pour l’innovation des entreprises  — ENIF</w:t>
            </w:r>
            <w:r>
              <w:rPr>
                <w:rStyle w:val="FootnoteReference"/>
                <w:rFonts w:ascii="Times New Roman" w:hAnsi="Times New Roman"/>
                <w:b/>
                <w:noProof/>
                <w:color w:val="FFFFFF"/>
              </w:rPr>
              <w:footnoteReference w:id="8"/>
            </w:r>
          </w:p>
          <w:p>
            <w:pPr>
              <w:jc w:val="center"/>
              <w:rPr>
                <w:rFonts w:ascii="Times New Roman" w:hAnsi="Times New Roman" w:cs="Times New Roman"/>
                <w:b/>
                <w:bCs/>
                <w:noProof/>
                <w:color w:val="FFFFFF"/>
              </w:rPr>
            </w:pPr>
            <w:r>
              <w:rPr>
                <w:rFonts w:ascii="Times New Roman" w:hAnsi="Times New Roman"/>
                <w:b/>
                <w:noProof/>
                <w:color w:val="FFFFFF"/>
              </w:rPr>
              <w:t>(point 5.3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NEAR</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noProof/>
              </w:rPr>
              <w:t>Règlement (CE) n° 1085/2006 du Conseil</w:t>
            </w:r>
          </w:p>
        </w:tc>
        <w:tc>
          <w:tcPr>
            <w:tcW w:w="1343" w:type="pct"/>
            <w:shd w:val="clear" w:color="auto" w:fill="D3DFEE"/>
            <w:vAlign w:val="center"/>
          </w:tcPr>
          <w:p>
            <w:pPr>
              <w:jc w:val="center"/>
              <w:rPr>
                <w:rFonts w:ascii="Times New Roman" w:hAnsi="Times New Roman" w:cs="Times New Roman"/>
                <w:i/>
                <w:noProof/>
              </w:rPr>
            </w:pPr>
            <w:r>
              <w:rPr>
                <w:rFonts w:ascii="Times New Roman" w:hAnsi="Times New Roman"/>
                <w:noProof/>
              </w:rPr>
              <w:t>Règlement (CE) n° 1085/2006 du Conseil</w:t>
            </w:r>
          </w:p>
        </w:tc>
        <w:tc>
          <w:tcPr>
            <w:tcW w:w="1202" w:type="pct"/>
            <w:shd w:val="clear" w:color="auto" w:fill="D3DFEE"/>
            <w:vAlign w:val="center"/>
          </w:tcPr>
          <w:p>
            <w:pPr>
              <w:jc w:val="center"/>
              <w:rPr>
                <w:rFonts w:ascii="Times New Roman" w:hAnsi="Times New Roman" w:cs="Times New Roman"/>
                <w:i/>
                <w:noProof/>
              </w:rPr>
            </w:pPr>
            <w:r>
              <w:rPr>
                <w:rFonts w:ascii="Times New Roman" w:hAnsi="Times New Roman"/>
                <w:noProof/>
              </w:rPr>
              <w:t>Règlement (CE) n° 1085/2006 du Conseil</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127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 garantie visant à créer des conditions propices à l’émergence et à la croissance d’entreprises innovantes à haut potentiel</w:t>
            </w:r>
          </w:p>
        </w:tc>
        <w:tc>
          <w:tcPr>
            <w:tcW w:w="134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 capitaux propres pour le financement du développement et l’apport de capital d’expansion dans des PME établies dans les Balkans occidentaux</w:t>
            </w:r>
          </w:p>
        </w:tc>
        <w:tc>
          <w:tcPr>
            <w:tcW w:w="1202"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 capitaux propres pour le financement de PME innovantes en phase de démarrage dans les Balkans occidentaux</w:t>
            </w:r>
          </w:p>
        </w:tc>
      </w:tr>
      <w:tr>
        <w:trPr>
          <w:trHeight w:val="767"/>
        </w:trPr>
        <w:tc>
          <w:tcPr>
            <w:tcW w:w="1182"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1273"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w:t>
            </w:r>
          </w:p>
        </w:tc>
        <w:tc>
          <w:tcPr>
            <w:tcW w:w="1343"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 (mandataire)</w:t>
            </w:r>
          </w:p>
          <w:p>
            <w:pPr>
              <w:jc w:val="center"/>
              <w:rPr>
                <w:rFonts w:ascii="Times New Roman" w:hAnsi="Times New Roman" w:cs="Times New Roman"/>
                <w:noProof/>
              </w:rPr>
            </w:pPr>
            <w:r>
              <w:rPr>
                <w:rFonts w:ascii="Times New Roman" w:hAnsi="Times New Roman"/>
                <w:noProof/>
              </w:rPr>
              <w:t>BERD, DEG</w:t>
            </w:r>
          </w:p>
        </w:tc>
        <w:tc>
          <w:tcPr>
            <w:tcW w:w="1202"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 (mandataire)</w:t>
            </w:r>
          </w:p>
          <w:p>
            <w:pPr>
              <w:jc w:val="center"/>
              <w:rPr>
                <w:rFonts w:ascii="Times New Roman" w:hAnsi="Times New Roman" w:cs="Times New Roman"/>
                <w:noProof/>
              </w:rPr>
            </w:pPr>
            <w:r>
              <w:rPr>
                <w:rFonts w:ascii="Times New Roman" w:hAnsi="Times New Roman"/>
                <w:noProof/>
              </w:rPr>
              <w:t>BERD, KfW</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21,9 Mio EUR</w:t>
            </w:r>
          </w:p>
          <w:p>
            <w:pPr>
              <w:jc w:val="center"/>
              <w:rPr>
                <w:rFonts w:ascii="Times New Roman" w:hAnsi="Times New Roman" w:cs="Times New Roman"/>
                <w:noProof/>
              </w:rPr>
            </w:pPr>
            <w:r>
              <w:rPr>
                <w:rFonts w:ascii="Times New Roman" w:hAnsi="Times New Roman"/>
                <w:noProof/>
              </w:rPr>
              <w:t>21,9 Mio EUR</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11 Mio EUR</w:t>
            </w:r>
          </w:p>
          <w:p>
            <w:pPr>
              <w:jc w:val="center"/>
              <w:rPr>
                <w:rFonts w:ascii="Times New Roman" w:hAnsi="Times New Roman" w:cs="Times New Roman"/>
                <w:noProof/>
              </w:rPr>
            </w:pPr>
            <w:r>
              <w:rPr>
                <w:rFonts w:ascii="Times New Roman" w:hAnsi="Times New Roman"/>
                <w:noProof/>
              </w:rPr>
              <w:t>10,4 Mio EUR</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21,2 Mio EUR</w:t>
            </w:r>
          </w:p>
          <w:p>
            <w:pPr>
              <w:jc w:val="center"/>
              <w:rPr>
                <w:rFonts w:ascii="Times New Roman" w:hAnsi="Times New Roman" w:cs="Times New Roman"/>
                <w:noProof/>
              </w:rPr>
            </w:pPr>
            <w:r>
              <w:rPr>
                <w:rFonts w:ascii="Times New Roman" w:hAnsi="Times New Roman"/>
                <w:noProof/>
              </w:rPr>
              <w:t>21,2 Mio EUR</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noProof/>
              </w:rPr>
              <w:t>5 contrats signés avec des banques pour l'octroi d'un volume de nouveaux prêts de 98 Mio EUR aux bénéficiaires finaux</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noProof/>
              </w:rPr>
              <w:t>9,5 Mio EUR d'engagements effectués</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noProof/>
              </w:rPr>
              <w:t>L'ENIF devrait être constitué en société en 2015</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noProof/>
              </w:rPr>
              <w:t>20,57 Mio EUR</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noProof/>
              </w:rPr>
              <w:t>9,97 Mio EUR</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noProof/>
              </w:rPr>
              <w:t>21,25 Mio EUR</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noProof/>
              </w:rPr>
              <w:t>24 004 EUR</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r>
      <w:t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127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43"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202"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182" w:type="pct"/>
            <w:shd w:val="clear" w:color="auto" w:fill="D3DFEE"/>
            <w:vAlign w:val="center"/>
          </w:tcPr>
          <w:p>
            <w:pPr>
              <w:jc w:val="center"/>
              <w:rPr>
                <w:rFonts w:ascii="Times New Roman" w:hAnsi="Times New Roman" w:cs="Times New Roman"/>
                <w:b/>
                <w:bCs/>
                <w:noProof/>
              </w:rPr>
            </w:pPr>
            <w:r>
              <w:rPr>
                <w:rFonts w:ascii="Times New Roman" w:hAnsi="Times New Roman"/>
                <w:b/>
                <w:noProof/>
              </w:rPr>
              <w:t>k) Effet de levier</w:t>
            </w:r>
          </w:p>
        </w:tc>
        <w:tc>
          <w:tcPr>
            <w:tcW w:w="1273" w:type="pct"/>
            <w:shd w:val="clear" w:color="auto" w:fill="D3DFEE"/>
            <w:vAlign w:val="center"/>
          </w:tcPr>
          <w:p>
            <w:pPr>
              <w:jc w:val="center"/>
              <w:rPr>
                <w:rFonts w:ascii="Times New Roman" w:hAnsi="Times New Roman" w:cs="Times New Roman"/>
                <w:noProof/>
              </w:rPr>
            </w:pPr>
            <w:r>
              <w:rPr>
                <w:rFonts w:ascii="Times New Roman" w:hAnsi="Times New Roman"/>
                <w:noProof/>
              </w:rPr>
              <w:t>Visé: 5,5</w:t>
            </w:r>
          </w:p>
          <w:p>
            <w:pPr>
              <w:jc w:val="center"/>
              <w:rPr>
                <w:rFonts w:ascii="Times New Roman" w:hAnsi="Times New Roman" w:cs="Times New Roman"/>
                <w:noProof/>
              </w:rPr>
            </w:pPr>
            <w:r>
              <w:rPr>
                <w:rFonts w:ascii="Times New Roman" w:hAnsi="Times New Roman"/>
                <w:noProof/>
              </w:rPr>
              <w:t>Atteint: 1,5</w:t>
            </w:r>
          </w:p>
          <w:p>
            <w:pPr>
              <w:jc w:val="center"/>
              <w:rPr>
                <w:rFonts w:ascii="Times New Roman" w:hAnsi="Times New Roman" w:cs="Times New Roman"/>
                <w:noProof/>
              </w:rPr>
            </w:pPr>
            <w:r>
              <w:rPr>
                <w:rFonts w:ascii="Times New Roman" w:hAnsi="Times New Roman"/>
                <w:noProof/>
              </w:rPr>
              <w:t>(Attendu: 4,5)</w:t>
            </w:r>
          </w:p>
        </w:tc>
        <w:tc>
          <w:tcPr>
            <w:tcW w:w="1343" w:type="pct"/>
            <w:shd w:val="clear" w:color="auto" w:fill="D3DFEE"/>
            <w:vAlign w:val="center"/>
          </w:tcPr>
          <w:p>
            <w:pPr>
              <w:jc w:val="center"/>
              <w:rPr>
                <w:rFonts w:ascii="Times New Roman" w:hAnsi="Times New Roman" w:cs="Times New Roman"/>
                <w:noProof/>
              </w:rPr>
            </w:pPr>
            <w:r>
              <w:rPr>
                <w:rFonts w:ascii="Times New Roman" w:hAnsi="Times New Roman"/>
                <w:noProof/>
              </w:rPr>
              <w:t>Visé: 10</w:t>
            </w:r>
          </w:p>
          <w:p>
            <w:pPr>
              <w:jc w:val="center"/>
              <w:rPr>
                <w:rFonts w:ascii="Times New Roman" w:hAnsi="Times New Roman" w:cs="Times New Roman"/>
                <w:noProof/>
              </w:rPr>
            </w:pPr>
            <w:r>
              <w:rPr>
                <w:rFonts w:ascii="Times New Roman" w:hAnsi="Times New Roman"/>
                <w:noProof/>
              </w:rPr>
              <w:t>Atteint: 7</w:t>
            </w:r>
          </w:p>
        </w:tc>
        <w:tc>
          <w:tcPr>
            <w:tcW w:w="1202" w:type="pct"/>
            <w:shd w:val="clear" w:color="auto" w:fill="D3DFEE"/>
            <w:vAlign w:val="center"/>
          </w:tcPr>
          <w:p>
            <w:pPr>
              <w:jc w:val="center"/>
              <w:rPr>
                <w:rFonts w:ascii="Times New Roman" w:hAnsi="Times New Roman" w:cs="Times New Roman"/>
                <w:noProof/>
              </w:rPr>
            </w:pPr>
            <w:r>
              <w:rPr>
                <w:rFonts w:ascii="Times New Roman" w:hAnsi="Times New Roman"/>
                <w:noProof/>
              </w:rPr>
              <w:t>Visé: 2</w:t>
            </w:r>
          </w:p>
        </w:tc>
      </w:tr>
      <w:tr>
        <w:trPr>
          <w:trHeight w:val="761"/>
        </w:trPr>
        <w:tc>
          <w:tcPr>
            <w:tcW w:w="1182"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127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Soutien à l'octroi de 32,5 Mio EUR de nouveaux financements en faveur de 532 destinataires finaux</w:t>
            </w:r>
          </w:p>
        </w:tc>
        <w:tc>
          <w:tcPr>
            <w:tcW w:w="1343"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Mobilisation attendue de 77 Mio EUR en faveur de 10 à 14 bénéficiaires finaux</w:t>
            </w:r>
          </w:p>
        </w:tc>
        <w:tc>
          <w:tcPr>
            <w:tcW w:w="1202"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noProof/>
              </w:rPr>
              <w:t>Mobilisation visée de 40 Mio EUR de financements en fonds propres</w:t>
            </w:r>
          </w:p>
        </w:tc>
      </w:tr>
    </w:tbl>
    <w:p>
      <w:pPr>
        <w:jc w:val="both"/>
        <w:rPr>
          <w:rFonts w:ascii="Times New Roman" w:hAnsi="Times New Roman" w:cs="Times New Roman"/>
          <w:noProof/>
        </w:rPr>
      </w:pPr>
    </w:p>
    <w:tbl>
      <w:tblPr>
        <w:tblW w:w="5018" w:type="pct"/>
        <w:tblInd w:w="-34"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127"/>
        <w:gridCol w:w="2409"/>
        <w:gridCol w:w="2550"/>
        <w:gridCol w:w="2235"/>
      </w:tblGrid>
      <w:tr>
        <w:trPr>
          <w:trHeight w:val="2171"/>
        </w:trPr>
        <w:tc>
          <w:tcPr>
            <w:tcW w:w="1141" w:type="pct"/>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noProof/>
              </w:rPr>
              <w:br w:type="page"/>
            </w:r>
          </w:p>
        </w:tc>
        <w:tc>
          <w:tcPr>
            <w:tcW w:w="1292" w:type="pct"/>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Fonds européen pour l’Europe du Sud-Est — FEESE (point 5.4 du document de travail)</w:t>
            </w:r>
            <w:r>
              <w:rPr>
                <w:noProof/>
              </w:rPr>
              <w:br/>
            </w:r>
            <w:r>
              <w:rPr>
                <w:rFonts w:ascii="Times New Roman" w:hAnsi="Times New Roman"/>
                <w:b/>
                <w:noProof/>
                <w:color w:val="FFFFFF"/>
              </w:rPr>
              <w:t>DG responsable: NEAR</w:t>
            </w:r>
          </w:p>
        </w:tc>
        <w:tc>
          <w:tcPr>
            <w:tcW w:w="1368" w:type="pct"/>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Fonds pour une croissance verte — FCV</w:t>
            </w:r>
          </w:p>
          <w:p>
            <w:pPr>
              <w:jc w:val="center"/>
              <w:rPr>
                <w:rFonts w:ascii="Times New Roman" w:hAnsi="Times New Roman" w:cs="Times New Roman"/>
                <w:b/>
                <w:bCs/>
                <w:noProof/>
                <w:color w:val="FFFFFF"/>
              </w:rPr>
            </w:pPr>
            <w:r>
              <w:rPr>
                <w:rFonts w:ascii="Times New Roman" w:hAnsi="Times New Roman"/>
                <w:b/>
                <w:noProof/>
                <w:color w:val="FFFFFF"/>
              </w:rPr>
              <w:t>(point 5.5 du document de travail)</w:t>
            </w:r>
            <w:r>
              <w:rPr>
                <w:noProof/>
              </w:rPr>
              <w:br/>
            </w:r>
            <w:r>
              <w:rPr>
                <w:rFonts w:ascii="Times New Roman" w:hAnsi="Times New Roman"/>
                <w:b/>
                <w:noProof/>
                <w:color w:val="FFFFFF"/>
              </w:rPr>
              <w:t>DG responsable: NEAR</w:t>
            </w:r>
          </w:p>
        </w:tc>
        <w:tc>
          <w:tcPr>
            <w:tcW w:w="1199" w:type="pct"/>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Prêt d’appui à la relance des PME en Turquie — RSL (point 5.6 du document de travail)</w:t>
            </w:r>
            <w:r>
              <w:rPr>
                <w:noProof/>
              </w:rPr>
              <w:br/>
            </w:r>
            <w:r>
              <w:rPr>
                <w:rFonts w:ascii="Times New Roman" w:hAnsi="Times New Roman"/>
                <w:b/>
                <w:noProof/>
                <w:color w:val="FFFFFF"/>
              </w:rPr>
              <w:t>DG responsable: NEAR</w:t>
            </w:r>
          </w:p>
        </w:tc>
      </w:tr>
      <w:tr>
        <w:trPr>
          <w:trHeight w:val="968"/>
        </w:trP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Règlement (CE) n° 1085/2006 du Conseil</w:t>
            </w:r>
          </w:p>
        </w:tc>
        <w:tc>
          <w:tcPr>
            <w:tcW w:w="1368" w:type="pct"/>
            <w:tcBorders>
              <w:left w:val="nil"/>
              <w:right w:val="nil"/>
            </w:tcBorders>
            <w:shd w:val="clear" w:color="auto" w:fill="D3DFEE"/>
            <w:vAlign w:val="center"/>
          </w:tcPr>
          <w:p>
            <w:pPr>
              <w:jc w:val="center"/>
              <w:rPr>
                <w:rFonts w:ascii="Times New Roman" w:hAnsi="Times New Roman" w:cs="Times New Roman"/>
                <w:i/>
                <w:noProof/>
              </w:rPr>
            </w:pPr>
            <w:r>
              <w:rPr>
                <w:rFonts w:ascii="Times New Roman" w:hAnsi="Times New Roman"/>
                <w:noProof/>
              </w:rPr>
              <w:t>Règlement (CE) n° 1085/2006 du Conseil</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Règlement (CE) n° 1085/2006 du Conseil</w:t>
            </w:r>
          </w:p>
        </w:tc>
      </w:tr>
      <w:tr>
        <w:trPr>
          <w:trHeight w:val="2684"/>
        </w:trP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1292"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Partenariat public-privé destiné à aider le développement du secteur privé dans les pays concernés par l'élargissement</w:t>
            </w:r>
          </w:p>
        </w:tc>
        <w:tc>
          <w:tcPr>
            <w:tcW w:w="1368"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Fonds d'innovation permettant de financer des projets relatifs à l'efficacité énergétique et aux énergies renouvelables dans l'Europe du Sud-Est et en Turquie</w:t>
            </w:r>
          </w:p>
        </w:tc>
        <w:tc>
          <w:tcPr>
            <w:tcW w:w="1199" w:type="pct"/>
            <w:tcBorders>
              <w:lef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 cofinancement servant à atténuer les effets de la crise et à soutenir les PME afin de développer l’économie turque</w:t>
            </w:r>
          </w:p>
        </w:tc>
      </w:tr>
      <w:tr>
        <w:trPr>
          <w:trHeight w:val="1673"/>
        </w:trP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 (mandataire)</w:t>
            </w:r>
          </w:p>
          <w:p>
            <w:pPr>
              <w:jc w:val="center"/>
              <w:rPr>
                <w:rFonts w:ascii="Times New Roman" w:hAnsi="Times New Roman" w:cs="Times New Roman"/>
                <w:noProof/>
              </w:rPr>
            </w:pPr>
            <w:r>
              <w:rPr>
                <w:rFonts w:ascii="Times New Roman" w:hAnsi="Times New Roman"/>
                <w:noProof/>
              </w:rPr>
              <w:t>Autres investisseurs (p. ex. BERD, KfW, BEI)</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FEI (mandataire)</w:t>
            </w:r>
          </w:p>
          <w:p>
            <w:pPr>
              <w:jc w:val="center"/>
              <w:rPr>
                <w:rFonts w:ascii="Times New Roman" w:hAnsi="Times New Roman" w:cs="Times New Roman"/>
                <w:noProof/>
              </w:rPr>
            </w:pPr>
            <w:r>
              <w:rPr>
                <w:rFonts w:ascii="Times New Roman" w:hAnsi="Times New Roman"/>
                <w:noProof/>
              </w:rPr>
              <w:t>Co-investisseurs (p. ex. BEI, BERD, KfW)</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BEI (partenaire du partage des risques)</w:t>
            </w:r>
          </w:p>
          <w:p>
            <w:pPr>
              <w:jc w:val="center"/>
              <w:rPr>
                <w:rFonts w:ascii="Times New Roman" w:hAnsi="Times New Roman" w:cs="Times New Roman"/>
                <w:noProof/>
              </w:rPr>
            </w:pPr>
            <w:r>
              <w:rPr>
                <w:rFonts w:ascii="Times New Roman" w:hAnsi="Times New Roman"/>
                <w:noProof/>
              </w:rPr>
              <w:t>Halkbank, Akbank</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26,2 Mio EUR</w:t>
            </w:r>
          </w:p>
          <w:p>
            <w:pPr>
              <w:jc w:val="center"/>
              <w:rPr>
                <w:rFonts w:ascii="Times New Roman" w:hAnsi="Times New Roman" w:cs="Times New Roman"/>
                <w:noProof/>
              </w:rPr>
            </w:pPr>
            <w:r>
              <w:rPr>
                <w:rFonts w:ascii="Times New Roman" w:hAnsi="Times New Roman"/>
                <w:noProof/>
              </w:rPr>
              <w:t>26,0 Mio EUR</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38,6 Mio EUR</w:t>
            </w:r>
          </w:p>
          <w:p>
            <w:pPr>
              <w:jc w:val="center"/>
              <w:rPr>
                <w:rFonts w:ascii="Times New Roman" w:hAnsi="Times New Roman" w:cs="Times New Roman"/>
                <w:noProof/>
              </w:rPr>
            </w:pPr>
            <w:r>
              <w:rPr>
                <w:rFonts w:ascii="Times New Roman" w:hAnsi="Times New Roman"/>
                <w:noProof/>
              </w:rPr>
              <w:t>38,6 Mio EUR</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30 Mio EUR</w:t>
            </w:r>
          </w:p>
          <w:p>
            <w:pPr>
              <w:jc w:val="center"/>
              <w:rPr>
                <w:rFonts w:ascii="Times New Roman" w:hAnsi="Times New Roman" w:cs="Times New Roman"/>
                <w:noProof/>
              </w:rPr>
            </w:pPr>
            <w:r>
              <w:rPr>
                <w:rFonts w:ascii="Times New Roman" w:hAnsi="Times New Roman"/>
                <w:noProof/>
              </w:rPr>
              <w:t>30 Mio EUR</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1292" w:type="pct"/>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noProof/>
              </w:rPr>
              <w:t>Contribution de l’UE de 112,6 Mio EUR devant permettre de lever au total 1 Mrd EUR en faveur des bénéficiaires finaux</w:t>
            </w:r>
          </w:p>
        </w:tc>
        <w:tc>
          <w:tcPr>
            <w:tcW w:w="1368" w:type="pct"/>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noProof/>
              </w:rPr>
              <w:t>Contribution de l’UE de 38,6 Mio EUR permettant de lever au total 281 Mio EUR en faveur des bénéficiaires finaux</w:t>
            </w:r>
          </w:p>
        </w:tc>
        <w:tc>
          <w:tcPr>
            <w:tcW w:w="1199" w:type="pct"/>
            <w:tcBorders>
              <w:left w:val="nil"/>
            </w:tcBorders>
            <w:shd w:val="clear" w:color="auto" w:fill="D3DFEE"/>
            <w:vAlign w:val="center"/>
          </w:tcPr>
          <w:p>
            <w:pPr>
              <w:jc w:val="both"/>
              <w:rPr>
                <w:rFonts w:ascii="Times New Roman" w:hAnsi="Times New Roman" w:cs="Times New Roman"/>
                <w:noProof/>
              </w:rPr>
            </w:pPr>
            <w:r>
              <w:rPr>
                <w:rFonts w:ascii="Times New Roman" w:hAnsi="Times New Roman"/>
                <w:noProof/>
              </w:rPr>
              <w:t>265 prêts versés aux bénéficiaires finaux, visant à créer 5 000 nouveaux emplois</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52 840 EUR</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199" w:type="pct"/>
            <w:tcBorders>
              <w:left w:val="nil"/>
            </w:tcBorders>
            <w:shd w:val="clear" w:color="auto" w:fill="auto"/>
            <w:vAlign w:val="center"/>
          </w:tcPr>
          <w:p>
            <w:pPr>
              <w:spacing w:line="240" w:lineRule="auto"/>
              <w:ind w:right="141"/>
              <w:contextualSpacing/>
              <w:jc w:val="center"/>
              <w:rPr>
                <w:rFonts w:ascii="Times New Roman" w:hAnsi="Times New Roman" w:cs="Times New Roman"/>
                <w:noProof/>
              </w:rPr>
            </w:pPr>
            <w:r>
              <w:rPr>
                <w:rFonts w:ascii="Times New Roman" w:hAnsi="Times New Roman"/>
                <w:noProof/>
              </w:rPr>
              <w:t>Sans objet</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1292" w:type="pct"/>
            <w:tcBorders>
              <w:left w:val="nil"/>
              <w:right w:val="nil"/>
            </w:tcBorders>
            <w:shd w:val="clear" w:color="auto" w:fill="D3DFEE"/>
            <w:vAlign w:val="center"/>
          </w:tcPr>
          <w:p>
            <w:pPr>
              <w:ind w:right="141"/>
              <w:jc w:val="center"/>
              <w:rPr>
                <w:rFonts w:ascii="Times New Roman" w:hAnsi="Times New Roman" w:cs="Times New Roman"/>
                <w:noProof/>
              </w:rPr>
            </w:pPr>
            <w:r>
              <w:rPr>
                <w:rFonts w:ascii="Times New Roman" w:hAnsi="Times New Roman"/>
                <w:noProof/>
              </w:rPr>
              <w:t>112,6 Mio EUR (au niveau du FEESE)</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39,3 Mio EUR (au niveau du FCV)</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r>
      <w:t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1292"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368" w:type="pct"/>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1199" w:type="pct"/>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141" w:type="pct"/>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k) Effet de levier</w:t>
            </w:r>
          </w:p>
        </w:tc>
        <w:tc>
          <w:tcPr>
            <w:tcW w:w="1292"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Atteint: 36</w:t>
            </w:r>
          </w:p>
        </w:tc>
        <w:tc>
          <w:tcPr>
            <w:tcW w:w="1368" w:type="pct"/>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7,2</w:t>
            </w:r>
          </w:p>
          <w:p>
            <w:pPr>
              <w:jc w:val="center"/>
              <w:rPr>
                <w:rFonts w:ascii="Times New Roman" w:hAnsi="Times New Roman" w:cs="Times New Roman"/>
                <w:noProof/>
              </w:rPr>
            </w:pPr>
            <w:r>
              <w:rPr>
                <w:rFonts w:ascii="Times New Roman" w:hAnsi="Times New Roman"/>
                <w:noProof/>
              </w:rPr>
              <w:t>Atteint: 4,8</w:t>
            </w:r>
          </w:p>
        </w:tc>
        <w:tc>
          <w:tcPr>
            <w:tcW w:w="1199" w:type="pct"/>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10</w:t>
            </w:r>
          </w:p>
          <w:p>
            <w:pPr>
              <w:jc w:val="center"/>
              <w:rPr>
                <w:rFonts w:ascii="Times New Roman" w:hAnsi="Times New Roman" w:cs="Times New Roman"/>
                <w:noProof/>
              </w:rPr>
            </w:pPr>
            <w:r>
              <w:rPr>
                <w:rFonts w:ascii="Times New Roman" w:hAnsi="Times New Roman"/>
                <w:noProof/>
              </w:rPr>
              <w:t>Atteint:10</w:t>
            </w:r>
          </w:p>
        </w:tc>
      </w:tr>
      <w:tr>
        <w:trPr>
          <w:trHeight w:val="761"/>
        </w:trPr>
        <w:tc>
          <w:tcPr>
            <w:tcW w:w="1141" w:type="pct"/>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1292" w:type="pct"/>
            <w:tcBorders>
              <w:left w:val="nil"/>
              <w:right w:val="nil"/>
            </w:tcBorders>
            <w:shd w:val="clear" w:color="auto" w:fill="auto"/>
            <w:vAlign w:val="center"/>
          </w:tcPr>
          <w:p>
            <w:pPr>
              <w:ind w:left="174"/>
              <w:jc w:val="both"/>
              <w:rPr>
                <w:rFonts w:ascii="Times New Roman" w:hAnsi="Times New Roman" w:cs="Times New Roman"/>
                <w:noProof/>
              </w:rPr>
            </w:pPr>
            <w:r>
              <w:rPr>
                <w:rFonts w:ascii="Times New Roman" w:hAnsi="Times New Roman"/>
                <w:noProof/>
              </w:rPr>
              <w:t>Le FEESE a mobilisé 3,2 Mrd EUR de financements en faveur des destinataires finaux éligibles (les micro-entreprises et les ménages);</w:t>
            </w:r>
          </w:p>
          <w:p>
            <w:pPr>
              <w:ind w:left="174"/>
              <w:jc w:val="both"/>
              <w:rPr>
                <w:rFonts w:ascii="Times New Roman" w:hAnsi="Times New Roman" w:cs="Times New Roman"/>
                <w:noProof/>
              </w:rPr>
            </w:pPr>
            <w:r>
              <w:rPr>
                <w:rFonts w:ascii="Times New Roman" w:hAnsi="Times New Roman"/>
                <w:noProof/>
              </w:rPr>
              <w:t>le FEESE a servi de modèle sur le plan international pour la micro-finance (voir document de travail)</w:t>
            </w:r>
          </w:p>
        </w:tc>
        <w:tc>
          <w:tcPr>
            <w:tcW w:w="1368" w:type="pct"/>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Soutien à l'octroi de 185,1 Mio EUR de nouveaux financements en faveur de 11 375 destinataires finaux;</w:t>
            </w:r>
          </w:p>
          <w:p>
            <w:pPr>
              <w:jc w:val="both"/>
              <w:rPr>
                <w:rFonts w:ascii="Times New Roman" w:hAnsi="Times New Roman" w:cs="Times New Roman"/>
                <w:noProof/>
              </w:rPr>
            </w:pPr>
            <w:r>
              <w:rPr>
                <w:rFonts w:ascii="Times New Roman" w:hAnsi="Times New Roman"/>
                <w:noProof/>
              </w:rPr>
              <w:t>économies d'énergie annualisées de 1 049 745 MWh/an;</w:t>
            </w:r>
          </w:p>
          <w:p>
            <w:pPr>
              <w:jc w:val="both"/>
              <w:rPr>
                <w:rFonts w:ascii="Times New Roman" w:hAnsi="Times New Roman" w:cs="Times New Roman"/>
                <w:noProof/>
              </w:rPr>
            </w:pPr>
            <w:r>
              <w:rPr>
                <w:rFonts w:ascii="Times New Roman" w:hAnsi="Times New Roman"/>
                <w:noProof/>
              </w:rPr>
              <w:t>réduction des émissions de CO 2 de 428 447 tonnes/an</w:t>
            </w:r>
          </w:p>
        </w:tc>
        <w:tc>
          <w:tcPr>
            <w:tcW w:w="1199" w:type="pct"/>
            <w:tcBorders>
              <w:left w:val="nil"/>
            </w:tcBorders>
            <w:shd w:val="clear" w:color="auto" w:fill="auto"/>
            <w:vAlign w:val="center"/>
          </w:tcPr>
          <w:p>
            <w:pPr>
              <w:pStyle w:val="ListParagraph"/>
              <w:spacing w:before="0" w:after="200"/>
              <w:ind w:left="0"/>
              <w:jc w:val="both"/>
              <w:rPr>
                <w:noProof/>
                <w:sz w:val="22"/>
              </w:rPr>
            </w:pPr>
            <w:r>
              <w:rPr>
                <w:noProof/>
                <w:sz w:val="22"/>
              </w:rPr>
              <w:t>Soutien à l'octroi de 299,64 Mio EUR de nouveaux financements en faveur de 265 destinataires finaux éligibles</w:t>
            </w:r>
          </w:p>
        </w:tc>
      </w:tr>
    </w:tbl>
    <w:p>
      <w:pPr>
        <w:pStyle w:val="Heading4"/>
        <w:spacing w:before="120"/>
        <w:rPr>
          <w:noProof/>
          <w:sz w:val="22"/>
          <w:szCs w:val="22"/>
        </w:rPr>
      </w:pPr>
      <w:bookmarkStart w:id="25" w:name="_Toc399517423"/>
      <w:r>
        <w:rPr>
          <w:noProof/>
        </w:rPr>
        <w:br w:type="page"/>
      </w:r>
      <w:r>
        <w:rPr>
          <w:noProof/>
          <w:sz w:val="22"/>
        </w:rPr>
        <w:t>Instruments financiers concernant les pays relevant de la politique de voisinage et les pays couverts par l’ICD</w:t>
      </w:r>
      <w:bookmarkEnd w:id="25"/>
    </w:p>
    <w:tbl>
      <w:tblPr>
        <w:tblW w:w="0" w:type="auto"/>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2235"/>
        <w:gridCol w:w="2409"/>
        <w:gridCol w:w="2323"/>
        <w:gridCol w:w="2321"/>
      </w:tblGrid>
      <w:tr>
        <w:tc>
          <w:tcPr>
            <w:tcW w:w="2235" w:type="dxa"/>
            <w:tcBorders>
              <w:top w:val="single" w:sz="8" w:space="0" w:color="7BA0CD"/>
              <w:left w:val="single" w:sz="8" w:space="0" w:color="7BA0CD"/>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p>
        </w:tc>
        <w:tc>
          <w:tcPr>
            <w:tcW w:w="2409"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Facilité d'investissement dans le cadre de la politique de voisinage – FIPV (point 6.1. du document de travail)</w:t>
            </w:r>
            <w:r>
              <w:rPr>
                <w:noProof/>
              </w:rPr>
              <w:br/>
            </w:r>
            <w:r>
              <w:rPr>
                <w:rFonts w:ascii="Times New Roman" w:hAnsi="Times New Roman"/>
                <w:b/>
                <w:noProof/>
                <w:color w:val="FFFFFF"/>
              </w:rPr>
              <w:t>DG responsable: NEAR</w:t>
            </w:r>
          </w:p>
        </w:tc>
        <w:tc>
          <w:tcPr>
            <w:tcW w:w="2323" w:type="dxa"/>
            <w:tcBorders>
              <w:top w:val="single" w:sz="8" w:space="0" w:color="7BA0CD"/>
              <w:left w:val="nil"/>
              <w:bottom w:val="single" w:sz="8" w:space="0" w:color="7BA0CD"/>
              <w:right w:val="nil"/>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Facilité d’investissement pour l’Asie centrale – FIAC (point 6.2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DEVCO</w:t>
            </w:r>
          </w:p>
        </w:tc>
        <w:tc>
          <w:tcPr>
            <w:tcW w:w="2321" w:type="dxa"/>
            <w:tcBorders>
              <w:top w:val="single" w:sz="8" w:space="0" w:color="7BA0CD"/>
              <w:left w:val="nil"/>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Facilité d’investissement pour l’Asie — FIA</w:t>
            </w:r>
          </w:p>
          <w:p>
            <w:pPr>
              <w:jc w:val="center"/>
              <w:rPr>
                <w:rFonts w:ascii="Times New Roman" w:hAnsi="Times New Roman" w:cs="Times New Roman"/>
                <w:b/>
                <w:bCs/>
                <w:noProof/>
                <w:color w:val="FFFFFF"/>
              </w:rPr>
            </w:pPr>
            <w:r>
              <w:rPr>
                <w:rFonts w:ascii="Times New Roman" w:hAnsi="Times New Roman"/>
                <w:b/>
                <w:noProof/>
                <w:color w:val="FFFFFF"/>
              </w:rPr>
              <w:t>(point 6.2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DEVCO</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2409" w:type="dxa"/>
            <w:tcBorders>
              <w:left w:val="nil"/>
              <w:right w:val="nil"/>
            </w:tcBorders>
            <w:shd w:val="clear" w:color="auto" w:fill="D3DFEE"/>
            <w:vAlign w:val="center"/>
          </w:tcPr>
          <w:p>
            <w:pPr>
              <w:spacing w:before="30" w:after="30"/>
              <w:jc w:val="center"/>
              <w:rPr>
                <w:rFonts w:ascii="Times New Roman" w:hAnsi="Times New Roman" w:cs="Times New Roman"/>
                <w:noProof/>
              </w:rPr>
            </w:pPr>
            <w:r>
              <w:rPr>
                <w:rFonts w:ascii="Times New Roman" w:hAnsi="Times New Roman"/>
                <w:noProof/>
              </w:rPr>
              <w:t>Règlement (CE) n° 1638/2006</w:t>
            </w:r>
          </w:p>
        </w:tc>
        <w:tc>
          <w:tcPr>
            <w:tcW w:w="2323" w:type="dxa"/>
            <w:tcBorders>
              <w:left w:val="nil"/>
              <w:right w:val="nil"/>
            </w:tcBorders>
            <w:shd w:val="clear" w:color="auto" w:fill="D3DFEE"/>
            <w:vAlign w:val="center"/>
          </w:tcPr>
          <w:p>
            <w:pPr>
              <w:pStyle w:val="ListParagraph"/>
              <w:spacing w:line="240" w:lineRule="auto"/>
              <w:ind w:left="0" w:right="142"/>
              <w:jc w:val="center"/>
              <w:rPr>
                <w:noProof/>
                <w:sz w:val="22"/>
              </w:rPr>
            </w:pPr>
            <w:r>
              <w:rPr>
                <w:noProof/>
                <w:sz w:val="22"/>
              </w:rPr>
              <w:t>Règlement (CE) n° 1905/2006</w:t>
            </w:r>
          </w:p>
        </w:tc>
        <w:tc>
          <w:tcPr>
            <w:tcW w:w="2321" w:type="dxa"/>
            <w:tcBorders>
              <w:left w:val="nil"/>
            </w:tcBorders>
            <w:shd w:val="clear" w:color="auto" w:fill="D3DFEE"/>
            <w:vAlign w:val="center"/>
          </w:tcPr>
          <w:p>
            <w:pPr>
              <w:spacing w:before="30" w:after="30"/>
              <w:jc w:val="center"/>
              <w:rPr>
                <w:rFonts w:ascii="Times New Roman" w:hAnsi="Times New Roman" w:cs="Times New Roman"/>
                <w:noProof/>
              </w:rPr>
            </w:pPr>
            <w:r>
              <w:rPr>
                <w:rFonts w:ascii="Times New Roman" w:hAnsi="Times New Roman"/>
                <w:noProof/>
              </w:rPr>
              <w:t>Règlement (CE) n° 1905/2006</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2409" w:type="dxa"/>
            <w:tcBorders>
              <w:left w:val="nil"/>
              <w:right w:val="nil"/>
            </w:tcBorders>
            <w:shd w:val="clear" w:color="auto" w:fill="auto"/>
            <w:vAlign w:val="center"/>
          </w:tcPr>
          <w:p>
            <w:pPr>
              <w:spacing w:before="30" w:after="30"/>
              <w:jc w:val="both"/>
              <w:rPr>
                <w:rFonts w:ascii="Times New Roman" w:hAnsi="Times New Roman" w:cs="Times New Roman"/>
                <w:noProof/>
              </w:rPr>
            </w:pPr>
            <w:r>
              <w:rPr>
                <w:rFonts w:ascii="Times New Roman" w:hAnsi="Times New Roman"/>
                <w:noProof/>
              </w:rPr>
              <w:t>Instrument destiné à mobiliser des investissements pour favoriser les relations de bon voisinage et la prospérité.</w:t>
            </w:r>
          </w:p>
        </w:tc>
        <w:tc>
          <w:tcPr>
            <w:tcW w:w="2323"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promouvant les investissements et les infrastructures clés, l'accent étant mis sur l’énergie et l’environnement.</w:t>
            </w:r>
          </w:p>
        </w:tc>
        <w:tc>
          <w:tcPr>
            <w:tcW w:w="2321" w:type="dxa"/>
            <w:tcBorders>
              <w:lef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promouvant les investissements et les infrastructures clés, principalement axé sur le changement climatique et les instruments «verts» ainsi que les PME.</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BEI, BERD, CEB, NIB, AFD, KfW, AECID, SIMEST</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BEI, BERD, NIB, KfW, AFD, SIMEST, AECID</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BEI, BERD, NIB, KfW, AFD, SIMEST, AECID</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409" w:type="dxa"/>
            <w:tcBorders>
              <w:left w:val="nil"/>
              <w:right w:val="nil"/>
            </w:tcBorders>
            <w:shd w:val="clear" w:color="auto" w:fill="auto"/>
            <w:vAlign w:val="center"/>
          </w:tcPr>
          <w:p>
            <w:pPr>
              <w:jc w:val="center"/>
              <w:rPr>
                <w:rFonts w:ascii="Times New Roman" w:hAnsi="Times New Roman" w:cs="Times New Roman"/>
                <w:noProof/>
                <w:lang w:val="it-IT"/>
              </w:rPr>
            </w:pPr>
            <w:r>
              <w:rPr>
                <w:rFonts w:ascii="Times New Roman" w:hAnsi="Times New Roman"/>
                <w:noProof/>
                <w:lang w:val="it-IT"/>
              </w:rPr>
              <w:t>1 159,1 Mio EUR</w:t>
            </w:r>
          </w:p>
          <w:p>
            <w:pPr>
              <w:jc w:val="center"/>
              <w:rPr>
                <w:rFonts w:ascii="Times New Roman" w:hAnsi="Times New Roman" w:cs="Times New Roman"/>
                <w:noProof/>
                <w:lang w:val="it-IT"/>
              </w:rPr>
            </w:pPr>
            <w:r>
              <w:rPr>
                <w:rFonts w:ascii="Times New Roman" w:hAnsi="Times New Roman"/>
                <w:noProof/>
                <w:lang w:val="it-IT"/>
              </w:rPr>
              <w:t>448,9 Mio EUR (SANAD: 10,2 Mio EUR; FEESE: 5 Mio EUR; FCV: 13,4 Mio EUR)</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85,6 Mio EUR</w:t>
            </w:r>
          </w:p>
          <w:p>
            <w:pPr>
              <w:jc w:val="center"/>
              <w:rPr>
                <w:rFonts w:ascii="Times New Roman" w:hAnsi="Times New Roman" w:cs="Times New Roman"/>
                <w:noProof/>
              </w:rPr>
            </w:pPr>
            <w:r>
              <w:rPr>
                <w:rFonts w:ascii="Times New Roman" w:hAnsi="Times New Roman"/>
                <w:noProof/>
              </w:rPr>
              <w:t>27,5 Mio EUR</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86 Mio EUR</w:t>
            </w:r>
          </w:p>
          <w:p>
            <w:pPr>
              <w:jc w:val="center"/>
              <w:rPr>
                <w:rFonts w:ascii="Times New Roman" w:hAnsi="Times New Roman" w:cs="Times New Roman"/>
                <w:noProof/>
              </w:rPr>
            </w:pPr>
            <w:r>
              <w:rPr>
                <w:rFonts w:ascii="Times New Roman" w:hAnsi="Times New Roman"/>
                <w:noProof/>
              </w:rPr>
              <w:t>17,95 Mio EUR</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2409" w:type="dxa"/>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noProof/>
              </w:rPr>
              <w:t xml:space="preserve">101 projets approuvés; capacité croissante de mobilisation de financements </w:t>
            </w:r>
          </w:p>
        </w:tc>
        <w:tc>
          <w:tcPr>
            <w:tcW w:w="2323" w:type="dxa"/>
            <w:tcBorders>
              <w:left w:val="nil"/>
              <w:right w:val="nil"/>
            </w:tcBorders>
            <w:shd w:val="clear" w:color="auto" w:fill="D3DFEE"/>
            <w:vAlign w:val="center"/>
          </w:tcPr>
          <w:p>
            <w:pPr>
              <w:jc w:val="both"/>
              <w:rPr>
                <w:rFonts w:ascii="Times New Roman" w:hAnsi="Times New Roman" w:cs="Times New Roman"/>
                <w:noProof/>
              </w:rPr>
            </w:pPr>
            <w:r>
              <w:rPr>
                <w:rFonts w:ascii="Times New Roman" w:hAnsi="Times New Roman"/>
                <w:noProof/>
              </w:rPr>
              <w:t>15 projets financés à l’aide de la contribution de l’Union de 82 Mio EUR et de la mobilisation d’un montant supplémentaire de 342 Mio EUR par l'intermédiaire du FEI</w:t>
            </w:r>
          </w:p>
        </w:tc>
        <w:tc>
          <w:tcPr>
            <w:tcW w:w="2321" w:type="dxa"/>
            <w:tcBorders>
              <w:left w:val="nil"/>
            </w:tcBorders>
            <w:shd w:val="clear" w:color="auto" w:fill="D3DFEE"/>
            <w:vAlign w:val="center"/>
          </w:tcPr>
          <w:p>
            <w:pPr>
              <w:jc w:val="both"/>
              <w:rPr>
                <w:rFonts w:ascii="Times New Roman" w:hAnsi="Times New Roman" w:cs="Times New Roman"/>
                <w:noProof/>
              </w:rPr>
            </w:pPr>
            <w:r>
              <w:rPr>
                <w:rFonts w:ascii="Times New Roman" w:hAnsi="Times New Roman"/>
                <w:noProof/>
              </w:rPr>
              <w:t>13 projets approuvés, grâce à une contribution de l’Union de 62 Mio EUR et à la mobilisation d’un montant supplémentaire de 1 Mrd EUR par l'intermédiaire du FEI</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2409" w:type="dxa"/>
            <w:tcBorders>
              <w:left w:val="nil"/>
              <w:right w:val="nil"/>
            </w:tcBorders>
            <w:shd w:val="clear" w:color="auto" w:fill="D3DFEE"/>
            <w:vAlign w:val="center"/>
          </w:tcPr>
          <w:p>
            <w:pPr>
              <w:jc w:val="center"/>
              <w:rPr>
                <w:rFonts w:ascii="Times New Roman" w:hAnsi="Times New Roman" w:cs="Times New Roman"/>
                <w:noProof/>
                <w:lang w:val="it-IT"/>
              </w:rPr>
            </w:pPr>
            <w:r>
              <w:rPr>
                <w:rFonts w:ascii="Times New Roman" w:hAnsi="Times New Roman"/>
                <w:noProof/>
                <w:lang w:val="it-IT"/>
              </w:rPr>
              <w:t>SANAD: 1,0 Mio EUR</w:t>
            </w:r>
          </w:p>
          <w:p>
            <w:pPr>
              <w:jc w:val="center"/>
              <w:rPr>
                <w:rFonts w:ascii="Times New Roman" w:hAnsi="Times New Roman" w:cs="Times New Roman"/>
                <w:noProof/>
                <w:lang w:val="it-IT"/>
              </w:rPr>
            </w:pPr>
            <w:r>
              <w:rPr>
                <w:rFonts w:ascii="Times New Roman" w:hAnsi="Times New Roman"/>
                <w:noProof/>
                <w:lang w:val="it-IT"/>
              </w:rPr>
              <w:t>FCV: 2,7 Mio EUR</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Fonds d'investissement MIFA:                                   2,0 Mio EUR</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Idem FIAC</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23,0 Mio EUR</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9,4 Mio USD</w:t>
            </w:r>
          </w:p>
        </w:tc>
        <w:tc>
          <w:tcPr>
            <w:tcW w:w="2321" w:type="dxa"/>
            <w:tcBorders>
              <w:left w:val="nil"/>
            </w:tcBorders>
            <w:shd w:val="clear" w:color="auto" w:fill="D3DFEE"/>
            <w:vAlign w:val="center"/>
          </w:tcPr>
          <w:p>
            <w:pPr>
              <w:jc w:val="center"/>
              <w:rPr>
                <w:rFonts w:ascii="Times New Roman" w:hAnsi="Times New Roman" w:cs="Times New Roman"/>
                <w:noProof/>
              </w:rPr>
            </w:pPr>
            <w:r>
              <w:rPr>
                <w:rFonts w:ascii="Times New Roman" w:hAnsi="Times New Roman"/>
                <w:noProof/>
              </w:rPr>
              <w:t>Idem FIAC</w:t>
            </w:r>
          </w:p>
        </w:tc>
      </w:tr>
      <w:t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Néant</w:t>
            </w:r>
          </w:p>
        </w:tc>
        <w:tc>
          <w:tcPr>
            <w:tcW w:w="2323"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321"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2235" w:type="dxa"/>
            <w:tcBorders>
              <w:right w:val="nil"/>
            </w:tcBorders>
            <w:shd w:val="clear" w:color="auto" w:fill="D3DFEE"/>
            <w:vAlign w:val="center"/>
          </w:tcPr>
          <w:p>
            <w:pPr>
              <w:jc w:val="center"/>
              <w:rPr>
                <w:rFonts w:ascii="Times New Roman" w:hAnsi="Times New Roman" w:cs="Times New Roman"/>
                <w:b/>
                <w:bCs/>
                <w:noProof/>
              </w:rPr>
            </w:pPr>
            <w:r>
              <w:rPr>
                <w:rFonts w:ascii="Times New Roman" w:hAnsi="Times New Roman"/>
                <w:b/>
                <w:noProof/>
              </w:rPr>
              <w:t>k) Effet de levier</w:t>
            </w:r>
          </w:p>
        </w:tc>
        <w:tc>
          <w:tcPr>
            <w:tcW w:w="2409"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entre 4 et 5</w:t>
            </w:r>
          </w:p>
          <w:p>
            <w:pPr>
              <w:jc w:val="center"/>
              <w:rPr>
                <w:rFonts w:ascii="Times New Roman" w:hAnsi="Times New Roman" w:cs="Times New Roman"/>
                <w:noProof/>
              </w:rPr>
            </w:pPr>
            <w:r>
              <w:rPr>
                <w:rFonts w:ascii="Times New Roman" w:hAnsi="Times New Roman"/>
                <w:noProof/>
              </w:rPr>
              <w:t>Attendu:</w:t>
            </w:r>
            <w:r>
              <w:rPr>
                <w:rStyle w:val="FootnoteReference"/>
                <w:rFonts w:ascii="Times New Roman" w:hAnsi="Times New Roman"/>
                <w:noProof/>
              </w:rPr>
              <w:footnoteReference w:id="9"/>
            </w:r>
            <w:r>
              <w:rPr>
                <w:rFonts w:ascii="Times New Roman" w:hAnsi="Times New Roman"/>
                <w:noProof/>
              </w:rPr>
              <w:t xml:space="preserve"> 21</w:t>
            </w:r>
          </w:p>
        </w:tc>
        <w:tc>
          <w:tcPr>
            <w:tcW w:w="2323" w:type="dxa"/>
            <w:tcBorders>
              <w:left w:val="nil"/>
              <w:right w:val="nil"/>
            </w:tcBorders>
            <w:shd w:val="clear" w:color="auto" w:fill="D3DFEE"/>
            <w:vAlign w:val="center"/>
          </w:tcPr>
          <w:p>
            <w:pPr>
              <w:jc w:val="center"/>
              <w:rPr>
                <w:rFonts w:ascii="Times New Roman" w:hAnsi="Times New Roman" w:cs="Times New Roman"/>
                <w:noProof/>
              </w:rPr>
            </w:pPr>
            <w:r>
              <w:rPr>
                <w:rFonts w:ascii="Times New Roman" w:hAnsi="Times New Roman"/>
                <w:noProof/>
              </w:rPr>
              <w:t>Visé: entre 4 et 5</w:t>
            </w:r>
          </w:p>
          <w:p>
            <w:pPr>
              <w:jc w:val="center"/>
              <w:rPr>
                <w:rFonts w:ascii="Times New Roman" w:hAnsi="Times New Roman" w:cs="Times New Roman"/>
                <w:noProof/>
              </w:rPr>
            </w:pPr>
            <w:r>
              <w:rPr>
                <w:rFonts w:ascii="Times New Roman" w:hAnsi="Times New Roman"/>
                <w:noProof/>
              </w:rPr>
              <w:t>Atteint: 5,6</w:t>
            </w:r>
          </w:p>
        </w:tc>
        <w:tc>
          <w:tcPr>
            <w:tcW w:w="2321" w:type="dxa"/>
            <w:tcBorders>
              <w:left w:val="nil"/>
            </w:tcBorders>
            <w:shd w:val="clear" w:color="auto" w:fill="D3DFEE"/>
            <w:vAlign w:val="center"/>
          </w:tcPr>
          <w:p>
            <w:pPr>
              <w:spacing w:line="240" w:lineRule="auto"/>
              <w:jc w:val="center"/>
              <w:rPr>
                <w:rFonts w:ascii="Times New Roman" w:hAnsi="Times New Roman" w:cs="Times New Roman"/>
                <w:noProof/>
              </w:rPr>
            </w:pPr>
            <w:r>
              <w:rPr>
                <w:rFonts w:ascii="Times New Roman" w:hAnsi="Times New Roman"/>
                <w:noProof/>
              </w:rPr>
              <w:t>Visé: entre 4 et 5</w:t>
            </w:r>
          </w:p>
          <w:p>
            <w:pPr>
              <w:spacing w:line="240" w:lineRule="auto"/>
              <w:jc w:val="center"/>
              <w:rPr>
                <w:rFonts w:ascii="Times New Roman" w:hAnsi="Times New Roman" w:cs="Times New Roman"/>
                <w:noProof/>
              </w:rPr>
            </w:pPr>
            <w:r>
              <w:rPr>
                <w:rFonts w:ascii="Times New Roman" w:hAnsi="Times New Roman"/>
                <w:noProof/>
              </w:rPr>
              <w:t>Atteint: 32,98</w:t>
            </w:r>
          </w:p>
        </w:tc>
      </w:tr>
      <w:tr>
        <w:trPr>
          <w:trHeight w:val="761"/>
        </w:trPr>
        <w:tc>
          <w:tcPr>
            <w:tcW w:w="223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409" w:type="dxa"/>
            <w:tcBorders>
              <w:left w:val="nil"/>
              <w:right w:val="nil"/>
            </w:tcBorders>
            <w:shd w:val="clear" w:color="auto" w:fill="auto"/>
            <w:vAlign w:val="center"/>
          </w:tcPr>
          <w:p>
            <w:pPr>
              <w:autoSpaceDE w:val="0"/>
              <w:autoSpaceDN w:val="0"/>
              <w:adjustRightInd w:val="0"/>
              <w:ind w:right="141"/>
              <w:jc w:val="both"/>
              <w:rPr>
                <w:rFonts w:ascii="Times New Roman" w:hAnsi="Times New Roman" w:cs="Times New Roman"/>
                <w:noProof/>
              </w:rPr>
            </w:pPr>
            <w:r>
              <w:rPr>
                <w:rFonts w:ascii="Times New Roman" w:hAnsi="Times New Roman"/>
                <w:noProof/>
              </w:rPr>
              <w:t>Soutien apporté à des projets représentant un coût total de 26 Mrd EUR</w:t>
            </w:r>
          </w:p>
        </w:tc>
        <w:tc>
          <w:tcPr>
            <w:tcW w:w="2323" w:type="dxa"/>
            <w:tcBorders>
              <w:left w:val="nil"/>
              <w:right w:val="nil"/>
            </w:tcBorders>
            <w:shd w:val="clear" w:color="auto" w:fill="auto"/>
            <w:vAlign w:val="center"/>
          </w:tcPr>
          <w:p>
            <w:pPr>
              <w:pStyle w:val="ListParagraph"/>
              <w:spacing w:before="0" w:after="200" w:line="240" w:lineRule="auto"/>
              <w:ind w:left="0"/>
              <w:jc w:val="both"/>
              <w:rPr>
                <w:noProof/>
                <w:sz w:val="22"/>
              </w:rPr>
            </w:pPr>
            <w:r>
              <w:rPr>
                <w:noProof/>
                <w:sz w:val="22"/>
              </w:rPr>
              <w:t>Soutien à l'octroi d'un volume total d'investissements de 465 Mio EUR</w:t>
            </w:r>
          </w:p>
        </w:tc>
        <w:tc>
          <w:tcPr>
            <w:tcW w:w="2321" w:type="dxa"/>
            <w:tcBorders>
              <w:left w:val="nil"/>
            </w:tcBorders>
            <w:shd w:val="clear" w:color="auto" w:fill="auto"/>
            <w:vAlign w:val="center"/>
          </w:tcPr>
          <w:p>
            <w:pPr>
              <w:pStyle w:val="ListParagraph"/>
              <w:spacing w:before="0" w:after="200" w:line="240" w:lineRule="auto"/>
              <w:ind w:left="0"/>
              <w:jc w:val="both"/>
              <w:rPr>
                <w:noProof/>
                <w:sz w:val="22"/>
              </w:rPr>
            </w:pPr>
            <w:r>
              <w:rPr>
                <w:noProof/>
                <w:sz w:val="22"/>
              </w:rPr>
              <w:t>Soutien à l'octroi d'un volume total d'investissements de 2,1 Mrd EUR</w:t>
            </w:r>
          </w:p>
        </w:tc>
      </w:tr>
    </w:tbl>
    <w:p>
      <w:pPr>
        <w:rPr>
          <w:rFonts w:ascii="Times New Roman" w:hAnsi="Times New Roman" w:cs="Times New Roman"/>
          <w:noProof/>
        </w:rPr>
      </w:pPr>
    </w:p>
    <w:p>
      <w:pPr>
        <w:rPr>
          <w:rFonts w:ascii="Times New Roman" w:hAnsi="Times New Roman" w:cs="Times New Roman"/>
          <w:noProof/>
        </w:rPr>
      </w:pPr>
      <w:r>
        <w:rPr>
          <w:noProof/>
        </w:rPr>
        <w:br w:type="page"/>
      </w:r>
    </w:p>
    <w:tbl>
      <w:tblPr>
        <w:tblW w:w="932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985"/>
        <w:gridCol w:w="2518"/>
        <w:gridCol w:w="2409"/>
        <w:gridCol w:w="2410"/>
      </w:tblGrid>
      <w:tr>
        <w:tc>
          <w:tcPr>
            <w:tcW w:w="1985" w:type="dxa"/>
            <w:tcBorders>
              <w:top w:val="single" w:sz="8" w:space="0" w:color="7BA0CD"/>
              <w:left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p>
        </w:tc>
        <w:tc>
          <w:tcPr>
            <w:tcW w:w="2518" w:type="dxa"/>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Facilité d’investissement pour l'Amérique latine — FIAL (point 6.3 du document de travail)</w:t>
            </w:r>
          </w:p>
          <w:p>
            <w:pPr>
              <w:jc w:val="center"/>
              <w:rPr>
                <w:rFonts w:ascii="Times New Roman" w:hAnsi="Times New Roman" w:cs="Times New Roman"/>
                <w:b/>
                <w:bCs/>
                <w:noProof/>
                <w:color w:val="FFFFFF"/>
              </w:rPr>
            </w:pPr>
            <w:r>
              <w:rPr>
                <w:rFonts w:ascii="Times New Roman" w:hAnsi="Times New Roman"/>
                <w:b/>
                <w:noProof/>
                <w:color w:val="FFFFFF"/>
              </w:rPr>
              <w:t>DG responsable: DEVCO</w:t>
            </w:r>
          </w:p>
        </w:tc>
        <w:tc>
          <w:tcPr>
            <w:tcW w:w="2409" w:type="dxa"/>
            <w:tcBorders>
              <w:top w:val="single" w:sz="8" w:space="0" w:color="7BA0CD"/>
              <w:bottom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Soutien à la FEMIP</w:t>
            </w:r>
            <w:r>
              <w:rPr>
                <w:rStyle w:val="FootnoteReference"/>
                <w:rFonts w:ascii="Times New Roman" w:hAnsi="Times New Roman"/>
                <w:b/>
                <w:noProof/>
                <w:color w:val="FFFFFF"/>
              </w:rPr>
              <w:footnoteReference w:id="10"/>
            </w:r>
          </w:p>
          <w:p>
            <w:pPr>
              <w:jc w:val="center"/>
              <w:rPr>
                <w:rFonts w:ascii="Times New Roman" w:hAnsi="Times New Roman" w:cs="Times New Roman"/>
                <w:b/>
                <w:bCs/>
                <w:noProof/>
                <w:color w:val="FFFFFF"/>
              </w:rPr>
            </w:pPr>
            <w:r>
              <w:rPr>
                <w:rFonts w:ascii="Times New Roman" w:hAnsi="Times New Roman"/>
                <w:b/>
                <w:noProof/>
                <w:color w:val="FFFFFF"/>
              </w:rPr>
              <w:t xml:space="preserve">(point 6.4 du document de travail) </w:t>
            </w:r>
            <w:r>
              <w:rPr>
                <w:noProof/>
              </w:rPr>
              <w:br/>
            </w:r>
            <w:r>
              <w:rPr>
                <w:rFonts w:ascii="Times New Roman" w:hAnsi="Times New Roman"/>
                <w:b/>
                <w:noProof/>
                <w:color w:val="FFFFFF"/>
              </w:rPr>
              <w:t>DG responsable:</w:t>
            </w:r>
          </w:p>
          <w:p>
            <w:pPr>
              <w:jc w:val="center"/>
              <w:rPr>
                <w:rFonts w:ascii="Times New Roman" w:hAnsi="Times New Roman" w:cs="Times New Roman"/>
                <w:b/>
                <w:bCs/>
                <w:noProof/>
                <w:color w:val="FFFFFF"/>
              </w:rPr>
            </w:pPr>
            <w:r>
              <w:rPr>
                <w:rFonts w:ascii="Times New Roman" w:hAnsi="Times New Roman"/>
                <w:b/>
                <w:noProof/>
                <w:color w:val="FFFFFF"/>
              </w:rPr>
              <w:t>NEAR</w:t>
            </w:r>
          </w:p>
        </w:tc>
        <w:tc>
          <w:tcPr>
            <w:tcW w:w="2410" w:type="dxa"/>
            <w:tcBorders>
              <w:top w:val="single" w:sz="8" w:space="0" w:color="7BA0CD"/>
              <w:bottom w:val="single" w:sz="8" w:space="0" w:color="7BA0CD"/>
              <w:right w:val="single" w:sz="8" w:space="0" w:color="7BA0CD"/>
            </w:tcBorders>
            <w:shd w:val="clear" w:color="auto" w:fill="4F81BD"/>
            <w:vAlign w:val="center"/>
          </w:tcPr>
          <w:p>
            <w:pPr>
              <w:jc w:val="center"/>
              <w:rPr>
                <w:rFonts w:ascii="Times New Roman" w:hAnsi="Times New Roman" w:cs="Times New Roman"/>
                <w:b/>
                <w:bCs/>
                <w:noProof/>
                <w:color w:val="FFFFFF"/>
              </w:rPr>
            </w:pPr>
            <w:r>
              <w:rPr>
                <w:rFonts w:ascii="Times New Roman" w:hAnsi="Times New Roman"/>
                <w:b/>
                <w:noProof/>
                <w:color w:val="FFFFFF"/>
              </w:rPr>
              <w:t>Fonds mondial pour l'efficacité énergétique et les énergies renouvelables — GEEREF</w:t>
            </w:r>
          </w:p>
          <w:p>
            <w:pPr>
              <w:jc w:val="center"/>
              <w:rPr>
                <w:rFonts w:ascii="Times New Roman" w:hAnsi="Times New Roman" w:cs="Times New Roman"/>
                <w:b/>
                <w:bCs/>
                <w:noProof/>
                <w:color w:val="FFFFFF"/>
              </w:rPr>
            </w:pPr>
            <w:r>
              <w:rPr>
                <w:rFonts w:ascii="Times New Roman" w:hAnsi="Times New Roman"/>
                <w:b/>
                <w:noProof/>
                <w:color w:val="FFFFFF"/>
              </w:rPr>
              <w:t>DG responsable: DEVCO</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a) Identification / acte de base</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noProof/>
              </w:rPr>
              <w:t>Règlement (CE) n° 1905/2006</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noProof/>
              </w:rPr>
              <w:t>Règlement (CE) n° 1638/2006</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noProof/>
              </w:rPr>
              <w:t>Règlement (CE) n° 1905/2006</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b) Description</w:t>
            </w:r>
          </w:p>
        </w:tc>
        <w:tc>
          <w:tcPr>
            <w:tcW w:w="2518"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destiné à promouvoir les investissements et les infrastructures dans les secteurs des transports, de l’énergie, de l’environnement et dans le secteur social en Amérique latine</w:t>
            </w:r>
          </w:p>
        </w:tc>
        <w:tc>
          <w:tcPr>
            <w:tcW w:w="2409"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fournissant des capitaux au secteur privé à des conditions qui ne sont pas offertes localement</w:t>
            </w:r>
          </w:p>
        </w:tc>
        <w:tc>
          <w:tcPr>
            <w:tcW w:w="2410" w:type="dxa"/>
            <w:tcBorders>
              <w:left w:val="nil"/>
            </w:tcBorders>
            <w:shd w:val="clear" w:color="auto" w:fill="auto"/>
            <w:vAlign w:val="center"/>
          </w:tcPr>
          <w:p>
            <w:pPr>
              <w:jc w:val="both"/>
              <w:rPr>
                <w:rFonts w:ascii="Times New Roman" w:hAnsi="Times New Roman" w:cs="Times New Roman"/>
                <w:noProof/>
              </w:rPr>
            </w:pPr>
            <w:r>
              <w:rPr>
                <w:rFonts w:ascii="Times New Roman" w:hAnsi="Times New Roman"/>
                <w:noProof/>
              </w:rPr>
              <w:t>Instrument de financement innovant destiné à promouvoir les projets d'efficacité énergétique et d'énergies renouvelables par l'intermédiaire de fonds régionaux de capital-investissement</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c) Institution(s) financière(s) concernée(s)</w:t>
            </w:r>
          </w:p>
        </w:tc>
        <w:tc>
          <w:tcPr>
            <w:tcW w:w="2518" w:type="dxa"/>
            <w:shd w:val="clear" w:color="auto" w:fill="D3DFEE"/>
            <w:vAlign w:val="center"/>
          </w:tcPr>
          <w:p>
            <w:pPr>
              <w:jc w:val="center"/>
              <w:rPr>
                <w:rFonts w:ascii="Times New Roman" w:hAnsi="Times New Roman" w:cs="Times New Roman"/>
                <w:noProof/>
                <w:lang w:val="da-DK"/>
              </w:rPr>
            </w:pPr>
            <w:r>
              <w:rPr>
                <w:rFonts w:ascii="Times New Roman" w:hAnsi="Times New Roman"/>
                <w:noProof/>
                <w:lang w:val="da-DK"/>
              </w:rPr>
              <w:t>BEI, AFD, AECID, KfW et SIMEST</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noProof/>
              </w:rPr>
              <w:t>BEI</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noProof/>
              </w:rPr>
              <w:t>FEI (mandataire)</w:t>
            </w:r>
          </w:p>
          <w:p>
            <w:pPr>
              <w:jc w:val="center"/>
              <w:rPr>
                <w:rFonts w:ascii="Times New Roman" w:hAnsi="Times New Roman" w:cs="Times New Roman"/>
                <w:noProof/>
              </w:rPr>
            </w:pPr>
            <w:r>
              <w:rPr>
                <w:rFonts w:ascii="Times New Roman" w:hAnsi="Times New Roman"/>
                <w:noProof/>
              </w:rPr>
              <w:t>BEI, Allemagne, Norvège, etc. (co-investisseurs)</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d) Total des engagements et des paiements budgétaires</w:t>
            </w:r>
          </w:p>
        </w:tc>
        <w:tc>
          <w:tcPr>
            <w:tcW w:w="2518" w:type="dxa"/>
            <w:tcBorders>
              <w:left w:val="nil"/>
              <w:right w:val="nil"/>
            </w:tcBorders>
            <w:shd w:val="clear" w:color="auto" w:fill="auto"/>
            <w:vAlign w:val="center"/>
          </w:tcPr>
          <w:p>
            <w:pPr>
              <w:shd w:val="clear" w:color="auto" w:fill="FFFFFF"/>
              <w:ind w:right="141"/>
              <w:jc w:val="center"/>
              <w:rPr>
                <w:rFonts w:ascii="Times New Roman" w:hAnsi="Times New Roman" w:cs="Times New Roman"/>
                <w:noProof/>
              </w:rPr>
            </w:pPr>
            <w:r>
              <w:rPr>
                <w:rFonts w:ascii="Times New Roman" w:hAnsi="Times New Roman"/>
                <w:noProof/>
              </w:rPr>
              <w:t>210,4 Mio EUR</w:t>
            </w:r>
          </w:p>
          <w:p>
            <w:pPr>
              <w:shd w:val="clear" w:color="auto" w:fill="FFFFFF"/>
              <w:ind w:right="141"/>
              <w:jc w:val="center"/>
              <w:rPr>
                <w:rFonts w:ascii="Times New Roman" w:hAnsi="Times New Roman" w:cs="Times New Roman"/>
                <w:noProof/>
              </w:rPr>
            </w:pPr>
            <w:r>
              <w:rPr>
                <w:rFonts w:ascii="Times New Roman" w:hAnsi="Times New Roman"/>
                <w:noProof/>
              </w:rPr>
              <w:t>104,8 Mio EUR</w:t>
            </w:r>
          </w:p>
          <w:p>
            <w:pPr>
              <w:shd w:val="clear" w:color="auto" w:fill="FFFFFF"/>
              <w:ind w:right="141"/>
              <w:jc w:val="center"/>
              <w:rPr>
                <w:rFonts w:ascii="Times New Roman" w:hAnsi="Times New Roman" w:cs="Times New Roman"/>
                <w:noProof/>
              </w:rPr>
            </w:pPr>
            <w:r>
              <w:rPr>
                <w:rFonts w:ascii="Times New Roman" w:hAnsi="Times New Roman"/>
                <w:noProof/>
              </w:rPr>
              <w:t>Volet «changement climatique»: 17,3 Mio EUR</w:t>
            </w:r>
          </w:p>
          <w:p>
            <w:pPr>
              <w:shd w:val="clear" w:color="auto" w:fill="FFFFFF"/>
              <w:ind w:right="141"/>
              <w:jc w:val="center"/>
              <w:rPr>
                <w:rFonts w:ascii="Times New Roman" w:hAnsi="Times New Roman" w:cs="Times New Roman"/>
                <w:noProof/>
              </w:rPr>
            </w:pPr>
            <w:r>
              <w:rPr>
                <w:rFonts w:ascii="Times New Roman" w:hAnsi="Times New Roman"/>
                <w:noProof/>
              </w:rPr>
              <w:t>15,8 Mio EUR</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224 Mio EUR</w:t>
            </w:r>
          </w:p>
          <w:p>
            <w:pPr>
              <w:jc w:val="center"/>
              <w:rPr>
                <w:rFonts w:ascii="Times New Roman" w:hAnsi="Times New Roman" w:cs="Times New Roman"/>
                <w:noProof/>
              </w:rPr>
            </w:pPr>
            <w:r>
              <w:rPr>
                <w:rFonts w:ascii="Times New Roman" w:hAnsi="Times New Roman"/>
                <w:noProof/>
              </w:rPr>
              <w:t>224 Mio EUR</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81,1 Mio EUR</w:t>
            </w:r>
          </w:p>
          <w:p>
            <w:pPr>
              <w:jc w:val="center"/>
              <w:rPr>
                <w:rFonts w:ascii="Times New Roman" w:hAnsi="Times New Roman" w:cs="Times New Roman"/>
                <w:noProof/>
              </w:rPr>
            </w:pPr>
            <w:r>
              <w:rPr>
                <w:rFonts w:ascii="Times New Roman" w:hAnsi="Times New Roman"/>
                <w:noProof/>
              </w:rPr>
              <w:t>79,5 Mio EUR</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e) Utilisation</w:t>
            </w:r>
          </w:p>
        </w:tc>
        <w:tc>
          <w:tcPr>
            <w:tcW w:w="2518" w:type="dxa"/>
            <w:shd w:val="clear" w:color="auto" w:fill="D3DFEE"/>
            <w:vAlign w:val="center"/>
          </w:tcPr>
          <w:p>
            <w:pPr>
              <w:jc w:val="both"/>
              <w:rPr>
                <w:rFonts w:ascii="Times New Roman" w:hAnsi="Times New Roman" w:cs="Times New Roman"/>
                <w:noProof/>
              </w:rPr>
            </w:pPr>
            <w:r>
              <w:rPr>
                <w:rFonts w:ascii="Times New Roman" w:hAnsi="Times New Roman"/>
                <w:noProof/>
              </w:rPr>
              <w:t>27 projets approuvés, avec une contribution de l’Union de 204 Mio EUR et la mobilisation d’un montant supplémentaire de 2,9 Mrd EUR par l'intermédiaire du FEI</w:t>
            </w:r>
          </w:p>
        </w:tc>
        <w:tc>
          <w:tcPr>
            <w:tcW w:w="2409" w:type="dxa"/>
            <w:shd w:val="clear" w:color="auto" w:fill="D3DFEE"/>
            <w:vAlign w:val="center"/>
          </w:tcPr>
          <w:p>
            <w:pPr>
              <w:ind w:left="-109" w:right="142"/>
              <w:contextualSpacing/>
              <w:jc w:val="both"/>
              <w:rPr>
                <w:rFonts w:ascii="Times New Roman" w:hAnsi="Times New Roman" w:cs="Times New Roman"/>
                <w:noProof/>
              </w:rPr>
            </w:pPr>
            <w:r>
              <w:rPr>
                <w:rFonts w:ascii="Times New Roman" w:hAnsi="Times New Roman"/>
                <w:noProof/>
              </w:rPr>
              <w:t>33 Mio EUR alloués à 20 opérations d’assistance technique;</w:t>
            </w:r>
          </w:p>
          <w:p>
            <w:pPr>
              <w:ind w:left="-109" w:right="142"/>
              <w:contextualSpacing/>
              <w:jc w:val="both"/>
              <w:rPr>
                <w:rFonts w:ascii="Times New Roman" w:hAnsi="Times New Roman" w:cs="Times New Roman"/>
                <w:noProof/>
              </w:rPr>
            </w:pPr>
            <w:r>
              <w:rPr>
                <w:rFonts w:ascii="Times New Roman" w:hAnsi="Times New Roman"/>
                <w:noProof/>
              </w:rPr>
              <w:t>180,2 Mio EUR alloués à 28 opérations de capital-risque;</w:t>
            </w:r>
          </w:p>
          <w:p>
            <w:pPr>
              <w:ind w:left="-109" w:right="142"/>
              <w:contextualSpacing/>
              <w:jc w:val="both"/>
              <w:rPr>
                <w:rFonts w:ascii="Times New Roman" w:hAnsi="Times New Roman" w:cs="Times New Roman"/>
                <w:noProof/>
              </w:rPr>
            </w:pPr>
            <w:r>
              <w:rPr>
                <w:rFonts w:ascii="Times New Roman" w:hAnsi="Times New Roman"/>
                <w:noProof/>
              </w:rPr>
              <w:t>4 Mio EUR alloués à 2 opérations de micro-finance</w:t>
            </w:r>
          </w:p>
        </w:tc>
        <w:tc>
          <w:tcPr>
            <w:tcW w:w="2410" w:type="dxa"/>
            <w:shd w:val="clear" w:color="auto" w:fill="D3DFEE"/>
            <w:vAlign w:val="center"/>
          </w:tcPr>
          <w:p>
            <w:pPr>
              <w:jc w:val="both"/>
              <w:rPr>
                <w:rFonts w:ascii="Times New Roman" w:hAnsi="Times New Roman" w:cs="Times New Roman"/>
                <w:noProof/>
              </w:rPr>
            </w:pPr>
            <w:r>
              <w:rPr>
                <w:rFonts w:ascii="Times New Roman" w:hAnsi="Times New Roman"/>
                <w:noProof/>
              </w:rPr>
              <w:t>8 investissements dans les fonds privés de capital-investissement régionaux, avec une contribution totale du GEEREF de 61,9 Mio EUR;</w:t>
            </w:r>
          </w:p>
          <w:p>
            <w:pPr>
              <w:jc w:val="both"/>
              <w:rPr>
                <w:rFonts w:ascii="Times New Roman" w:hAnsi="Times New Roman" w:cs="Times New Roman"/>
                <w:noProof/>
              </w:rPr>
            </w:pPr>
            <w:r>
              <w:rPr>
                <w:rFonts w:ascii="Times New Roman" w:hAnsi="Times New Roman"/>
                <w:noProof/>
              </w:rPr>
              <w:t>27 Mio EUR déjà versés</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f) Évaluation de l’utilisation des montants remboursés à l’instrument</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Montants entièrement utilisés pour l'instrument</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g) Solde du compte fiduciaire</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noProof/>
              </w:rPr>
              <w:t>102,8 Mio EUR</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noProof/>
              </w:rPr>
              <w:t>1,7 Mio EUR</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h) Recettes et remboursements</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6,8 Mio EUR</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i) Valeur des investissements de fonds propres</w:t>
            </w:r>
          </w:p>
        </w:tc>
        <w:tc>
          <w:tcPr>
            <w:tcW w:w="2518" w:type="dxa"/>
            <w:shd w:val="clear" w:color="auto" w:fill="D3DFEE"/>
            <w:vAlign w:val="center"/>
          </w:tcPr>
          <w:p>
            <w:pPr>
              <w:jc w:val="center"/>
              <w:rPr>
                <w:rFonts w:ascii="Times New Roman" w:hAnsi="Times New Roman" w:cs="Times New Roman"/>
                <w:noProof/>
              </w:rPr>
            </w:pPr>
            <w:r>
              <w:rPr>
                <w:rFonts w:ascii="Times New Roman" w:hAnsi="Times New Roman"/>
                <w:noProof/>
              </w:rPr>
              <w:t>Sans objet</w:t>
            </w:r>
          </w:p>
        </w:tc>
        <w:tc>
          <w:tcPr>
            <w:tcW w:w="2409" w:type="dxa"/>
            <w:shd w:val="clear" w:color="auto" w:fill="D3DFEE"/>
            <w:vAlign w:val="center"/>
          </w:tcPr>
          <w:p>
            <w:pPr>
              <w:ind w:right="141"/>
              <w:jc w:val="center"/>
              <w:rPr>
                <w:rFonts w:ascii="Times New Roman" w:hAnsi="Times New Roman" w:cs="Times New Roman"/>
                <w:noProof/>
              </w:rPr>
            </w:pPr>
            <w:r>
              <w:rPr>
                <w:rFonts w:ascii="Times New Roman" w:hAnsi="Times New Roman"/>
                <w:noProof/>
              </w:rPr>
              <w:t>7,2 Mio EUR</w:t>
            </w:r>
          </w:p>
          <w:p>
            <w:pPr>
              <w:ind w:right="141"/>
              <w:jc w:val="center"/>
              <w:rPr>
                <w:rFonts w:ascii="Times New Roman" w:hAnsi="Times New Roman" w:cs="Times New Roman"/>
                <w:noProof/>
              </w:rPr>
            </w:pPr>
            <w:r>
              <w:rPr>
                <w:rFonts w:ascii="Times New Roman" w:hAnsi="Times New Roman"/>
                <w:noProof/>
              </w:rPr>
              <w:t>Fonds de capital-risque: 46,2 Mio EUR</w:t>
            </w:r>
          </w:p>
        </w:tc>
        <w:tc>
          <w:tcPr>
            <w:tcW w:w="2410" w:type="dxa"/>
            <w:shd w:val="clear" w:color="auto" w:fill="D3DFEE"/>
            <w:vAlign w:val="center"/>
          </w:tcPr>
          <w:p>
            <w:pPr>
              <w:jc w:val="center"/>
              <w:rPr>
                <w:rFonts w:ascii="Times New Roman" w:hAnsi="Times New Roman" w:cs="Times New Roman"/>
                <w:noProof/>
              </w:rPr>
            </w:pPr>
            <w:r>
              <w:rPr>
                <w:rFonts w:ascii="Times New Roman" w:hAnsi="Times New Roman"/>
                <w:noProof/>
              </w:rPr>
              <w:t>70,3 Mio EUR</w:t>
            </w:r>
          </w:p>
        </w:tc>
      </w:tr>
      <w:t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j) Dépréciations / garanties appelées</w:t>
            </w:r>
          </w:p>
        </w:tc>
        <w:tc>
          <w:tcPr>
            <w:tcW w:w="2518"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Sans objet</w:t>
            </w:r>
          </w:p>
        </w:tc>
        <w:tc>
          <w:tcPr>
            <w:tcW w:w="2409" w:type="dxa"/>
            <w:tcBorders>
              <w:left w:val="nil"/>
              <w:right w:val="nil"/>
            </w:tcBorders>
            <w:shd w:val="clear" w:color="auto" w:fill="auto"/>
            <w:vAlign w:val="center"/>
          </w:tcPr>
          <w:p>
            <w:pPr>
              <w:jc w:val="center"/>
              <w:rPr>
                <w:rFonts w:ascii="Times New Roman" w:hAnsi="Times New Roman" w:cs="Times New Roman"/>
                <w:noProof/>
              </w:rPr>
            </w:pPr>
            <w:r>
              <w:rPr>
                <w:rFonts w:ascii="Times New Roman" w:hAnsi="Times New Roman"/>
                <w:noProof/>
              </w:rPr>
              <w:t>7,7 Mio EUR</w:t>
            </w:r>
          </w:p>
        </w:tc>
        <w:tc>
          <w:tcPr>
            <w:tcW w:w="2410" w:type="dxa"/>
            <w:tcBorders>
              <w:left w:val="nil"/>
            </w:tcBorders>
            <w:shd w:val="clear" w:color="auto" w:fill="auto"/>
            <w:vAlign w:val="center"/>
          </w:tcPr>
          <w:p>
            <w:pPr>
              <w:jc w:val="center"/>
              <w:rPr>
                <w:rFonts w:ascii="Times New Roman" w:hAnsi="Times New Roman" w:cs="Times New Roman"/>
                <w:noProof/>
              </w:rPr>
            </w:pPr>
            <w:r>
              <w:rPr>
                <w:rFonts w:ascii="Times New Roman" w:hAnsi="Times New Roman"/>
                <w:noProof/>
              </w:rPr>
              <w:t>Néant</w:t>
            </w:r>
          </w:p>
        </w:tc>
      </w:tr>
      <w:tr>
        <w:tc>
          <w:tcPr>
            <w:tcW w:w="1985" w:type="dxa"/>
            <w:shd w:val="clear" w:color="auto" w:fill="D3DFEE"/>
            <w:vAlign w:val="center"/>
          </w:tcPr>
          <w:p>
            <w:pPr>
              <w:jc w:val="center"/>
              <w:rPr>
                <w:rFonts w:ascii="Times New Roman" w:hAnsi="Times New Roman" w:cs="Times New Roman"/>
                <w:b/>
                <w:bCs/>
                <w:noProof/>
              </w:rPr>
            </w:pPr>
            <w:r>
              <w:rPr>
                <w:rFonts w:ascii="Times New Roman" w:hAnsi="Times New Roman"/>
                <w:b/>
                <w:noProof/>
              </w:rPr>
              <w:t>k) Effet de levier</w:t>
            </w:r>
          </w:p>
        </w:tc>
        <w:tc>
          <w:tcPr>
            <w:tcW w:w="2518" w:type="dxa"/>
            <w:shd w:val="clear" w:color="auto" w:fill="D3DFEE"/>
            <w:vAlign w:val="center"/>
          </w:tcPr>
          <w:p>
            <w:pPr>
              <w:spacing w:line="240" w:lineRule="auto"/>
              <w:jc w:val="center"/>
              <w:rPr>
                <w:rFonts w:ascii="Times New Roman" w:hAnsi="Times New Roman" w:cs="Times New Roman"/>
                <w:noProof/>
              </w:rPr>
            </w:pPr>
            <w:r>
              <w:rPr>
                <w:rFonts w:ascii="Times New Roman" w:hAnsi="Times New Roman"/>
                <w:noProof/>
              </w:rPr>
              <w:t>Visé: entre 4 et 5</w:t>
            </w:r>
          </w:p>
          <w:p>
            <w:pPr>
              <w:spacing w:line="240" w:lineRule="auto"/>
              <w:jc w:val="center"/>
              <w:rPr>
                <w:rFonts w:ascii="Times New Roman" w:hAnsi="Times New Roman" w:cs="Times New Roman"/>
                <w:noProof/>
              </w:rPr>
            </w:pPr>
            <w:r>
              <w:rPr>
                <w:rFonts w:ascii="Times New Roman" w:hAnsi="Times New Roman"/>
                <w:noProof/>
              </w:rPr>
              <w:t>Atteint: 28,2</w:t>
            </w:r>
          </w:p>
        </w:tc>
        <w:tc>
          <w:tcPr>
            <w:tcW w:w="2409" w:type="dxa"/>
            <w:shd w:val="clear" w:color="auto" w:fill="D3DFEE"/>
            <w:vAlign w:val="center"/>
          </w:tcPr>
          <w:p>
            <w:pPr>
              <w:jc w:val="center"/>
              <w:rPr>
                <w:rFonts w:ascii="Times New Roman" w:hAnsi="Times New Roman" w:cs="Times New Roman"/>
                <w:noProof/>
              </w:rPr>
            </w:pPr>
            <w:r>
              <w:rPr>
                <w:rFonts w:ascii="Times New Roman" w:hAnsi="Times New Roman"/>
                <w:noProof/>
              </w:rPr>
              <w:t>Atteint: 20</w:t>
            </w:r>
          </w:p>
        </w:tc>
        <w:tc>
          <w:tcPr>
            <w:tcW w:w="2410" w:type="dxa"/>
            <w:shd w:val="clear" w:color="auto" w:fill="D3DFEE"/>
            <w:vAlign w:val="center"/>
          </w:tcPr>
          <w:p>
            <w:pPr>
              <w:spacing w:line="240" w:lineRule="auto"/>
              <w:jc w:val="center"/>
              <w:rPr>
                <w:rFonts w:ascii="Times New Roman" w:hAnsi="Times New Roman" w:cs="Times New Roman"/>
                <w:noProof/>
              </w:rPr>
            </w:pPr>
            <w:r>
              <w:rPr>
                <w:rFonts w:ascii="Times New Roman" w:hAnsi="Times New Roman"/>
                <w:noProof/>
              </w:rPr>
              <w:t>Visé: entre 2 et 2,5</w:t>
            </w:r>
          </w:p>
          <w:p>
            <w:pPr>
              <w:spacing w:line="240" w:lineRule="auto"/>
              <w:jc w:val="center"/>
              <w:rPr>
                <w:rFonts w:ascii="Times New Roman" w:hAnsi="Times New Roman" w:cs="Times New Roman"/>
                <w:noProof/>
              </w:rPr>
            </w:pPr>
            <w:r>
              <w:rPr>
                <w:rFonts w:ascii="Times New Roman" w:hAnsi="Times New Roman"/>
                <w:noProof/>
              </w:rPr>
              <w:t>Atteint: 2,3</w:t>
            </w:r>
            <w:r>
              <w:rPr>
                <w:rStyle w:val="FootnoteReference"/>
                <w:rFonts w:ascii="Times New Roman" w:hAnsi="Times New Roman"/>
                <w:noProof/>
              </w:rPr>
              <w:footnoteReference w:id="11"/>
            </w:r>
          </w:p>
        </w:tc>
      </w:tr>
      <w:tr>
        <w:trPr>
          <w:trHeight w:val="761"/>
        </w:trPr>
        <w:tc>
          <w:tcPr>
            <w:tcW w:w="1985" w:type="dxa"/>
            <w:tcBorders>
              <w:right w:val="nil"/>
            </w:tcBorders>
            <w:shd w:val="clear" w:color="auto" w:fill="auto"/>
            <w:vAlign w:val="center"/>
          </w:tcPr>
          <w:p>
            <w:pPr>
              <w:jc w:val="center"/>
              <w:rPr>
                <w:rFonts w:ascii="Times New Roman" w:hAnsi="Times New Roman" w:cs="Times New Roman"/>
                <w:b/>
                <w:bCs/>
                <w:noProof/>
              </w:rPr>
            </w:pPr>
            <w:r>
              <w:rPr>
                <w:rFonts w:ascii="Times New Roman" w:hAnsi="Times New Roman"/>
                <w:b/>
                <w:noProof/>
              </w:rPr>
              <w:t>l) Contribution à la réalisation des objectifs du programme</w:t>
            </w:r>
          </w:p>
        </w:tc>
        <w:tc>
          <w:tcPr>
            <w:tcW w:w="2518" w:type="dxa"/>
            <w:tcBorders>
              <w:left w:val="nil"/>
              <w:right w:val="nil"/>
            </w:tcBorders>
            <w:shd w:val="clear" w:color="auto" w:fill="auto"/>
            <w:vAlign w:val="center"/>
          </w:tcPr>
          <w:p>
            <w:pPr>
              <w:jc w:val="both"/>
              <w:rPr>
                <w:rFonts w:ascii="Times New Roman" w:hAnsi="Times New Roman" w:cs="Times New Roman"/>
                <w:noProof/>
              </w:rPr>
            </w:pPr>
            <w:r>
              <w:rPr>
                <w:rFonts w:ascii="Times New Roman" w:hAnsi="Times New Roman"/>
                <w:noProof/>
              </w:rPr>
              <w:t>Soutien apporté à 27 projets représentant un coût total d'investissement de 6,6 Mrd EUR</w:t>
            </w:r>
          </w:p>
        </w:tc>
        <w:tc>
          <w:tcPr>
            <w:tcW w:w="2409" w:type="dxa"/>
            <w:tcBorders>
              <w:left w:val="nil"/>
              <w:right w:val="nil"/>
            </w:tcBorders>
            <w:shd w:val="clear" w:color="auto" w:fill="auto"/>
            <w:vAlign w:val="center"/>
          </w:tcPr>
          <w:p>
            <w:pPr>
              <w:ind w:left="317"/>
              <w:jc w:val="both"/>
              <w:rPr>
                <w:rFonts w:ascii="Times New Roman" w:hAnsi="Times New Roman" w:cs="Times New Roman"/>
                <w:noProof/>
              </w:rPr>
            </w:pPr>
            <w:r>
              <w:rPr>
                <w:rFonts w:ascii="Times New Roman" w:hAnsi="Times New Roman"/>
                <w:noProof/>
              </w:rPr>
              <w:t xml:space="preserve">Soutien apporté à l'octroi d'un volume de financement total de 6,7 Mrd EUR; </w:t>
            </w:r>
          </w:p>
          <w:p>
            <w:pPr>
              <w:ind w:left="317"/>
              <w:jc w:val="both"/>
              <w:rPr>
                <w:rFonts w:ascii="Times New Roman" w:hAnsi="Times New Roman" w:cs="Times New Roman"/>
                <w:noProof/>
              </w:rPr>
            </w:pPr>
            <w:r>
              <w:rPr>
                <w:rFonts w:ascii="Times New Roman" w:hAnsi="Times New Roman"/>
                <w:noProof/>
              </w:rPr>
              <w:t>co-financement de la BEI de 2,3 Mrd EUR</w:t>
            </w:r>
          </w:p>
        </w:tc>
        <w:tc>
          <w:tcPr>
            <w:tcW w:w="2410" w:type="dxa"/>
            <w:tcBorders>
              <w:left w:val="nil"/>
            </w:tcBorders>
            <w:shd w:val="clear" w:color="auto" w:fill="auto"/>
            <w:vAlign w:val="center"/>
          </w:tcPr>
          <w:p>
            <w:pPr>
              <w:pStyle w:val="ListParagraph"/>
              <w:spacing w:before="0" w:after="0"/>
              <w:ind w:left="0"/>
              <w:jc w:val="both"/>
              <w:rPr>
                <w:noProof/>
                <w:sz w:val="22"/>
              </w:rPr>
            </w:pPr>
            <w:r>
              <w:rPr>
                <w:noProof/>
                <w:sz w:val="22"/>
              </w:rPr>
              <w:t>Soutien à la réalisation de 1 Mrd EUR de nouveaux investissements devant permettre la fourniture de services énergétiques durables à 3 millions de personnes</w:t>
            </w:r>
          </w:p>
        </w:tc>
      </w:tr>
    </w:tbl>
    <w:p>
      <w:pPr>
        <w:jc w:val="both"/>
        <w:rPr>
          <w:rFonts w:ascii="Times New Roman" w:hAnsi="Times New Roman" w:cs="Times New Roman"/>
          <w:noProof/>
        </w:rPr>
      </w:pPr>
    </w:p>
    <w:p>
      <w:pPr>
        <w:rPr>
          <w:rFonts w:ascii="Times New Roman" w:hAnsi="Times New Roman" w:cs="Times New Roman"/>
          <w:noProof/>
        </w:rPr>
      </w:pPr>
    </w:p>
    <w:sectPr>
      <w:headerReference w:type="even" r:id="rId15"/>
      <w:headerReference w:type="default" r:id="rId16"/>
      <w:footerReference w:type="even" r:id="rId17"/>
      <w:footerReference w:type="default" r:id="rId18"/>
      <w:headerReference w:type="first" r:id="rId19"/>
      <w:footerReference w:type="first" r:id="rId20"/>
      <w:pgSz w:w="11906" w:h="16838" w:code="9"/>
      <w:pgMar w:top="1417" w:right="1417" w:bottom="1417" w:left="1417" w:header="708" w:footer="708"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after="120"/>
        <w:ind w:left="284" w:hanging="426"/>
        <w:jc w:val="both"/>
      </w:pPr>
      <w:r>
        <w:rPr>
          <w:rStyle w:val="FootnoteReference"/>
        </w:rPr>
        <w:footnoteRef/>
      </w:r>
      <w:r>
        <w:t xml:space="preserve"> </w:t>
      </w:r>
      <w:r>
        <w:tab/>
        <w:t>Le règlement financier actuel et ses règles d’application exigent une approche unifiée des informations diffusées concernant l'effet de levier. Étant donné que les dispositions applicables aux instruments financiers sont entrées en vigueur en janvier 2014, cette approche est appliquée uniquement aux instruments financiers de la période 2014-2020.</w:t>
      </w:r>
    </w:p>
  </w:footnote>
  <w:footnote w:id="2">
    <w:p>
      <w:pPr>
        <w:pStyle w:val="FootnoteText"/>
        <w:spacing w:before="0" w:after="120"/>
        <w:ind w:left="284" w:hanging="426"/>
        <w:jc w:val="both"/>
      </w:pPr>
      <w:r>
        <w:rPr>
          <w:rStyle w:val="FootnoteReference"/>
        </w:rPr>
        <w:footnoteRef/>
      </w:r>
      <w:r>
        <w:t xml:space="preserve"> </w:t>
      </w:r>
      <w:r>
        <w:tab/>
        <w:t>Engagement global (voir aussi document de travail).</w:t>
      </w:r>
    </w:p>
  </w:footnote>
  <w:footnote w:id="3">
    <w:p>
      <w:pPr>
        <w:pStyle w:val="FootnoteText"/>
        <w:spacing w:before="0" w:after="120"/>
        <w:ind w:left="284" w:hanging="426"/>
        <w:jc w:val="both"/>
      </w:pPr>
      <w:r>
        <w:rPr>
          <w:rStyle w:val="FootnoteReference"/>
        </w:rPr>
        <w:footnoteRef/>
      </w:r>
      <w:r>
        <w:t xml:space="preserve"> </w:t>
      </w:r>
      <w:r>
        <w:tab/>
        <w:t>Un paiement de 84 Mio EUR qui était dû en 2014 n'a eu lieu qu’au début de 2015.</w:t>
      </w:r>
    </w:p>
  </w:footnote>
  <w:footnote w:id="4">
    <w:p>
      <w:pPr>
        <w:pStyle w:val="FootnoteText"/>
        <w:spacing w:before="0" w:after="120"/>
        <w:ind w:left="284" w:hanging="426"/>
        <w:jc w:val="both"/>
      </w:pPr>
      <w:r>
        <w:rPr>
          <w:rStyle w:val="FootnoteReference"/>
        </w:rPr>
        <w:footnoteRef/>
      </w:r>
      <w:r>
        <w:t xml:space="preserve"> </w:t>
      </w:r>
      <w:r>
        <w:tab/>
        <w:t>Un montant de 3,25 Mio EUR a été versé le 29 décembre 2014 et comptabilisé sur le compte fiduciaire le 6 janvier 2015.</w:t>
      </w:r>
    </w:p>
  </w:footnote>
  <w:footnote w:id="5">
    <w:p>
      <w:pPr>
        <w:pStyle w:val="FootnoteText"/>
        <w:spacing w:before="0" w:after="120"/>
        <w:ind w:left="284" w:hanging="426"/>
        <w:jc w:val="both"/>
        <w:rPr>
          <w:sz w:val="18"/>
          <w:szCs w:val="18"/>
        </w:rPr>
      </w:pPr>
      <w:r>
        <w:rPr>
          <w:rStyle w:val="FootnoteReference"/>
        </w:rPr>
        <w:footnoteRef/>
      </w:r>
      <w:r>
        <w:t xml:space="preserve"> </w:t>
      </w:r>
      <w:r>
        <w:tab/>
      </w:r>
      <w:r>
        <w:rPr>
          <w:sz w:val="18"/>
        </w:rPr>
        <w:t>Deux comptes fiduciaires ont été créés, mais qui ne sont pas des comptes fiduciaires au sens de l’</w:t>
      </w:r>
      <w:r>
        <w:rPr>
          <w:i/>
          <w:sz w:val="18"/>
        </w:rPr>
        <w:t>annexe 5: Guidelines on Article 140(8)</w:t>
      </w:r>
      <w:r>
        <w:t xml:space="preserve"> (</w:t>
      </w:r>
      <w:hyperlink r:id="rId1">
        <w:r>
          <w:rPr>
            <w:rStyle w:val="Hyperlink"/>
            <w:sz w:val="18"/>
          </w:rPr>
          <w:t>http://myintracomm.ec.testa.eu/budgweb/FR/imp/financial-instruments/Pages/financial-instruments-2015.aspx</w:t>
        </w:r>
      </w:hyperlink>
      <w:r>
        <w:rPr>
          <w:sz w:val="18"/>
        </w:rPr>
        <w:t>):</w:t>
      </w:r>
      <w:r>
        <w:tab/>
      </w:r>
    </w:p>
    <w:p>
      <w:pPr>
        <w:pStyle w:val="FootnoteText"/>
        <w:numPr>
          <w:ilvl w:val="0"/>
          <w:numId w:val="26"/>
        </w:numPr>
        <w:spacing w:before="0" w:after="120"/>
        <w:ind w:left="709" w:hanging="283"/>
        <w:jc w:val="both"/>
      </w:pPr>
      <w:r>
        <w:rPr>
          <w:sz w:val="18"/>
        </w:rPr>
        <w:t>Le compte fiduciaire relatif aux financements est crédité de la part de la contribution de l'UE qui doit être utilisée pour les financements, majorée des intérêts produits, et débité des paiements au Fonds de la contribution de l’UE. Le solde s’établissait à 24,9 Mio EUR au 31 décembre 2014;</w:t>
      </w:r>
    </w:p>
    <w:p>
      <w:pPr>
        <w:pStyle w:val="FootnoteText"/>
        <w:numPr>
          <w:ilvl w:val="0"/>
          <w:numId w:val="26"/>
        </w:numPr>
        <w:spacing w:before="0" w:after="120"/>
        <w:ind w:left="709" w:hanging="283"/>
        <w:jc w:val="both"/>
      </w:pPr>
      <w:r>
        <w:rPr>
          <w:sz w:val="18"/>
        </w:rPr>
        <w:t>Le compte fiduciaire relatif à l'assistance technique est crédité de la partie de la contribution de l’UE qui doit être utilisée pour l’assistance technique, majorée des intérêts perçus et des fonds récupérés d'actions antérieures d'assistance technique, et débité des contributions de l'UE destinées à couvrir les coûts éligibles d’assistance technique, les frais d’audit externe, les fonds à restituer à la Commission et les frais de gestion de l'assistance technique. Au 31 décembre 2014, le solde de ce compte s'élevait à 1,9 Mio EUR.</w:t>
      </w:r>
    </w:p>
  </w:footnote>
  <w:footnote w:id="6">
    <w:p>
      <w:pPr>
        <w:pStyle w:val="FootnoteText"/>
        <w:spacing w:before="0" w:after="120"/>
        <w:ind w:left="284" w:hanging="426"/>
        <w:jc w:val="both"/>
      </w:pPr>
      <w:r>
        <w:rPr>
          <w:rStyle w:val="FootnoteReference"/>
        </w:rPr>
        <w:footnoteRef/>
      </w:r>
      <w:r>
        <w:t xml:space="preserve"> </w:t>
      </w:r>
      <w:r>
        <w:tab/>
        <w:t>Mécanisme pour l’innovation et le développement des entreprises dans les Balkans occidentaux (WB EDIF)</w:t>
      </w:r>
    </w:p>
  </w:footnote>
  <w:footnote w:id="7">
    <w:p>
      <w:pPr>
        <w:pStyle w:val="FootnoteText"/>
        <w:spacing w:before="0" w:after="120"/>
        <w:ind w:left="284" w:hanging="426"/>
        <w:jc w:val="both"/>
      </w:pPr>
      <w:r>
        <w:rPr>
          <w:rStyle w:val="FootnoteReference"/>
        </w:rPr>
        <w:footnoteRef/>
      </w:r>
      <w:r>
        <w:t xml:space="preserve"> </w:t>
      </w:r>
      <w:r>
        <w:tab/>
        <w:t>Dans le cadre du WB EDIF.</w:t>
      </w:r>
    </w:p>
  </w:footnote>
  <w:footnote w:id="8">
    <w:p>
      <w:pPr>
        <w:pStyle w:val="FootnoteText"/>
        <w:spacing w:before="0" w:after="120"/>
        <w:ind w:left="284" w:hanging="426"/>
        <w:jc w:val="both"/>
      </w:pPr>
      <w:r>
        <w:rPr>
          <w:rStyle w:val="FootnoteReference"/>
        </w:rPr>
        <w:footnoteRef/>
      </w:r>
      <w:r>
        <w:t xml:space="preserve"> </w:t>
      </w:r>
      <w:r>
        <w:tab/>
      </w:r>
      <w:r>
        <w:rPr>
          <w:i/>
        </w:rPr>
        <w:t>Idem</w:t>
      </w:r>
      <w:r>
        <w:t>.</w:t>
      </w:r>
    </w:p>
  </w:footnote>
  <w:footnote w:id="9">
    <w:p>
      <w:pPr>
        <w:pStyle w:val="FootnoteText"/>
        <w:spacing w:before="0" w:after="120"/>
        <w:ind w:left="284" w:hanging="426"/>
        <w:jc w:val="both"/>
      </w:pPr>
      <w:r>
        <w:rPr>
          <w:rStyle w:val="FootnoteReference"/>
        </w:rPr>
        <w:footnoteRef/>
      </w:r>
      <w:r>
        <w:t xml:space="preserve"> </w:t>
      </w:r>
      <w:r>
        <w:tab/>
        <w:t>Peut être assimilé à un effet de levier atteint, voir document de travail.</w:t>
      </w:r>
    </w:p>
  </w:footnote>
  <w:footnote w:id="10">
    <w:p>
      <w:pPr>
        <w:pStyle w:val="FootnoteText"/>
        <w:spacing w:before="0" w:after="120"/>
        <w:ind w:left="284" w:hanging="426"/>
        <w:jc w:val="both"/>
      </w:pPr>
      <w:r>
        <w:rPr>
          <w:rStyle w:val="FootnoteReference"/>
        </w:rPr>
        <w:footnoteRef/>
      </w:r>
      <w:r>
        <w:t xml:space="preserve"> </w:t>
      </w:r>
      <w:r>
        <w:tab/>
        <w:t>Facilité euro-méditerranéenne d'investissement et de partenariat.</w:t>
      </w:r>
    </w:p>
  </w:footnote>
  <w:footnote w:id="11">
    <w:p>
      <w:pPr>
        <w:pStyle w:val="FootnoteText"/>
        <w:spacing w:before="0" w:after="120"/>
        <w:ind w:left="284" w:hanging="426"/>
        <w:jc w:val="both"/>
      </w:pPr>
      <w:r>
        <w:rPr>
          <w:rStyle w:val="FootnoteReference"/>
        </w:rPr>
        <w:footnoteRef/>
      </w:r>
      <w:r>
        <w:t xml:space="preserve"> </w:t>
      </w:r>
      <w:r>
        <w:tab/>
        <w:t>L'effet de levier au niveau des bénéficiaires finaux est actuellement égal à 42.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552B"/>
    <w:multiLevelType w:val="hybridMultilevel"/>
    <w:tmpl w:val="CD049374"/>
    <w:styleLink w:val="1111111"/>
    <w:lvl w:ilvl="0" w:tplc="C4B26E2A">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
    <w:nsid w:val="085C7517"/>
    <w:multiLevelType w:val="hybridMultilevel"/>
    <w:tmpl w:val="35AA312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B954FF"/>
    <w:multiLevelType w:val="multilevel"/>
    <w:tmpl w:val="F9F01878"/>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8EC58EE"/>
    <w:multiLevelType w:val="hybridMultilevel"/>
    <w:tmpl w:val="6AB87428"/>
    <w:lvl w:ilvl="0" w:tplc="00007380">
      <w:start w:val="1"/>
      <w:numFmt w:val="lowerLetter"/>
      <w:lvlRestart w:val="0"/>
      <w:pStyle w:val="Heading5"/>
      <w:lvlText w:val="(%1)"/>
      <w:lvlJc w:val="left"/>
      <w:pPr>
        <w:ind w:left="720" w:hanging="360"/>
      </w:pPr>
      <w:rPr>
        <w:rFonts w:hint="default"/>
        <w:b/>
        <w:i w:val="0"/>
        <w:color w:val="auto"/>
      </w:rPr>
    </w:lvl>
    <w:lvl w:ilvl="1" w:tplc="5D422F80">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9FB653D"/>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22F11FC6"/>
    <w:multiLevelType w:val="multilevel"/>
    <w:tmpl w:val="B38ECDF0"/>
    <w:styleLink w:val="1111112"/>
    <w:lvl w:ilvl="0">
      <w:start w:val="1"/>
      <w:numFmt w:val="decimal"/>
      <w:lvlText w:val="%1."/>
      <w:lvlJc w:val="left"/>
      <w:pPr>
        <w:tabs>
          <w:tab w:val="num" w:pos="0"/>
        </w:tabs>
        <w:ind w:left="0" w:firstLine="0"/>
      </w:pPr>
      <w:rPr>
        <w:rFonts w:ascii="Times New Roman" w:hAnsi="Times New Roman" w:hint="default"/>
        <w:b/>
        <w:i w:val="0"/>
        <w:sz w:val="28"/>
      </w:rPr>
    </w:lvl>
    <w:lvl w:ilvl="1">
      <w:start w:val="1"/>
      <w:numFmt w:val="decimal"/>
      <w:lvlText w:val="%1.%2."/>
      <w:lvlJc w:val="left"/>
      <w:pPr>
        <w:tabs>
          <w:tab w:val="num" w:pos="792"/>
        </w:tabs>
        <w:ind w:left="792" w:hanging="432"/>
      </w:pPr>
      <w:rPr>
        <w:rFonts w:hint="default"/>
        <w:b/>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nsid w:val="2C503D7D"/>
    <w:multiLevelType w:val="multilevel"/>
    <w:tmpl w:val="64CA2D9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858" w:hanging="432"/>
      </w:pPr>
      <w:rPr>
        <w:rFonts w:ascii="Times New Roman" w:hAnsi="Times New Roman" w:cs="Times New Roman" w:hint="default"/>
        <w:b/>
      </w:rPr>
    </w:lvl>
    <w:lvl w:ilvl="2">
      <w:start w:val="1"/>
      <w:numFmt w:val="decimal"/>
      <w:pStyle w:val="Heading4bis"/>
      <w:lvlText w:val="%1.%2.%3."/>
      <w:lvlJc w:val="left"/>
      <w:pPr>
        <w:ind w:left="1224" w:hanging="504"/>
      </w:pPr>
      <w:rPr>
        <w:rFonts w:hint="default"/>
      </w:rPr>
    </w:lvl>
    <w:lvl w:ilvl="3">
      <w:start w:val="1"/>
      <w:numFmt w:val="decimal"/>
      <w:pStyle w:val="Heading5bis"/>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2EDC5D18"/>
    <w:multiLevelType w:val="hybridMultilevel"/>
    <w:tmpl w:val="5E845C8E"/>
    <w:lvl w:ilvl="0" w:tplc="2132DE9A">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77E22E3"/>
    <w:multiLevelType w:val="hybridMultilevel"/>
    <w:tmpl w:val="10FCDBC6"/>
    <w:lvl w:ilvl="0" w:tplc="D39A6ABC">
      <w:start w:val="1"/>
      <w:numFmt w:val="decimal"/>
      <w:lvlText w:val="%1."/>
      <w:lvlJc w:val="left"/>
      <w:pPr>
        <w:ind w:left="720" w:hanging="360"/>
      </w:pPr>
      <w:rPr>
        <w:rFonts w:hint="default"/>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4090001">
      <w:start w:val="1"/>
      <w:numFmt w:val="bullet"/>
      <w:lvlText w:val=""/>
      <w:lvlJc w:val="left"/>
      <w:pPr>
        <w:ind w:left="2880" w:hanging="360"/>
      </w:pPr>
      <w:rPr>
        <w:rFonts w:ascii="Symbol" w:hAnsi="Symbol"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CF00E18"/>
    <w:multiLevelType w:val="singleLevel"/>
    <w:tmpl w:val="4E1A982C"/>
    <w:lvl w:ilvl="0">
      <w:start w:val="1"/>
      <w:numFmt w:val="bullet"/>
      <w:pStyle w:val="ListBullet"/>
      <w:lvlText w:val=""/>
      <w:lvlJc w:val="left"/>
      <w:pPr>
        <w:tabs>
          <w:tab w:val="num" w:pos="643"/>
        </w:tabs>
        <w:ind w:left="643" w:hanging="283"/>
      </w:pPr>
      <w:rPr>
        <w:rFonts w:ascii="Symbol" w:hAnsi="Symbol"/>
      </w:rPr>
    </w:lvl>
  </w:abstractNum>
  <w:abstractNum w:abstractNumId="10">
    <w:nsid w:val="4B401244"/>
    <w:multiLevelType w:val="hybridMultilevel"/>
    <w:tmpl w:val="009238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EEF7C26"/>
    <w:multiLevelType w:val="hybridMultilevel"/>
    <w:tmpl w:val="9EF6BB8C"/>
    <w:lvl w:ilvl="0" w:tplc="A36E351E">
      <w:start w:val="1"/>
      <w:numFmt w:val="bullet"/>
      <w:pStyle w:val="KeyPoints"/>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4ECA2424">
      <w:start w:val="2"/>
      <w:numFmt w:val="bullet"/>
      <w:lvlText w:val="•"/>
      <w:lvlJc w:val="left"/>
      <w:pPr>
        <w:ind w:left="2370" w:hanging="570"/>
      </w:pPr>
      <w:rPr>
        <w:rFonts w:ascii="Times New Roman" w:eastAsia="Calibri" w:hAnsi="Times New Roman"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41B4628"/>
    <w:multiLevelType w:val="hybridMultilevel"/>
    <w:tmpl w:val="F1F62E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70A5764"/>
    <w:multiLevelType w:val="hybridMultilevel"/>
    <w:tmpl w:val="9C68B1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A5D69EB"/>
    <w:multiLevelType w:val="hybridMultilevel"/>
    <w:tmpl w:val="4EE4D2F2"/>
    <w:lvl w:ilvl="0" w:tplc="3DF2C38E">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15">
    <w:nsid w:val="61653D02"/>
    <w:multiLevelType w:val="hybridMultilevel"/>
    <w:tmpl w:val="977AC31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47B0884"/>
    <w:multiLevelType w:val="hybridMultilevel"/>
    <w:tmpl w:val="0092386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5A53902"/>
    <w:multiLevelType w:val="hybridMultilevel"/>
    <w:tmpl w:val="6894725A"/>
    <w:lvl w:ilvl="0" w:tplc="67440BF2">
      <w:start w:val="1"/>
      <w:numFmt w:val="bullet"/>
      <w:pStyle w:val="Bulletedlist"/>
      <w:lvlText w:val=""/>
      <w:lvlJc w:val="left"/>
      <w:pPr>
        <w:ind w:left="360" w:hanging="360"/>
      </w:pPr>
      <w:rPr>
        <w:rFonts w:ascii="Symbol" w:hAnsi="Symbol" w:hint="default"/>
        <w:color w:val="0000FF"/>
        <w:sz w:val="24"/>
        <w:szCs w:val="24"/>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D453B3"/>
    <w:multiLevelType w:val="hybridMultilevel"/>
    <w:tmpl w:val="F5E60D02"/>
    <w:lvl w:ilvl="0" w:tplc="434E882C">
      <w:start w:val="1"/>
      <w:numFmt w:val="decimal"/>
      <w:lvlText w:val="%1."/>
      <w:lvlJc w:val="left"/>
      <w:pPr>
        <w:ind w:left="720" w:hanging="360"/>
      </w:pPr>
      <w:rPr>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9860AD8"/>
    <w:multiLevelType w:val="hybridMultilevel"/>
    <w:tmpl w:val="BB6E089E"/>
    <w:lvl w:ilvl="0" w:tplc="08090005">
      <w:start w:val="1"/>
      <w:numFmt w:val="bullet"/>
      <w:lvlText w:val=""/>
      <w:lvlJc w:val="left"/>
      <w:pPr>
        <w:ind w:left="502" w:hanging="360"/>
      </w:pPr>
      <w:rPr>
        <w:rFonts w:ascii="Wingdings" w:hAnsi="Wingdings"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0">
    <w:nsid w:val="6AD412C9"/>
    <w:multiLevelType w:val="hybridMultilevel"/>
    <w:tmpl w:val="B80AFFEA"/>
    <w:lvl w:ilvl="0" w:tplc="4F88904C">
      <w:start w:val="1"/>
      <w:numFmt w:val="decimal"/>
      <w:lvlText w:val="%1."/>
      <w:lvlJc w:val="left"/>
      <w:pPr>
        <w:ind w:left="720" w:hanging="36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49013F7"/>
    <w:multiLevelType w:val="multilevel"/>
    <w:tmpl w:val="C8B428AA"/>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5B5664A"/>
    <w:multiLevelType w:val="hybridMultilevel"/>
    <w:tmpl w:val="4DCCFEA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8CA2AB8"/>
    <w:multiLevelType w:val="hybridMultilevel"/>
    <w:tmpl w:val="A996573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4473C7"/>
    <w:multiLevelType w:val="hybridMultilevel"/>
    <w:tmpl w:val="24761A48"/>
    <w:lvl w:ilvl="0" w:tplc="77268220">
      <w:start w:val="1"/>
      <w:numFmt w:val="upperLetter"/>
      <w:pStyle w:val="Heading4"/>
      <w:lvlText w:val="%1 -"/>
      <w:lvlJc w:val="left"/>
      <w:pPr>
        <w:ind w:left="360" w:hanging="360"/>
      </w:pPr>
      <w:rPr>
        <w:rFonts w:ascii="Times New Roman" w:hAnsi="Times New Roman" w:cs="Times New Roman" w:hint="default"/>
        <w:color w:val="auto"/>
        <w:sz w:val="24"/>
        <w:szCs w:val="24"/>
      </w:rPr>
    </w:lvl>
    <w:lvl w:ilvl="1" w:tplc="0B6A27F8">
      <w:start w:val="1"/>
      <w:numFmt w:val="lowerLetter"/>
      <w:lvlText w:val="(%2)"/>
      <w:lvlJc w:val="left"/>
      <w:pPr>
        <w:ind w:left="1140" w:hanging="360"/>
      </w:pPr>
      <w:rPr>
        <w:rFonts w:hint="default"/>
      </w:rPr>
    </w:lvl>
    <w:lvl w:ilvl="2" w:tplc="87EA8504">
      <w:start w:val="2"/>
      <w:numFmt w:val="bullet"/>
      <w:lvlText w:val="-"/>
      <w:lvlJc w:val="left"/>
      <w:pPr>
        <w:ind w:left="2040" w:hanging="360"/>
      </w:pPr>
      <w:rPr>
        <w:rFonts w:ascii="Times New Roman" w:eastAsia="Calibri" w:hAnsi="Times New Roman" w:cs="Times New Roman" w:hint="default"/>
      </w:rPr>
    </w:lvl>
    <w:lvl w:ilvl="3" w:tplc="130AAAFE">
      <w:start w:val="1"/>
      <w:numFmt w:val="lowerRoman"/>
      <w:lvlText w:val="%4)"/>
      <w:lvlJc w:val="left"/>
      <w:pPr>
        <w:ind w:left="2940" w:hanging="720"/>
      </w:pPr>
      <w:rPr>
        <w:rFonts w:hint="default"/>
      </w:rPr>
    </w:lvl>
    <w:lvl w:ilvl="4" w:tplc="2752EBEE">
      <w:start w:val="1"/>
      <w:numFmt w:val="decimal"/>
      <w:lvlText w:val="%5."/>
      <w:lvlJc w:val="left"/>
      <w:pPr>
        <w:ind w:left="3300" w:hanging="360"/>
      </w:pPr>
      <w:rPr>
        <w:rFonts w:hint="default"/>
      </w:r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25">
    <w:nsid w:val="7E7C247A"/>
    <w:multiLevelType w:val="hybridMultilevel"/>
    <w:tmpl w:val="1BC0FB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6"/>
  </w:num>
  <w:num w:numId="4">
    <w:abstractNumId w:val="4"/>
  </w:num>
  <w:num w:numId="5">
    <w:abstractNumId w:val="0"/>
  </w:num>
  <w:num w:numId="6">
    <w:abstractNumId w:val="13"/>
  </w:num>
  <w:num w:numId="7">
    <w:abstractNumId w:val="12"/>
  </w:num>
  <w:num w:numId="8">
    <w:abstractNumId w:val="16"/>
  </w:num>
  <w:num w:numId="9">
    <w:abstractNumId w:val="9"/>
  </w:num>
  <w:num w:numId="10">
    <w:abstractNumId w:val="24"/>
  </w:num>
  <w:num w:numId="11">
    <w:abstractNumId w:val="8"/>
  </w:num>
  <w:num w:numId="12">
    <w:abstractNumId w:val="17"/>
  </w:num>
  <w:num w:numId="13">
    <w:abstractNumId w:val="7"/>
  </w:num>
  <w:num w:numId="14">
    <w:abstractNumId w:val="18"/>
  </w:num>
  <w:num w:numId="15">
    <w:abstractNumId w:val="20"/>
  </w:num>
  <w:num w:numId="16">
    <w:abstractNumId w:val="3"/>
  </w:num>
  <w:num w:numId="17">
    <w:abstractNumId w:val="10"/>
  </w:num>
  <w:num w:numId="18">
    <w:abstractNumId w:val="25"/>
  </w:num>
  <w:num w:numId="19">
    <w:abstractNumId w:val="1"/>
  </w:num>
  <w:num w:numId="20">
    <w:abstractNumId w:val="19"/>
  </w:num>
  <w:num w:numId="21">
    <w:abstractNumId w:val="22"/>
  </w:num>
  <w:num w:numId="22">
    <w:abstractNumId w:val="15"/>
  </w:num>
  <w:num w:numId="23">
    <w:abstractNumId w:val="23"/>
  </w:num>
  <w:num w:numId="24">
    <w:abstractNumId w:val="2"/>
  </w:num>
  <w:num w:numId="25">
    <w:abstractNumId w:val="21"/>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u"/>
    <w:docVar w:name="LW_ANNEX_NBR_FIRST" w:val="1"/>
    <w:docVar w:name="LW_ANNEX_NBR_LAST" w:val="1"/>
    <w:docVar w:name="LW_CONFIDENCE" w:val=" "/>
    <w:docVar w:name="LW_CONST_RESTREINT_UE" w:val="RESTREINT UE"/>
    <w:docVar w:name="LW_CORRIGENDUM" w:val="&lt;UNUSED&gt;"/>
    <w:docVar w:name="LW_COVERPAGE_GUID" w:val="460D21E9403D4877A6159CA02B4DC663"/>
    <w:docVar w:name="LW_CROSSREFERENCE" w:val="{SWD(2015) 206 final}"/>
    <w:docVar w:name="LW_DocType" w:val="NORMAL"/>
    <w:docVar w:name="LW_EMISSION" w:val="13.11.2015"/>
    <w:docVar w:name="LW_EMISSION_ISODATE" w:val="2015-11-13"/>
    <w:docVar w:name="LW_EMISSION_LOCATION" w:val="BRX"/>
    <w:docVar w:name="LW_EMISSION_PREFIX" w:val="Bruxelles, le "/>
    <w:docVar w:name="LW_EMISSION_SUFFIX" w:val=" "/>
    <w:docVar w:name="LW_ID_DOCTYPE_NONLW" w:val="CP-039"/>
    <w:docVar w:name="LW_LANGUE" w:val="FR"/>
    <w:docVar w:name="LW_MARKING" w:val="&lt;UNUSED&gt;"/>
    <w:docVar w:name="LW_NOM.INST" w:val="COMMISSION EUROPÉENNE"/>
    <w:docVar w:name="LW_NOM.INST_JOINTDOC" w:val="&lt;EMPTY&gt;"/>
    <w:docVar w:name="LW_OBJETACTEPRINCIPAL.CP" w:val="concernant les instruments financiers soutenus par le budget général conformément à l\u8217?article 140, paragraphe 8, du règlement financier au 31 décembre 2014"/>
    <w:docVar w:name="LW_PART_NBR" w:val="1"/>
    <w:docVar w:name="LW_PART_NBR_TOTAL" w:val="1"/>
    <w:docVar w:name="LW_REF.INST.NEW" w:val="COM"/>
    <w:docVar w:name="LW_REF.INST.NEW_ADOPTED" w:val="final"/>
    <w:docVar w:name="LW_REF.INST.NEW_TEXT" w:val="(2015) 565"/>
    <w:docVar w:name="LW_REF.INTERNE" w:val="&lt;UNUSED&gt;"/>
    <w:docVar w:name="LW_SUPERTITRE" w:val="&lt;UNUSED&gt;"/>
    <w:docVar w:name="LW_TITRE.OBJ.CP" w:val="&lt;UNUSED&gt;"/>
    <w:docVar w:name="LW_TYPE.DOC.CP" w:val="ANNEXE_x000b_"/>
    <w:docVar w:name="LW_TYPEACTEPRINCIPAL.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Outline List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40"/>
      <w:ind w:right="141"/>
      <w:outlineLvl w:val="0"/>
    </w:pPr>
    <w:rPr>
      <w:rFonts w:ascii="Times New Roman" w:eastAsia="Times New Roman" w:hAnsi="Times New Roman" w:cs="Times New Roman"/>
      <w:b/>
      <w:bCs/>
      <w:color w:val="000000"/>
      <w:sz w:val="28"/>
      <w:szCs w:val="28"/>
    </w:rPr>
  </w:style>
  <w:style w:type="paragraph" w:styleId="Heading2">
    <w:name w:val="heading 2"/>
    <w:basedOn w:val="Normal"/>
    <w:next w:val="Normal"/>
    <w:link w:val="Heading2Char"/>
    <w:uiPriority w:val="9"/>
    <w:unhideWhenUsed/>
    <w:qFormat/>
    <w:pPr>
      <w:numPr>
        <w:numId w:val="3"/>
      </w:numPr>
      <w:spacing w:before="360" w:after="120" w:line="240" w:lineRule="auto"/>
      <w:jc w:val="both"/>
      <w:outlineLvl w:val="1"/>
    </w:pPr>
    <w:rPr>
      <w:rFonts w:ascii="Times New Roman" w:eastAsia="Calibri" w:hAnsi="Times New Roman" w:cs="Times New Roman"/>
      <w:b/>
      <w:sz w:val="24"/>
      <w:szCs w:val="24"/>
    </w:rPr>
  </w:style>
  <w:style w:type="paragraph" w:styleId="Heading3">
    <w:name w:val="heading 3"/>
    <w:aliases w:val="Heading 3 bis"/>
    <w:basedOn w:val="Normal"/>
    <w:next w:val="Normal"/>
    <w:link w:val="Heading3Char"/>
    <w:uiPriority w:val="9"/>
    <w:unhideWhenUsed/>
    <w:qFormat/>
    <w:pPr>
      <w:keepNext/>
      <w:numPr>
        <w:ilvl w:val="1"/>
        <w:numId w:val="3"/>
      </w:numPr>
      <w:pBdr>
        <w:top w:val="single" w:sz="4" w:space="1" w:color="auto"/>
        <w:left w:val="single" w:sz="4" w:space="4" w:color="auto"/>
        <w:bottom w:val="single" w:sz="4" w:space="1" w:color="auto"/>
        <w:right w:val="single" w:sz="4" w:space="4" w:color="auto"/>
      </w:pBdr>
      <w:spacing w:before="600" w:after="360" w:line="240" w:lineRule="auto"/>
      <w:contextualSpacing/>
      <w:outlineLvl w:val="2"/>
    </w:pPr>
    <w:rPr>
      <w:rFonts w:ascii="Times New Roman" w:eastAsia="Calibri" w:hAnsi="Times New Roman" w:cs="Times New Roman"/>
      <w:b/>
      <w:sz w:val="24"/>
      <w:szCs w:val="24"/>
    </w:rPr>
  </w:style>
  <w:style w:type="paragraph" w:styleId="Heading4">
    <w:name w:val="heading 4"/>
    <w:basedOn w:val="Normal"/>
    <w:next w:val="Normal"/>
    <w:link w:val="Heading4Char"/>
    <w:uiPriority w:val="9"/>
    <w:unhideWhenUsed/>
    <w:qFormat/>
    <w:pPr>
      <w:keepNext/>
      <w:numPr>
        <w:numId w:val="10"/>
      </w:numPr>
      <w:spacing w:before="240" w:after="120" w:line="240" w:lineRule="auto"/>
      <w:jc w:val="both"/>
      <w:outlineLvl w:val="3"/>
    </w:pPr>
    <w:rPr>
      <w:rFonts w:ascii="Times New Roman" w:eastAsia="Times New Roman" w:hAnsi="Times New Roman" w:cs="Times New Roman"/>
      <w:b/>
      <w:bCs/>
      <w:sz w:val="24"/>
      <w:szCs w:val="24"/>
      <w:u w:val="single"/>
    </w:rPr>
  </w:style>
  <w:style w:type="paragraph" w:styleId="Heading5">
    <w:name w:val="heading 5"/>
    <w:basedOn w:val="Normal"/>
    <w:next w:val="Normal"/>
    <w:link w:val="Heading5Char"/>
    <w:uiPriority w:val="9"/>
    <w:unhideWhenUsed/>
    <w:qFormat/>
    <w:pPr>
      <w:keepNext/>
      <w:numPr>
        <w:numId w:val="16"/>
      </w:numPr>
      <w:spacing w:before="240" w:after="120" w:line="240" w:lineRule="auto"/>
      <w:ind w:right="142"/>
      <w:jc w:val="both"/>
      <w:outlineLvl w:val="4"/>
    </w:pPr>
    <w:rPr>
      <w:rFonts w:ascii="Times New Roman" w:eastAsia="Calibri" w:hAnsi="Times New Roman" w:cs="Times New Roman"/>
      <w:b/>
      <w:sz w:val="24"/>
      <w:szCs w:val="24"/>
    </w:rPr>
  </w:style>
  <w:style w:type="paragraph" w:styleId="Heading6">
    <w:name w:val="heading 6"/>
    <w:basedOn w:val="Normal"/>
    <w:next w:val="Normal"/>
    <w:link w:val="Heading6Char"/>
    <w:uiPriority w:val="9"/>
    <w:unhideWhenUsed/>
    <w:qFormat/>
    <w:pPr>
      <w:keepNext/>
      <w:spacing w:before="120" w:after="40" w:line="240" w:lineRule="auto"/>
      <w:jc w:val="both"/>
      <w:outlineLvl w:val="5"/>
    </w:pPr>
    <w:rPr>
      <w:rFonts w:ascii="Times New Roman" w:eastAsia="Calibri" w:hAnsi="Times New Roman" w:cs="Times New Roman"/>
      <w:b/>
      <w:i/>
      <w:iCs/>
      <w:sz w:val="24"/>
    </w:rPr>
  </w:style>
  <w:style w:type="paragraph" w:styleId="Heading7">
    <w:name w:val="heading 7"/>
    <w:basedOn w:val="Normal"/>
    <w:next w:val="Normal"/>
    <w:link w:val="Heading7Char"/>
    <w:uiPriority w:val="9"/>
    <w:semiHidden/>
    <w:unhideWhenUsed/>
    <w:qFormat/>
    <w:pPr>
      <w:spacing w:before="240" w:after="60"/>
      <w:outlineLvl w:val="6"/>
    </w:pPr>
    <w:rPr>
      <w:rFonts w:ascii="Calibri" w:eastAsia="Times New Roman" w:hAnsi="Calibri"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color w:val="000000"/>
      <w:sz w:val="28"/>
      <w:szCs w:val="28"/>
    </w:rPr>
  </w:style>
  <w:style w:type="character" w:customStyle="1" w:styleId="Heading2Char">
    <w:name w:val="Heading 2 Char"/>
    <w:basedOn w:val="DefaultParagraphFont"/>
    <w:link w:val="Heading2"/>
    <w:uiPriority w:val="9"/>
    <w:rPr>
      <w:rFonts w:ascii="Times New Roman" w:eastAsia="Calibri" w:hAnsi="Times New Roman" w:cs="Times New Roman"/>
      <w:b/>
      <w:sz w:val="24"/>
      <w:szCs w:val="24"/>
    </w:rPr>
  </w:style>
  <w:style w:type="character" w:customStyle="1" w:styleId="Heading3Char">
    <w:name w:val="Heading 3 Char"/>
    <w:aliases w:val="Heading 3 bis Char"/>
    <w:basedOn w:val="DefaultParagraphFont"/>
    <w:link w:val="Heading3"/>
    <w:uiPriority w:val="9"/>
    <w:rPr>
      <w:rFonts w:ascii="Times New Roman" w:eastAsia="Calibri" w:hAnsi="Times New Roman" w:cs="Times New Roman"/>
      <w:b/>
      <w:sz w:val="24"/>
      <w:szCs w:val="24"/>
    </w:rPr>
  </w:style>
  <w:style w:type="character" w:customStyle="1" w:styleId="Heading4Char">
    <w:name w:val="Heading 4 Char"/>
    <w:basedOn w:val="DefaultParagraphFont"/>
    <w:link w:val="Heading4"/>
    <w:uiPriority w:val="9"/>
    <w:rPr>
      <w:rFonts w:ascii="Times New Roman" w:eastAsia="Times New Roman" w:hAnsi="Times New Roman" w:cs="Times New Roman"/>
      <w:b/>
      <w:bCs/>
      <w:sz w:val="24"/>
      <w:szCs w:val="24"/>
      <w:u w:val="single"/>
    </w:rPr>
  </w:style>
  <w:style w:type="character" w:customStyle="1" w:styleId="Heading5Char">
    <w:name w:val="Heading 5 Char"/>
    <w:basedOn w:val="DefaultParagraphFont"/>
    <w:link w:val="Heading5"/>
    <w:uiPriority w:val="9"/>
    <w:rPr>
      <w:rFonts w:ascii="Times New Roman" w:eastAsia="Calibri" w:hAnsi="Times New Roman" w:cs="Times New Roman"/>
      <w:b/>
      <w:sz w:val="24"/>
      <w:szCs w:val="24"/>
    </w:rPr>
  </w:style>
  <w:style w:type="character" w:customStyle="1" w:styleId="Heading6Char">
    <w:name w:val="Heading 6 Char"/>
    <w:basedOn w:val="DefaultParagraphFont"/>
    <w:link w:val="Heading6"/>
    <w:uiPriority w:val="9"/>
    <w:rPr>
      <w:rFonts w:ascii="Times New Roman" w:eastAsia="Calibri" w:hAnsi="Times New Roman" w:cs="Times New Roman"/>
      <w:b/>
      <w:i/>
      <w:iCs/>
      <w:sz w:val="24"/>
    </w:rPr>
  </w:style>
  <w:style w:type="character" w:customStyle="1" w:styleId="Heading7Char">
    <w:name w:val="Heading 7 Char"/>
    <w:basedOn w:val="DefaultParagraphFont"/>
    <w:link w:val="Heading7"/>
    <w:uiPriority w:val="9"/>
    <w:semiHidden/>
    <w:rPr>
      <w:rFonts w:ascii="Calibri" w:eastAsia="Times New Roman" w:hAnsi="Calibri" w:cs="Times New Roman"/>
      <w:sz w:val="24"/>
      <w:szCs w:val="24"/>
    </w:rPr>
  </w:style>
  <w:style w:type="paragraph" w:styleId="Header">
    <w:name w:val="header"/>
    <w:basedOn w:val="Normal"/>
    <w:link w:val="Head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HeaderChar">
    <w:name w:val="Header Char"/>
    <w:basedOn w:val="DefaultParagraphFont"/>
    <w:link w:val="Header"/>
    <w:uiPriority w:val="99"/>
    <w:rPr>
      <w:rFonts w:ascii="Times New Roman" w:eastAsia="Calibri" w:hAnsi="Times New Roman" w:cs="Times New Roman"/>
      <w:sz w:val="24"/>
    </w:rPr>
  </w:style>
  <w:style w:type="paragraph" w:styleId="Footer">
    <w:name w:val="footer"/>
    <w:basedOn w:val="Normal"/>
    <w:link w:val="FooterChar"/>
    <w:uiPriority w:val="99"/>
    <w:unhideWhenUsed/>
    <w:pPr>
      <w:tabs>
        <w:tab w:val="center" w:pos="4536"/>
        <w:tab w:val="right" w:pos="9072"/>
      </w:tabs>
      <w:spacing w:before="60" w:after="0" w:line="240" w:lineRule="auto"/>
    </w:pPr>
    <w:rPr>
      <w:rFonts w:ascii="Times New Roman" w:eastAsia="Calibri" w:hAnsi="Times New Roman" w:cs="Times New Roman"/>
      <w:sz w:val="24"/>
    </w:rPr>
  </w:style>
  <w:style w:type="character" w:customStyle="1" w:styleId="FooterChar">
    <w:name w:val="Footer Char"/>
    <w:basedOn w:val="DefaultParagraphFont"/>
    <w:link w:val="Footer"/>
    <w:uiPriority w:val="99"/>
    <w:rPr>
      <w:rFonts w:ascii="Times New Roman" w:eastAsia="Calibri" w:hAnsi="Times New Roman" w:cs="Times New Roman"/>
      <w:sz w:val="24"/>
    </w:rPr>
  </w:style>
  <w:style w:type="paragraph" w:styleId="ListParagraph">
    <w:name w:val="List Paragraph"/>
    <w:basedOn w:val="Normal"/>
    <w:uiPriority w:val="34"/>
    <w:qFormat/>
    <w:pPr>
      <w:spacing w:before="60" w:after="60"/>
      <w:ind w:left="720"/>
      <w:contextualSpacing/>
    </w:pPr>
    <w:rPr>
      <w:rFonts w:ascii="Times New Roman" w:eastAsia="Calibri" w:hAnsi="Times New Roman" w:cs="Times New Roman"/>
      <w:sz w:val="24"/>
    </w:rPr>
  </w:style>
  <w:style w:type="paragraph" w:styleId="TOCHeading">
    <w:name w:val="TOC Heading"/>
    <w:basedOn w:val="Heading1"/>
    <w:next w:val="Normal"/>
    <w:uiPriority w:val="39"/>
    <w:unhideWhenUsed/>
    <w:qFormat/>
    <w:pPr>
      <w:outlineLvl w:val="9"/>
    </w:pPr>
  </w:style>
  <w:style w:type="paragraph" w:styleId="TOC1">
    <w:name w:val="toc 1"/>
    <w:basedOn w:val="Normal"/>
    <w:next w:val="Normal"/>
    <w:autoRedefine/>
    <w:uiPriority w:val="39"/>
    <w:unhideWhenUsed/>
    <w:pPr>
      <w:spacing w:before="60" w:after="100"/>
    </w:pPr>
    <w:rPr>
      <w:rFonts w:ascii="Times New Roman" w:eastAsia="Calibri" w:hAnsi="Times New Roman" w:cs="Times New Roman"/>
      <w:sz w:val="24"/>
    </w:rPr>
  </w:style>
  <w:style w:type="paragraph" w:styleId="TOC2">
    <w:name w:val="toc 2"/>
    <w:basedOn w:val="Normal"/>
    <w:next w:val="Normal"/>
    <w:autoRedefine/>
    <w:uiPriority w:val="39"/>
    <w:unhideWhenUsed/>
    <w:pPr>
      <w:spacing w:before="60" w:after="100"/>
      <w:ind w:left="220"/>
    </w:pPr>
    <w:rPr>
      <w:rFonts w:ascii="Times New Roman" w:eastAsia="Calibri" w:hAnsi="Times New Roman" w:cs="Times New Roman"/>
      <w:sz w:val="24"/>
    </w:rPr>
  </w:style>
  <w:style w:type="paragraph" w:styleId="TOC3">
    <w:name w:val="toc 3"/>
    <w:basedOn w:val="Normal"/>
    <w:next w:val="Normal"/>
    <w:autoRedefine/>
    <w:uiPriority w:val="39"/>
    <w:unhideWhenUsed/>
    <w:pPr>
      <w:spacing w:before="60" w:after="100"/>
      <w:ind w:left="440"/>
    </w:pPr>
    <w:rPr>
      <w:rFonts w:ascii="Times New Roman" w:eastAsia="Calibri" w:hAnsi="Times New Roman" w:cs="Times New Roman"/>
      <w:sz w:val="24"/>
    </w:rPr>
  </w:style>
  <w:style w:type="character" w:styleId="Hyperlink">
    <w:name w:val="Hyperlink"/>
    <w:uiPriority w:val="99"/>
    <w:unhideWhenUsed/>
    <w:rPr>
      <w:color w:val="0000FF"/>
      <w:u w:val="single"/>
    </w:rPr>
  </w:style>
  <w:style w:type="paragraph" w:styleId="BalloonText">
    <w:name w:val="Balloon Text"/>
    <w:basedOn w:val="Normal"/>
    <w:link w:val="BalloonTextChar"/>
    <w:uiPriority w:val="99"/>
    <w:semiHidden/>
    <w:unhideWhenUsed/>
    <w:pPr>
      <w:spacing w:before="60"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paragraph" w:customStyle="1" w:styleId="Text1">
    <w:name w:val="Text 1"/>
    <w:basedOn w:val="Normal"/>
    <w:pPr>
      <w:spacing w:before="60" w:after="240" w:line="240" w:lineRule="auto"/>
      <w:ind w:left="482"/>
      <w:jc w:val="both"/>
    </w:pPr>
    <w:rPr>
      <w:rFonts w:ascii="Times New Roman" w:eastAsia="Times New Roman" w:hAnsi="Times New Roman" w:cs="Times New Roman"/>
      <w:sz w:val="24"/>
      <w:szCs w:val="20"/>
    </w:rPr>
  </w:style>
  <w:style w:type="paragraph" w:styleId="FootnoteText">
    <w:name w:val="footnote text"/>
    <w:basedOn w:val="Normal"/>
    <w:link w:val="FootnoteTextChar"/>
    <w:uiPriority w:val="99"/>
    <w:unhideWhenUsed/>
    <w:pPr>
      <w:spacing w:before="60" w:after="0" w:line="240" w:lineRule="auto"/>
    </w:pPr>
    <w:rPr>
      <w:rFonts w:ascii="Times New Roman" w:eastAsia="Calibri" w:hAnsi="Times New Roman" w:cs="Times New Roman"/>
      <w:sz w:val="20"/>
      <w:szCs w:val="20"/>
    </w:rPr>
  </w:style>
  <w:style w:type="character" w:customStyle="1" w:styleId="FootnoteTextChar">
    <w:name w:val="Footnote Text Char"/>
    <w:basedOn w:val="DefaultParagraphFont"/>
    <w:link w:val="FootnoteText"/>
    <w:uiPriority w:val="99"/>
    <w:rPr>
      <w:rFonts w:ascii="Times New Roman" w:eastAsia="Calibri" w:hAnsi="Times New Roman" w:cs="Times New Roman"/>
      <w:sz w:val="20"/>
      <w:szCs w:val="20"/>
    </w:rPr>
  </w:style>
  <w:style w:type="character" w:styleId="FootnoteReference">
    <w:name w:val="footnote reference"/>
    <w:aliases w:val="Footnote symbol,Footnote,Voetnootverwijzing,Times 10 Point,Exposant 3 Point,Appel note de bas de p,BVI fnr,Footnote reference number,Ref,de nota al pie,note TESI,SUPERS,EN Footnote text,EN Footnote Reference,number,no...,E F,fr,o,FR,F"/>
    <w:uiPriority w:val="99"/>
    <w:rPr>
      <w:shd w:val="clear" w:color="auto" w:fill="auto"/>
      <w:vertAlign w:val="superscript"/>
    </w:rPr>
  </w:style>
  <w:style w:type="paragraph" w:styleId="NormalIndent">
    <w:name w:val="Normal Indent"/>
    <w:basedOn w:val="Normal"/>
    <w:pPr>
      <w:spacing w:before="60" w:after="0" w:line="240" w:lineRule="auto"/>
    </w:pPr>
    <w:rPr>
      <w:rFonts w:ascii="Times New Roman" w:eastAsia="Times New Roman" w:hAnsi="Times New Roman" w:cs="Times New Roman"/>
      <w:sz w:val="24"/>
      <w:szCs w:val="24"/>
    </w:rPr>
  </w:style>
  <w:style w:type="paragraph" w:customStyle="1" w:styleId="CM1">
    <w:name w:val="CM1"/>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CM3">
    <w:name w:val="CM3"/>
    <w:basedOn w:val="Normal"/>
    <w:next w:val="Normal"/>
    <w:uiPriority w:val="99"/>
    <w:pPr>
      <w:autoSpaceDE w:val="0"/>
      <w:autoSpaceDN w:val="0"/>
      <w:adjustRightInd w:val="0"/>
      <w:spacing w:before="60" w:after="0" w:line="240" w:lineRule="auto"/>
    </w:pPr>
    <w:rPr>
      <w:rFonts w:ascii="EUAlbertina" w:eastAsia="Calibri" w:hAnsi="EUAlbertina" w:cs="Times New Roman"/>
      <w:sz w:val="24"/>
      <w:szCs w:val="24"/>
    </w:rPr>
  </w:style>
  <w:style w:type="paragraph" w:customStyle="1" w:styleId="Nor">
    <w:name w:val="Nor"/>
    <w:aliases w:val="ql"/>
    <w:basedOn w:val="ListParagraph"/>
    <w:pPr>
      <w:spacing w:after="0" w:line="240" w:lineRule="auto"/>
      <w:ind w:left="0"/>
      <w:jc w:val="both"/>
    </w:pPr>
    <w:rPr>
      <w:rFonts w:ascii="Constantia" w:hAnsi="Constantia" w:cs="EUAlbertina"/>
      <w:b/>
      <w:i/>
      <w:color w:val="000000"/>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pPr>
      <w:spacing w:before="60" w:after="6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Calibri" w:hAnsi="Times New Roman" w:cs="Times New Roman"/>
      <w:b/>
      <w:bCs/>
      <w:sz w:val="20"/>
      <w:szCs w:val="20"/>
    </w:rPr>
  </w:style>
  <w:style w:type="paragraph" w:styleId="Revision">
    <w:name w:val="Revision"/>
    <w:hidden/>
    <w:uiPriority w:val="99"/>
    <w:semiHidden/>
    <w:pPr>
      <w:spacing w:after="0" w:line="240" w:lineRule="auto"/>
    </w:pPr>
    <w:rPr>
      <w:rFonts w:ascii="Calibri" w:eastAsia="Calibri" w:hAnsi="Calibri" w:cs="Times New Roman"/>
    </w:rPr>
  </w:style>
  <w:style w:type="paragraph" w:styleId="NormalWeb">
    <w:name w:val="Normal (Web)"/>
    <w:basedOn w:val="Normal"/>
    <w:uiPriority w:val="99"/>
    <w:semiHidden/>
    <w:unhideWhenUsed/>
    <w:pPr>
      <w:spacing w:before="60" w:after="60"/>
    </w:pPr>
    <w:rPr>
      <w:rFonts w:ascii="Times New Roman" w:eastAsia="Calibri" w:hAnsi="Times New Roman" w:cs="Times New Roman"/>
      <w:sz w:val="24"/>
      <w:szCs w:val="24"/>
    </w:rPr>
  </w:style>
  <w:style w:type="paragraph" w:customStyle="1" w:styleId="Text2">
    <w:name w:val="Text 2"/>
    <w:basedOn w:val="Normal"/>
    <w:pPr>
      <w:tabs>
        <w:tab w:val="left" w:pos="2160"/>
      </w:tabs>
      <w:spacing w:before="60" w:after="240" w:line="240" w:lineRule="auto"/>
      <w:ind w:left="1077"/>
      <w:jc w:val="both"/>
    </w:pPr>
    <w:rPr>
      <w:rFonts w:ascii="Times New Roman" w:eastAsia="Times New Roman" w:hAnsi="Times New Roman" w:cs="Times New Roman"/>
      <w:sz w:val="24"/>
      <w:szCs w:val="20"/>
    </w:rPr>
  </w:style>
  <w:style w:type="table" w:styleId="TableGrid">
    <w:name w:val="Table Grid"/>
    <w:basedOn w:val="TableNormal"/>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basedOn w:val="NoList"/>
    <w:pPr>
      <w:numPr>
        <w:numId w:val="4"/>
      </w:numPr>
    </w:pPr>
  </w:style>
  <w:style w:type="numbering" w:customStyle="1" w:styleId="1111111">
    <w:name w:val="1 / 1.1 / 1.1.11"/>
    <w:basedOn w:val="NoList"/>
    <w:next w:val="111111"/>
    <w:pPr>
      <w:numPr>
        <w:numId w:val="5"/>
      </w:numPr>
    </w:pPr>
  </w:style>
  <w:style w:type="character" w:styleId="SubtleEmphasis">
    <w:name w:val="Subtle Emphasis"/>
    <w:uiPriority w:val="19"/>
    <w:qFormat/>
    <w:rPr>
      <w:b/>
      <w:i/>
      <w:iCs/>
      <w:color w:val="808080"/>
    </w:rPr>
  </w:style>
  <w:style w:type="numbering" w:customStyle="1" w:styleId="1111112">
    <w:name w:val="1 / 1.1 / 1.1.12"/>
    <w:basedOn w:val="NoList"/>
    <w:next w:val="111111"/>
    <w:pPr>
      <w:numPr>
        <w:numId w:val="2"/>
      </w:numPr>
    </w:pPr>
  </w:style>
  <w:style w:type="paragraph" w:styleId="ListBullet">
    <w:name w:val="List Bullet"/>
    <w:basedOn w:val="Normal"/>
    <w:pPr>
      <w:numPr>
        <w:numId w:val="9"/>
      </w:numPr>
      <w:spacing w:before="60" w:after="240" w:line="240" w:lineRule="auto"/>
      <w:jc w:val="both"/>
    </w:pPr>
    <w:rPr>
      <w:rFonts w:ascii="Times New Roman" w:eastAsia="Times New Roman" w:hAnsi="Times New Roman" w:cs="Times New Roman"/>
      <w:sz w:val="24"/>
      <w:szCs w:val="20"/>
    </w:rPr>
  </w:style>
  <w:style w:type="character" w:customStyle="1" w:styleId="Corpsdutexte">
    <w:name w:val="Corps du texte_"/>
    <w:link w:val="Corpsdutexte0"/>
    <w:uiPriority w:val="99"/>
    <w:rPr>
      <w:shd w:val="clear" w:color="auto" w:fill="FFFFFF"/>
    </w:rPr>
  </w:style>
  <w:style w:type="paragraph" w:customStyle="1" w:styleId="Corpsdutexte0">
    <w:name w:val="Corps du texte"/>
    <w:basedOn w:val="Normal"/>
    <w:link w:val="Corpsdutexte"/>
    <w:uiPriority w:val="99"/>
    <w:pPr>
      <w:widowControl w:val="0"/>
      <w:shd w:val="clear" w:color="auto" w:fill="FFFFFF"/>
      <w:spacing w:before="4680" w:after="0" w:line="240" w:lineRule="atLeast"/>
      <w:ind w:hanging="460"/>
    </w:pPr>
  </w:style>
  <w:style w:type="paragraph" w:customStyle="1" w:styleId="Corpsdutexte1">
    <w:name w:val="Corps du texte1"/>
    <w:basedOn w:val="Normal"/>
    <w:uiPriority w:val="99"/>
    <w:pPr>
      <w:widowControl w:val="0"/>
      <w:shd w:val="clear" w:color="auto" w:fill="FFFFFF"/>
      <w:spacing w:before="4380" w:after="0" w:line="240" w:lineRule="atLeast"/>
      <w:ind w:hanging="460"/>
    </w:pPr>
    <w:rPr>
      <w:rFonts w:ascii="Times New Roman" w:eastAsia="Times New Roman" w:hAnsi="Times New Roman" w:cs="Times New Roman"/>
      <w:sz w:val="23"/>
      <w:szCs w:val="23"/>
    </w:rPr>
  </w:style>
  <w:style w:type="character" w:customStyle="1" w:styleId="Corpsdutexte10">
    <w:name w:val="Corps du texte10"/>
    <w:uiPriority w:val="99"/>
    <w:rPr>
      <w:sz w:val="23"/>
      <w:szCs w:val="23"/>
      <w:u w:val="single"/>
      <w:shd w:val="clear" w:color="auto" w:fill="FFFFFF"/>
    </w:rPr>
  </w:style>
  <w:style w:type="character" w:customStyle="1" w:styleId="Corpsdutexte3">
    <w:name w:val="Corps du texte (3)_"/>
    <w:link w:val="Corpsdutexte30"/>
    <w:uiPriority w:val="99"/>
    <w:rPr>
      <w:b/>
      <w:bCs/>
      <w:sz w:val="23"/>
      <w:szCs w:val="23"/>
      <w:shd w:val="clear" w:color="auto" w:fill="FFFFFF"/>
    </w:rPr>
  </w:style>
  <w:style w:type="character" w:customStyle="1" w:styleId="Corpsdutexte7">
    <w:name w:val="Corps du texte7"/>
    <w:uiPriority w:val="99"/>
    <w:rPr>
      <w:sz w:val="23"/>
      <w:szCs w:val="23"/>
      <w:u w:val="single"/>
      <w:shd w:val="clear" w:color="auto" w:fill="FFFFFF"/>
    </w:rPr>
  </w:style>
  <w:style w:type="character" w:customStyle="1" w:styleId="CorpsdutexteGras5">
    <w:name w:val="Corps du texte + Gras5"/>
    <w:uiPriority w:val="99"/>
    <w:rPr>
      <w:b/>
      <w:bCs/>
      <w:sz w:val="23"/>
      <w:szCs w:val="23"/>
      <w:u w:val="none"/>
      <w:shd w:val="clear" w:color="auto" w:fill="FFFFFF"/>
    </w:rPr>
  </w:style>
  <w:style w:type="character" w:customStyle="1" w:styleId="Corpsdutexte6">
    <w:name w:val="Corps du texte6"/>
    <w:uiPriority w:val="99"/>
    <w:rPr>
      <w:sz w:val="23"/>
      <w:szCs w:val="23"/>
      <w:u w:val="none"/>
      <w:shd w:val="clear" w:color="auto" w:fill="FFFFFF"/>
    </w:rPr>
  </w:style>
  <w:style w:type="character" w:customStyle="1" w:styleId="CorpsdutexteGras4">
    <w:name w:val="Corps du texte + Gras4"/>
    <w:uiPriority w:val="99"/>
    <w:rPr>
      <w:b/>
      <w:bCs/>
      <w:sz w:val="23"/>
      <w:szCs w:val="23"/>
      <w:u w:val="none"/>
      <w:shd w:val="clear" w:color="auto" w:fill="FFFFFF"/>
    </w:rPr>
  </w:style>
  <w:style w:type="paragraph" w:customStyle="1" w:styleId="Corpsdutexte30">
    <w:name w:val="Corps du texte (3)"/>
    <w:basedOn w:val="Normal"/>
    <w:link w:val="Corpsdutexte3"/>
    <w:uiPriority w:val="99"/>
    <w:pPr>
      <w:widowControl w:val="0"/>
      <w:shd w:val="clear" w:color="auto" w:fill="FFFFFF"/>
      <w:spacing w:before="480" w:after="240" w:line="240" w:lineRule="atLeast"/>
      <w:ind w:hanging="720"/>
      <w:jc w:val="both"/>
    </w:pPr>
    <w:rPr>
      <w:b/>
      <w:bCs/>
      <w:sz w:val="23"/>
      <w:szCs w:val="23"/>
    </w:rPr>
  </w:style>
  <w:style w:type="paragraph" w:styleId="Caption">
    <w:name w:val="caption"/>
    <w:basedOn w:val="Normal"/>
    <w:next w:val="Normal"/>
    <w:link w:val="CaptionChar"/>
    <w:uiPriority w:val="35"/>
    <w:unhideWhenUsed/>
    <w:qFormat/>
    <w:pPr>
      <w:spacing w:before="60" w:after="60"/>
    </w:pPr>
    <w:rPr>
      <w:rFonts w:ascii="Times New Roman" w:eastAsia="Calibri" w:hAnsi="Times New Roman" w:cs="Times New Roman"/>
      <w:b/>
      <w:bCs/>
      <w:sz w:val="20"/>
      <w:szCs w:val="20"/>
    </w:rPr>
  </w:style>
  <w:style w:type="paragraph" w:customStyle="1" w:styleId="Caption1">
    <w:name w:val="Caption1"/>
    <w:basedOn w:val="Caption"/>
    <w:next w:val="Normal"/>
    <w:link w:val="captionChar0"/>
    <w:qFormat/>
    <w:pPr>
      <w:keepNext/>
      <w:jc w:val="center"/>
    </w:pPr>
    <w:rPr>
      <w:i/>
      <w:sz w:val="22"/>
    </w:rPr>
  </w:style>
  <w:style w:type="paragraph" w:customStyle="1" w:styleId="SourceCap">
    <w:name w:val="SourceCap"/>
    <w:basedOn w:val="Normal"/>
    <w:next w:val="Normal"/>
    <w:link w:val="SourceCapChar"/>
    <w:qFormat/>
    <w:pPr>
      <w:spacing w:before="60" w:after="160"/>
      <w:ind w:left="851"/>
    </w:pPr>
    <w:rPr>
      <w:rFonts w:ascii="Times New Roman" w:eastAsia="Calibri" w:hAnsi="Times New Roman" w:cs="Times New Roman"/>
      <w:b/>
      <w:i/>
      <w:sz w:val="21"/>
      <w:szCs w:val="20"/>
    </w:rPr>
  </w:style>
  <w:style w:type="character" w:customStyle="1" w:styleId="CaptionChar">
    <w:name w:val="Caption Char"/>
    <w:link w:val="Caption"/>
    <w:uiPriority w:val="35"/>
    <w:rPr>
      <w:rFonts w:ascii="Times New Roman" w:eastAsia="Calibri" w:hAnsi="Times New Roman" w:cs="Times New Roman"/>
      <w:b/>
      <w:bCs/>
      <w:sz w:val="20"/>
      <w:szCs w:val="20"/>
    </w:rPr>
  </w:style>
  <w:style w:type="character" w:customStyle="1" w:styleId="captionChar0">
    <w:name w:val="caption Char"/>
    <w:link w:val="Caption1"/>
    <w:rPr>
      <w:rFonts w:ascii="Times New Roman" w:eastAsia="Calibri" w:hAnsi="Times New Roman" w:cs="Times New Roman"/>
      <w:b/>
      <w:bCs/>
      <w:i/>
      <w:szCs w:val="20"/>
    </w:rPr>
  </w:style>
  <w:style w:type="character" w:customStyle="1" w:styleId="SourceCapChar">
    <w:name w:val="SourceCap Char"/>
    <w:link w:val="SourceCap"/>
    <w:rPr>
      <w:rFonts w:ascii="Times New Roman" w:eastAsia="Calibri" w:hAnsi="Times New Roman" w:cs="Times New Roman"/>
      <w:b/>
      <w:i/>
      <w:sz w:val="21"/>
      <w:szCs w:val="20"/>
    </w:rPr>
  </w:style>
  <w:style w:type="paragraph" w:customStyle="1" w:styleId="KeyPoints">
    <w:name w:val="KeyPoints"/>
    <w:basedOn w:val="Normal"/>
    <w:link w:val="KeyPointsChar"/>
    <w:qFormat/>
    <w:pPr>
      <w:numPr>
        <w:numId w:val="1"/>
      </w:numPr>
      <w:spacing w:before="60" w:after="60" w:line="240" w:lineRule="auto"/>
      <w:ind w:left="0" w:hanging="357"/>
      <w:contextualSpacing/>
      <w:jc w:val="both"/>
    </w:pPr>
    <w:rPr>
      <w:rFonts w:ascii="Times New Roman" w:eastAsia="Calibri" w:hAnsi="Times New Roman" w:cs="Times New Roman"/>
      <w:i/>
      <w:sz w:val="24"/>
      <w:szCs w:val="24"/>
    </w:rPr>
  </w:style>
  <w:style w:type="paragraph" w:styleId="TOC4">
    <w:name w:val="toc 4"/>
    <w:basedOn w:val="Normal"/>
    <w:next w:val="Normal"/>
    <w:autoRedefine/>
    <w:uiPriority w:val="39"/>
    <w:unhideWhenUsed/>
    <w:pPr>
      <w:spacing w:before="60" w:after="60"/>
      <w:ind w:left="720"/>
    </w:pPr>
    <w:rPr>
      <w:rFonts w:ascii="Times New Roman" w:eastAsia="Calibri" w:hAnsi="Times New Roman" w:cs="Times New Roman"/>
      <w:sz w:val="24"/>
    </w:rPr>
  </w:style>
  <w:style w:type="character" w:customStyle="1" w:styleId="KeyPointsChar">
    <w:name w:val="KeyPoints Char"/>
    <w:link w:val="KeyPoints"/>
    <w:rPr>
      <w:rFonts w:ascii="Times New Roman" w:eastAsia="Calibri" w:hAnsi="Times New Roman" w:cs="Times New Roman"/>
      <w:i/>
      <w:sz w:val="24"/>
      <w:szCs w:val="24"/>
    </w:rPr>
  </w:style>
  <w:style w:type="paragraph" w:styleId="TOC5">
    <w:name w:val="toc 5"/>
    <w:basedOn w:val="Normal"/>
    <w:next w:val="Normal"/>
    <w:autoRedefine/>
    <w:uiPriority w:val="39"/>
    <w:unhideWhenUsed/>
    <w:pPr>
      <w:spacing w:before="60" w:after="60"/>
      <w:ind w:left="960"/>
    </w:pPr>
    <w:rPr>
      <w:rFonts w:ascii="Times New Roman" w:eastAsia="Calibri" w:hAnsi="Times New Roman" w:cs="Times New Roman"/>
      <w:sz w:val="24"/>
    </w:rPr>
  </w:style>
  <w:style w:type="paragraph" w:styleId="TOC6">
    <w:name w:val="toc 6"/>
    <w:basedOn w:val="Normal"/>
    <w:next w:val="Normal"/>
    <w:autoRedefine/>
    <w:uiPriority w:val="39"/>
    <w:unhideWhenUsed/>
    <w:pPr>
      <w:spacing w:after="100"/>
      <w:ind w:left="1100"/>
    </w:pPr>
    <w:rPr>
      <w:rFonts w:ascii="Calibri" w:eastAsia="MS Mincho" w:hAnsi="Calibri" w:cs="Times New Roman"/>
    </w:rPr>
  </w:style>
  <w:style w:type="paragraph" w:styleId="TOC7">
    <w:name w:val="toc 7"/>
    <w:basedOn w:val="Normal"/>
    <w:next w:val="Normal"/>
    <w:autoRedefine/>
    <w:uiPriority w:val="39"/>
    <w:unhideWhenUsed/>
    <w:pPr>
      <w:spacing w:after="100"/>
      <w:ind w:left="1320"/>
    </w:pPr>
    <w:rPr>
      <w:rFonts w:ascii="Calibri" w:eastAsia="MS Mincho" w:hAnsi="Calibri" w:cs="Times New Roman"/>
    </w:rPr>
  </w:style>
  <w:style w:type="paragraph" w:styleId="TOC8">
    <w:name w:val="toc 8"/>
    <w:basedOn w:val="Normal"/>
    <w:next w:val="Normal"/>
    <w:autoRedefine/>
    <w:uiPriority w:val="39"/>
    <w:unhideWhenUsed/>
    <w:pPr>
      <w:spacing w:after="100"/>
      <w:ind w:left="1540"/>
    </w:pPr>
    <w:rPr>
      <w:rFonts w:ascii="Calibri" w:eastAsia="MS Mincho" w:hAnsi="Calibri" w:cs="Times New Roman"/>
    </w:rPr>
  </w:style>
  <w:style w:type="paragraph" w:styleId="TOC9">
    <w:name w:val="toc 9"/>
    <w:basedOn w:val="Normal"/>
    <w:next w:val="Normal"/>
    <w:autoRedefine/>
    <w:uiPriority w:val="39"/>
    <w:unhideWhenUsed/>
    <w:pPr>
      <w:spacing w:after="100"/>
      <w:ind w:left="1760"/>
    </w:pPr>
    <w:rPr>
      <w:rFonts w:ascii="Calibri" w:eastAsia="MS Mincho" w:hAnsi="Calibri" w:cs="Times New Roman"/>
    </w:rPr>
  </w:style>
  <w:style w:type="paragraph" w:styleId="Title">
    <w:name w:val="Title"/>
    <w:basedOn w:val="Normal"/>
    <w:next w:val="Normal"/>
    <w:link w:val="TitleChar"/>
    <w:uiPriority w:val="10"/>
    <w:qFormat/>
    <w:pPr>
      <w:spacing w:before="240" w:after="60"/>
      <w:jc w:val="center"/>
      <w:outlineLvl w:val="0"/>
    </w:pPr>
    <w:rPr>
      <w:rFonts w:ascii="Times New Roman" w:eastAsia="MS Gothic" w:hAnsi="Times New Roman" w:cs="Times New Roman"/>
      <w:b/>
      <w:bCs/>
      <w:kern w:val="28"/>
      <w:sz w:val="32"/>
      <w:szCs w:val="32"/>
    </w:rPr>
  </w:style>
  <w:style w:type="character" w:customStyle="1" w:styleId="TitleChar">
    <w:name w:val="Title Char"/>
    <w:basedOn w:val="DefaultParagraphFont"/>
    <w:link w:val="Title"/>
    <w:uiPriority w:val="10"/>
    <w:rPr>
      <w:rFonts w:ascii="Times New Roman" w:eastAsia="MS Gothic" w:hAnsi="Times New Roman" w:cs="Times New Roman"/>
      <w:b/>
      <w:bCs/>
      <w:kern w:val="28"/>
      <w:sz w:val="32"/>
      <w:szCs w:val="32"/>
    </w:rPr>
  </w:style>
  <w:style w:type="paragraph" w:styleId="Subtitle">
    <w:name w:val="Subtitle"/>
    <w:basedOn w:val="Normal"/>
    <w:next w:val="Normal"/>
    <w:link w:val="SubtitleChar"/>
    <w:uiPriority w:val="11"/>
    <w:qFormat/>
    <w:pPr>
      <w:spacing w:before="60" w:after="60"/>
      <w:outlineLvl w:val="1"/>
    </w:pPr>
    <w:rPr>
      <w:rFonts w:ascii="Times New Roman" w:eastAsia="MS Gothic" w:hAnsi="Times New Roman" w:cs="Times New Roman"/>
      <w:b/>
      <w:sz w:val="28"/>
      <w:szCs w:val="24"/>
    </w:rPr>
  </w:style>
  <w:style w:type="character" w:customStyle="1" w:styleId="SubtitleChar">
    <w:name w:val="Subtitle Char"/>
    <w:basedOn w:val="DefaultParagraphFont"/>
    <w:link w:val="Subtitle"/>
    <w:uiPriority w:val="11"/>
    <w:rPr>
      <w:rFonts w:ascii="Times New Roman" w:eastAsia="MS Gothic" w:hAnsi="Times New Roman" w:cs="Times New Roman"/>
      <w:b/>
      <w:sz w:val="28"/>
      <w:szCs w:val="24"/>
    </w:rPr>
  </w:style>
  <w:style w:type="paragraph" w:customStyle="1" w:styleId="s2">
    <w:name w:val="s2"/>
    <w:basedOn w:val="Normal"/>
    <w:pPr>
      <w:spacing w:before="100" w:beforeAutospacing="1" w:after="100" w:afterAutospacing="1" w:line="240" w:lineRule="auto"/>
    </w:pPr>
    <w:rPr>
      <w:rFonts w:ascii="Times New Roman" w:eastAsia="Calibri" w:hAnsi="Times New Roman" w:cs="Times New Roman"/>
      <w:sz w:val="24"/>
      <w:szCs w:val="24"/>
    </w:rPr>
  </w:style>
  <w:style w:type="character" w:customStyle="1" w:styleId="bumpedfont20">
    <w:name w:val="bumpedfont20"/>
  </w:style>
  <w:style w:type="paragraph" w:customStyle="1" w:styleId="Bulletedlist">
    <w:name w:val="Bulleted list"/>
    <w:basedOn w:val="Normal"/>
    <w:qFormat/>
    <w:pPr>
      <w:numPr>
        <w:numId w:val="12"/>
      </w:numPr>
      <w:spacing w:before="60" w:after="60" w:line="240" w:lineRule="auto"/>
      <w:jc w:val="both"/>
    </w:pPr>
    <w:rPr>
      <w:rFonts w:ascii="Arial" w:eastAsia="MS Mincho" w:hAnsi="Arial" w:cs="Arial"/>
    </w:rPr>
  </w:style>
  <w:style w:type="paragraph" w:customStyle="1" w:styleId="Heading4bis">
    <w:name w:val="Heading 4 bis"/>
    <w:basedOn w:val="Heading4"/>
    <w:link w:val="Heading4bisChar"/>
    <w:qFormat/>
    <w:pPr>
      <w:numPr>
        <w:ilvl w:val="2"/>
        <w:numId w:val="3"/>
      </w:numPr>
    </w:pPr>
    <w:rPr>
      <w:u w:val="none"/>
    </w:rPr>
  </w:style>
  <w:style w:type="paragraph" w:customStyle="1" w:styleId="Heading5bis">
    <w:name w:val="Heading 5 bis"/>
    <w:basedOn w:val="Heading5"/>
    <w:link w:val="Heading5bisChar"/>
    <w:qFormat/>
    <w:pPr>
      <w:numPr>
        <w:ilvl w:val="3"/>
        <w:numId w:val="3"/>
      </w:numPr>
      <w:spacing w:before="120"/>
    </w:pPr>
  </w:style>
  <w:style w:type="character" w:customStyle="1" w:styleId="Heading4bisChar">
    <w:name w:val="Heading 4 bis Char"/>
    <w:link w:val="Heading4bis"/>
    <w:rPr>
      <w:rFonts w:ascii="Times New Roman" w:eastAsia="Times New Roman" w:hAnsi="Times New Roman" w:cs="Times New Roman"/>
      <w:b/>
      <w:bCs/>
      <w:sz w:val="24"/>
      <w:szCs w:val="24"/>
    </w:rPr>
  </w:style>
  <w:style w:type="character" w:styleId="FollowedHyperlink">
    <w:name w:val="FollowedHyperlink"/>
    <w:uiPriority w:val="99"/>
    <w:semiHidden/>
    <w:unhideWhenUsed/>
    <w:rPr>
      <w:color w:val="800080"/>
      <w:u w:val="single"/>
    </w:rPr>
  </w:style>
  <w:style w:type="character" w:customStyle="1" w:styleId="Heading5bisChar">
    <w:name w:val="Heading 5 bis Char"/>
    <w:link w:val="Heading5bis"/>
    <w:rPr>
      <w:rFonts w:ascii="Times New Roman" w:eastAsia="Calibri" w:hAnsi="Times New Roman" w:cs="Times New Roman"/>
      <w:b/>
      <w:sz w:val="24"/>
      <w:szCs w:val="24"/>
    </w:rPr>
  </w:style>
  <w:style w:type="paragraph" w:customStyle="1" w:styleId="Heading3-a">
    <w:name w:val="Heading 3-a"/>
    <w:basedOn w:val="Heading3"/>
    <w:link w:val="Heading3-aChar"/>
    <w:qFormat/>
    <w:pPr>
      <w:pBdr>
        <w:top w:val="none" w:sz="0" w:space="0" w:color="auto"/>
        <w:left w:val="none" w:sz="0" w:space="0" w:color="auto"/>
        <w:bottom w:val="none" w:sz="0" w:space="0" w:color="auto"/>
        <w:right w:val="none" w:sz="0" w:space="0" w:color="auto"/>
      </w:pBdr>
      <w:spacing w:before="360" w:after="240"/>
    </w:pPr>
  </w:style>
  <w:style w:type="numbering" w:customStyle="1" w:styleId="NoList1">
    <w:name w:val="No List1"/>
    <w:next w:val="NoList"/>
    <w:uiPriority w:val="99"/>
    <w:semiHidden/>
    <w:unhideWhenUsed/>
  </w:style>
  <w:style w:type="character" w:customStyle="1" w:styleId="Heading3-aChar">
    <w:name w:val="Heading 3-a Char"/>
    <w:basedOn w:val="Heading3Char"/>
    <w:link w:val="Heading3-a"/>
    <w:rPr>
      <w:rFonts w:ascii="Times New Roman" w:eastAsia="Calibri" w:hAnsi="Times New Roman" w:cs="Times New Roman"/>
      <w:b/>
      <w:sz w:val="24"/>
      <w:szCs w:val="24"/>
    </w:r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1">
    <w:name w:val="Light Shading Accent 1"/>
    <w:basedOn w:val="TableNormal"/>
    <w:uiPriority w:val="60"/>
    <w:pPr>
      <w:spacing w:after="0" w:line="240" w:lineRule="auto"/>
    </w:pPr>
    <w:rPr>
      <w:rFonts w:ascii="Calibri" w:eastAsia="Calibri" w:hAnsi="Calibri" w:cs="Times New Roman"/>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5">
    <w:name w:val="Light Shading Accent 5"/>
    <w:basedOn w:val="TableNormal"/>
    <w:uiPriority w:val="60"/>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eastAsia="Calibri"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eastAsia="Calibri" w:hAnsi="Times New Roman" w:cs="Times New Roman"/>
      <w:sz w:val="24"/>
    </w:rPr>
  </w:style>
  <w:style w:type="character" w:customStyle="1" w:styleId="FooterCoverPageChar">
    <w:name w:val="Footer Cover Page Char"/>
    <w:link w:val="FooterCoverPage"/>
    <w:rPr>
      <w:rFonts w:ascii="Times New Roman" w:eastAsia="Calibri"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eastAsia="Calibri" w:hAnsi="Times New Roman" w:cs="Times New Roman"/>
      <w:sz w:val="24"/>
    </w:rPr>
  </w:style>
  <w:style w:type="character" w:customStyle="1" w:styleId="HeaderCoverPageChar">
    <w:name w:val="Header Cover Page Char"/>
    <w:link w:val="HeaderCoverPage"/>
    <w:rPr>
      <w:rFonts w:ascii="Times New Roman" w:eastAsia="Calibri" w:hAnsi="Times New Roman" w:cs="Times New Roman"/>
      <w:sz w:val="24"/>
    </w:rPr>
  </w:style>
  <w:style w:type="table" w:styleId="LightShading">
    <w:name w:val="Light Shading"/>
    <w:basedOn w:val="TableNormal"/>
    <w:uiPriority w:val="60"/>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2">
    <w:name w:val="Light Shading Accent 2"/>
    <w:basedOn w:val="TableNormal"/>
    <w:uiPriority w:val="60"/>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6">
    <w:name w:val="Light Shading Accent 6"/>
    <w:basedOn w:val="TableNormal"/>
    <w:uiPriority w:val="60"/>
    <w:pPr>
      <w:spacing w:after="0" w:line="240" w:lineRule="auto"/>
    </w:pPr>
    <w:rPr>
      <w:rFonts w:ascii="Calibri" w:eastAsia="Calibri" w:hAnsi="Calibri" w:cs="Times New Roman"/>
      <w:color w:val="E36C0A"/>
      <w:sz w:val="20"/>
      <w:szCs w:val="20"/>
    </w:rPr>
    <w:tblPr>
      <w:tblStyleRowBandSize w:val="1"/>
      <w:tblStyleColBandSize w:val="1"/>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LightList">
    <w:name w:val="Light List"/>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MediumGrid2">
    <w:name w:val="Medium Grid 2"/>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LightGrid-Accent1">
    <w:name w:val="Light Grid Accent 1"/>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
    <w:name w:val="Light Grid"/>
    <w:basedOn w:val="TableNormal"/>
    <w:uiPriority w:val="62"/>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Shading1">
    <w:name w:val="Medium Shading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3">
    <w:name w:val="Medium Grid 3"/>
    <w:basedOn w:val="TableNormal"/>
    <w:uiPriority w:val="69"/>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2-Accent1">
    <w:name w:val="Medium Grid 2 Accent 1"/>
    <w:basedOn w:val="TableNormal"/>
    <w:uiPriority w:val="68"/>
    <w:pPr>
      <w:spacing w:after="0" w:line="240" w:lineRule="auto"/>
    </w:pPr>
    <w:rPr>
      <w:rFonts w:ascii="Cambria" w:eastAsia="Times New Roman" w:hAnsi="Cambria" w:cs="Times New Roman"/>
      <w:color w:val="000000"/>
      <w:sz w:val="20"/>
      <w:szCs w:val="20"/>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2">
    <w:name w:val="Medium Shading 1 Accent 2"/>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1">
    <w:name w:val="Medium Shading 1 Accent 1"/>
    <w:basedOn w:val="TableNormal"/>
    <w:uiPriority w:val="63"/>
    <w:pPr>
      <w:spacing w:after="0" w:line="240" w:lineRule="auto"/>
    </w:pPr>
    <w:rPr>
      <w:rFonts w:ascii="Calibri" w:eastAsia="Calibri" w:hAnsi="Calibri"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myintracomm.ec.testa.eu/budgweb/Fr/imp/financial-instruments/Pages/financial-instruments-2015.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24</Pages>
  <Words>4256</Words>
  <Characters>22901</Characters>
  <Application>Microsoft Office Word</Application>
  <DocSecurity>0</DocSecurity>
  <Lines>1635</Lines>
  <Paragraphs>775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26382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PARMENTIER Paola</dc:creator>
  <cp:lastModifiedBy>DIGIT/A3</cp:lastModifiedBy>
  <cp:revision>11</cp:revision>
  <dcterms:created xsi:type="dcterms:W3CDTF">2015-09-23T15:23:00Z</dcterms:created>
  <dcterms:modified xsi:type="dcterms:W3CDTF">2015-11-13T08:23:00Z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1</vt:lpwstr>
  </property>
  <property fmtid="{D5CDD505-2E9C-101B-9397-08002B2CF9AE}" pid="3" name="Last annex">
    <vt:lpwstr>1</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