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30097310"/>
      <w:bookmarkStart w:id="1" w:name="_Toc399517418"/>
      <w:bookmarkStart w:id="2" w:name="_Toc387228706"/>
      <w:bookmarkStart w:id="3" w:name="_Toc388541836"/>
      <w:bookmarkStart w:id="4" w:name="_Toc387229283"/>
      <w:bookmarkStart w:id="5" w:name="_Toc388542045"/>
      <w:bookmarkStart w:id="6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202267B61FFE4DDDAEF6A480CDC7F1CE" style="width:450.4pt;height:393.5pt">
            <v:imagedata r:id="rId8" o:title=""/>
          </v:shape>
        </w:pict>
      </w:r>
    </w:p>
    <w:bookmarkEnd w:id="6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Subtitle"/>
        <w:spacing w:before="0" w:after="240"/>
        <w:rPr>
          <w:noProof/>
          <w:sz w:val="22"/>
          <w:szCs w:val="22"/>
        </w:rPr>
      </w:pPr>
      <w:bookmarkStart w:id="7" w:name="_GoBack"/>
      <w:bookmarkEnd w:id="7"/>
      <w:r>
        <w:rPr>
          <w:noProof/>
          <w:sz w:val="22"/>
        </w:rPr>
        <w:lastRenderedPageBreak/>
        <w:t>ПРИЛОЖЕНИЕ</w:t>
      </w:r>
      <w:bookmarkEnd w:id="0"/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Със следните фишове се прави обобщение на събраната към 31 декември 2014 г. информация за всяка от 12-те точки съгласно изискването в член 140, параграф 8 от Финансовия регламент. По-подробна информация може да бъде намерена в работния документ на службите на Комисията.</w:t>
      </w:r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Следва да се отбележи, че докато в член 140, параграф 8, буква к) се изисква съпоставка между </w:t>
      </w:r>
      <w:r>
        <w:rPr>
          <w:rFonts w:ascii="Times New Roman" w:hAnsi="Times New Roman"/>
          <w:i/>
          <w:noProof/>
        </w:rPr>
        <w:t>целевия</w:t>
      </w:r>
      <w:r>
        <w:rPr>
          <w:rFonts w:ascii="Times New Roman" w:hAnsi="Times New Roman"/>
          <w:noProof/>
        </w:rPr>
        <w:t xml:space="preserve"> и </w:t>
      </w:r>
      <w:r>
        <w:rPr>
          <w:rFonts w:ascii="Times New Roman" w:hAnsi="Times New Roman"/>
          <w:i/>
          <w:noProof/>
        </w:rPr>
        <w:t xml:space="preserve">постигнатия </w:t>
      </w:r>
      <w:r>
        <w:rPr>
          <w:rFonts w:ascii="Times New Roman" w:hAnsi="Times New Roman"/>
          <w:noProof/>
        </w:rPr>
        <w:t xml:space="preserve">ефект на лоста, няма определен целеви ефект на лоста за повечето финансови инструменти за периода 2007—2013 г. </w:t>
      </w:r>
      <w:r>
        <w:rPr>
          <w:noProof/>
        </w:rPr>
        <w:t xml:space="preserve">Информацията се ограничава до </w:t>
      </w:r>
      <w:r>
        <w:rPr>
          <w:i/>
          <w:noProof/>
        </w:rPr>
        <w:t>постигнатия</w:t>
      </w:r>
      <w:r>
        <w:rPr>
          <w:noProof/>
        </w:rPr>
        <w:t xml:space="preserve"> ефект на лоста, чието изчисляване е описано в съответния раздел на работния документ на службите на Комисията</w:t>
      </w:r>
      <w:r>
        <w:rPr>
          <w:rStyle w:val="FootnoteReference"/>
          <w:rFonts w:ascii="Times New Roman" w:hAnsi="Times New Roman"/>
          <w:noProof/>
        </w:rPr>
        <w:footnoteReference w:id="1"/>
      </w:r>
      <w:r>
        <w:rPr>
          <w:noProof/>
        </w:rPr>
        <w:t>.</w:t>
      </w:r>
      <w:r>
        <w:rPr>
          <w:rFonts w:ascii="Times New Roman" w:hAnsi="Times New Roman"/>
          <w:noProof/>
        </w:rPr>
        <w:t xml:space="preserve"> На този етап </w:t>
      </w:r>
      <w:r>
        <w:rPr>
          <w:rFonts w:ascii="Times New Roman" w:hAnsi="Times New Roman"/>
          <w:i/>
          <w:noProof/>
        </w:rPr>
        <w:t xml:space="preserve">постигнатият </w:t>
      </w:r>
      <w:r>
        <w:rPr>
          <w:rFonts w:ascii="Times New Roman" w:hAnsi="Times New Roman"/>
          <w:noProof/>
        </w:rPr>
        <w:t xml:space="preserve">коефициент на ливъридж (ефект на лоста) в много случаи все още не е окончателен, тъй като броят на крайните получатели продължава да се увеличава. За нови инструменти, чието изпълнение е започнало съвсем наскоро, е представен </w:t>
      </w:r>
      <w:r>
        <w:rPr>
          <w:rFonts w:ascii="Times New Roman" w:hAnsi="Times New Roman"/>
          <w:i/>
          <w:noProof/>
        </w:rPr>
        <w:t>очакван</w:t>
      </w:r>
      <w:r>
        <w:rPr>
          <w:rFonts w:ascii="Times New Roman" w:hAnsi="Times New Roman"/>
          <w:noProof/>
        </w:rPr>
        <w:t xml:space="preserve"> „ефект на лоста“ — въз основа на сумата за финансиране на допустимите крайни получатели, очаквана като резултат от операциите, които упълномощеният субект вече е подписал с финансовите посредници или крайните получатели).</w:t>
      </w:r>
    </w:p>
    <w:p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p>
      <w:pPr>
        <w:pStyle w:val="Heading4"/>
        <w:spacing w:before="0" w:after="240"/>
        <w:ind w:left="357" w:hanging="357"/>
        <w:rPr>
          <w:noProof/>
          <w:sz w:val="22"/>
          <w:szCs w:val="22"/>
        </w:rPr>
      </w:pPr>
      <w:r>
        <w:rPr>
          <w:noProof/>
          <w:sz w:val="22"/>
        </w:rPr>
        <w:t>Капиталови инструменти</w:t>
      </w:r>
      <w:bookmarkEnd w:id="1"/>
    </w:p>
    <w:tbl>
      <w:tblPr>
        <w:tblW w:w="4942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3340"/>
        <w:gridCol w:w="3260"/>
      </w:tblGrid>
      <w:tr>
        <w:tc>
          <w:tcPr>
            <w:tcW w:w="25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3340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Инструмент за висок растеж и иновационни МСП в рамките на ПКИ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GIF (V.1.1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GROW и ECFIN</w:t>
            </w:r>
          </w:p>
        </w:tc>
        <w:tc>
          <w:tcPr>
            <w:tcW w:w="326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Капиталов механизъм за растеж по COSME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EFG (V.1.2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GROW</w:t>
            </w:r>
          </w:p>
        </w:tc>
      </w:tr>
      <w:t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Решение № 1639/2006/ЕО</w:t>
            </w:r>
          </w:p>
        </w:tc>
        <w:tc>
          <w:tcPr>
            <w:tcW w:w="3260" w:type="dxa"/>
            <w:shd w:val="clear" w:color="auto" w:fill="D3DFEE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1287/2013</w:t>
            </w:r>
          </w:p>
        </w:tc>
      </w:tr>
      <w:t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Капиталов инструмент за увеличаване на предлагането на капитал за иновативни МСП в ранен етап на развитие и етап на разширяване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на собствения капитал, който предоставя рисков капитал и финансиране тип „мецанин“ за МСП на етапите на разширяването и растежа</w:t>
            </w:r>
          </w:p>
        </w:tc>
      </w:tr>
      <w:tr>
        <w:trPr>
          <w:trHeight w:val="543"/>
        </w:trP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326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</w:tr>
      <w:tr>
        <w:trPr>
          <w:trHeight w:val="903"/>
        </w:trP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625,2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358,0 млн. евро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51,7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32,5 млн. евро</w:t>
            </w:r>
          </w:p>
        </w:tc>
      </w:tr>
      <w:t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 споразумения, подписани с фондове за рисков капитал, предназначени за 371 допустими МСП</w:t>
            </w:r>
          </w:p>
        </w:tc>
        <w:tc>
          <w:tcPr>
            <w:tcW w:w="3260" w:type="dxa"/>
            <w:shd w:val="clear" w:color="auto" w:fill="D3DFEE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 (НП)</w:t>
            </w:r>
          </w:p>
        </w:tc>
      </w:tr>
      <w:t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Над 90 %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81,6 млн. евро</w:t>
            </w:r>
          </w:p>
        </w:tc>
        <w:tc>
          <w:tcPr>
            <w:tcW w:w="326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31,1 млн. евро</w:t>
            </w:r>
          </w:p>
        </w:tc>
      </w:tr>
      <w:tr>
        <w:trPr>
          <w:trHeight w:val="663"/>
        </w:trP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Приходи: 19,5 млн. евро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241,5 млн. евро</w:t>
            </w:r>
          </w:p>
        </w:tc>
        <w:tc>
          <w:tcPr>
            <w:tcW w:w="326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2,8 млн. евро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rPr>
          <w:trHeight w:val="303"/>
        </w:trPr>
        <w:tc>
          <w:tcPr>
            <w:tcW w:w="258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3340" w:type="dxa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5,5</w:t>
            </w:r>
          </w:p>
        </w:tc>
        <w:tc>
          <w:tcPr>
            <w:tcW w:w="3260" w:type="dxa"/>
            <w:shd w:val="clear" w:color="auto" w:fill="D3DFEE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между 4 и 6</w:t>
            </w:r>
          </w:p>
        </w:tc>
      </w:tr>
      <w:tr>
        <w:trPr>
          <w:trHeight w:val="60"/>
        </w:trPr>
        <w:tc>
          <w:tcPr>
            <w:tcW w:w="25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334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pStyle w:val="ListParagraph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До края на 2014 г. чрез финансовото участие по GIF на иновативните МСП е било предоставено финансиране с 984 млн. евро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>
            <w:pPr>
              <w:pStyle w:val="ListParagraph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Стойността на привлечените инвестиции в рисков капитал с помощта на  финансовото участие на ЕС ще бъде от 2,6 до 3,9 млрд. евро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br w:type="page"/>
      </w:r>
      <w:bookmarkStart w:id="8" w:name="_Toc399517419"/>
      <w:r>
        <w:rPr>
          <w:noProof/>
          <w:sz w:val="22"/>
        </w:rPr>
        <w:t>Гаранционни инструменти:</w:t>
      </w:r>
      <w:bookmarkEnd w:id="2"/>
      <w:bookmarkEnd w:id="3"/>
      <w:bookmarkEnd w:id="4"/>
      <w:bookmarkEnd w:id="5"/>
      <w:bookmarkEnd w:id="8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844"/>
        <w:gridCol w:w="2088"/>
        <w:gridCol w:w="2058"/>
        <w:gridCol w:w="2298"/>
      </w:tblGrid>
      <w:t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Механизъм за гарантиране по отношение на МСП в рамките на CIP (SMEG 07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(V.2.1 SWD)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GROW и ECFIN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Гаранция по Европейския механизъм за микрофинансиране „Прогрес“ — EPMF-G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(V.2.2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EMPL и ECFIN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Пилотен механизъм за гарантиране по отношение на МСП, свързани с НИРД, и малки дружества със средна пазарна капитализация (ИПР)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(V.2.5 SWD)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RTD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Решение № 1639/2006/ЕО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Решение № 283/2010/ЕС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Решение № 1982/2006/ЕО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before="30" w:after="3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Гаранционен инструмент за подобряване на достъпа на МСП до финансиране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Гаранционен инструмент за подобряване на достъпа на физическите лица и микропредприятията до микрофинансиране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Гаранционен инструмент за подобряване на достъпа на инвестициите в НИРД до заемно финансиране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</w:tr>
      <w:tr>
        <w:trPr>
          <w:trHeight w:val="1396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637,8 млн. евро</w:t>
            </w:r>
          </w:p>
          <w:p>
            <w:pPr>
              <w:pStyle w:val="ListParagraph"/>
              <w:keepNext/>
              <w:keepLines/>
              <w:spacing w:before="120" w:after="40"/>
              <w:ind w:left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336,2 млн. евро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23,9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18,5 млн. евро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270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270 млн. евро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24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 подписани споразумения с 57 финансови посредници;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>Обем на предоставената гаранция в размер на 587,6 млн. евро, която обхваща 431 561 заема</w:t>
            </w:r>
          </w:p>
        </w:tc>
        <w:tc>
          <w:tcPr>
            <w:tcW w:w="0" w:type="auto"/>
            <w:shd w:val="clear" w:color="auto" w:fill="D3DFEE"/>
          </w:tcPr>
          <w:p>
            <w:pPr>
              <w:ind w:left="15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 подписани споразумения сфинансови посредници;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 xml:space="preserve">14 973 микрокредита, предоставени в подкрепа на 21 939 работници и служители, 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240"/>
              <w:ind w:left="7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1,59 млрд. евро гаранции и насрещни гаранции, предоставяни на 37 финансови посредници;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>Очакван обем на заемите в размер на 3.3 млрд. евро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Над 60 %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Всички постъпления са били използвани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150,8 млн. евро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13,42 млн. евро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81,13 млн. евро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12,1 млн. евро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273 348 евро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1,23 млн. евро</w:t>
            </w:r>
          </w:p>
        </w:tc>
      </w:tr>
      <w:tr>
        <w:trPr>
          <w:trHeight w:val="1105"/>
        </w:trP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rPr>
          <w:trHeight w:val="1360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181,7 млн. евро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2,5 млн. евро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1,7 млн. евро</w:t>
            </w:r>
          </w:p>
        </w:tc>
      </w:tr>
      <w:tr>
        <w:trPr>
          <w:trHeight w:val="1332"/>
        </w:trP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31,6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6,67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7,1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12</w:t>
            </w:r>
          </w:p>
        </w:tc>
      </w:tr>
      <w:tr>
        <w:trPr>
          <w:trHeight w:val="3200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18,6 млрд. евро ново финансиране, предназначено за 356 589 МСП;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инвестиции в размер на 27,3 млрд. евро;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обхванати държави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създадени/запазени 356 589 работни места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от 160,26 млн. евро за нови микрокредити, като бяха достигнати 14 448 допустими крайни получатели;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 обхванати държави — членки на ЕС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създадени 21 939 работни места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831 млн. евро нови заеми за финансиране, достигащи 1 376 допустими крайни получатели;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 обхванати държави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729"/>
        <w:gridCol w:w="2014"/>
        <w:gridCol w:w="2230"/>
        <w:gridCol w:w="2315"/>
      </w:tblGrid>
      <w:tr>
        <w:trPr>
          <w:trHeight w:val="198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bookmarkStart w:id="9" w:name="_Ref387223784"/>
            <w:bookmarkStart w:id="10" w:name="_Toc387228829"/>
            <w:bookmarkStart w:id="11" w:name="_Toc388541891"/>
            <w:bookmarkStart w:id="12" w:name="_Toc393281937"/>
            <w:bookmarkStart w:id="13" w:name="_Toc400446066"/>
            <w:r>
              <w:rPr>
                <w:rFonts w:ascii="Times New Roman" w:hAnsi="Times New Roman"/>
                <w:b/>
                <w:noProof/>
                <w:color w:val="FFFFFF"/>
              </w:rPr>
              <w:t>Микрофинансиране и социални предприятия</w:t>
            </w:r>
            <w:bookmarkEnd w:id="9"/>
            <w:bookmarkEnd w:id="10"/>
            <w:bookmarkEnd w:id="11"/>
            <w:bookmarkEnd w:id="12"/>
            <w:bookmarkEnd w:id="13"/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- Гаранции — EaSI-G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(V.2.3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EMPL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Механизъм за гарантиране на заеми по Програмата за конкурентоспособност на предприятията и МСП — МГЗ (V. 2.4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GROW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МСП и малки дружества със средна пазарна капитализация (Инструмент за кредитни услуги за научноизследователска и развойна дейност ) в рамките на „Хоризонт 2020“ — „InnovFin ГМСП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(V.2.6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RTD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1296/2013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1287/2013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1291/2013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Гаранционен инструмент за насърчаване на заетостта и социалното приобщаване чрез увеличаване на достъпа до микрофинансиране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Инструмент за предоставяне на гаранции и други механизми за поделяне на риска с цел подобряване на достъпа на МСП до финансиране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Гаранционен инструмент за подобряване на достъпа до рисково финансиране на МСП, свързани с НИРД, и малки дружества със средна пазарна капитализация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28,4 млн. евро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2"/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89,1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41,7 млн. евро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168,6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168,6 млн. евро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 още не е приложимо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споразумения, подписани с финансовите посредници, с предоставени гаранции за 42,4 млн. евро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Подписани споразумения за ново финансиране в размер на 475 млн. евро, насочени към 900 крайни получатели. 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39,3 млн. евро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67,4 млн. евро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 евро;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61 000 евро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Няма.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Няма.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5,5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20 до 30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Очаквани: 10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9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Очаквани: 2,82</w:t>
            </w:r>
          </w:p>
        </w:tc>
      </w:tr>
      <w:tr>
        <w:trPr>
          <w:trHeight w:val="761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Целева подкрепа за 528 млн. евро ново финансиране; 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 xml:space="preserve">гаранции за 96 млн. евро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на очаквано ново финансиране в размер на 851 млн. евро, насочено към 13 000 МСП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11 млн. евро нови заеми за финансиране, достигащи 21 крайни получатели;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056"/>
        <w:gridCol w:w="3117"/>
        <w:gridCol w:w="3115"/>
      </w:tblGrid>
      <w:tr>
        <w:trPr>
          <w:trHeight w:val="1984"/>
          <w:jc w:val="center"/>
        </w:trPr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3097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t>Механизъм за гарантиране на студентски заеми (програма „Еразъм+“) — МГСЗ (V.2.8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EAC</w:t>
            </w:r>
          </w:p>
        </w:tc>
        <w:tc>
          <w:tcPr>
            <w:tcW w:w="309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bookmarkStart w:id="14" w:name="_Toc387228919"/>
            <w:bookmarkStart w:id="15" w:name="_Toc388541921"/>
            <w:bookmarkStart w:id="16" w:name="_Toc393281942"/>
            <w:bookmarkStart w:id="17" w:name="_Toc400446071"/>
            <w:r>
              <w:rPr>
                <w:noProof/>
              </w:rPr>
              <w:t xml:space="preserve">Инструмент за частно финансиране за енергийна ефективност (PF4EE) </w:t>
            </w:r>
            <w:bookmarkEnd w:id="14"/>
            <w:bookmarkEnd w:id="15"/>
            <w:bookmarkEnd w:id="16"/>
            <w:bookmarkEnd w:id="17"/>
            <w:r>
              <w:rPr>
                <w:noProof/>
              </w:rPr>
              <w:t xml:space="preserve"> (V.2.9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CLIMA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1288/2013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№ 1293/2013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Гаранционен инструмент за подкрепа на мобилността, справедливостта и високите постижения чрез заеми за мобилност на студенти  за обучение за магистърска степен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Гаранционен инструмент, който предоставя достъп до адекватно и достъпно търговско финансиране за допустими инвестиции за енергийна ефективност (EE) 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28,4 млн. евро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млн. евро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 - все още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 - все още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млн. евро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5,7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8</w:t>
            </w:r>
          </w:p>
        </w:tc>
      </w:tr>
      <w:tr>
        <w:trPr>
          <w:trHeight w:val="761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Целенасочена подкрепа от 3 млрд. евро нови средства за финансиране за до 200 000 студенти;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Възможност за придобиване на магистърска степен в друга държава по програмата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Целенасочена подкрепа от 540 млн. евро ново финансиране (заеми за инвестиции за енергийна ефективност);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Също така се предвижда пилотен опит за възможна модернизация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br w:type="page"/>
      </w:r>
      <w:bookmarkStart w:id="18" w:name="_Toc399517420"/>
      <w:r>
        <w:rPr>
          <w:noProof/>
          <w:sz w:val="22"/>
        </w:rPr>
        <w:t>Инструменти за поделяне на риска</w:t>
      </w:r>
      <w:bookmarkEnd w:id="18"/>
    </w:p>
    <w:tbl>
      <w:tblPr>
        <w:tblStyle w:val="MediumShading1-Accent1"/>
        <w:tblW w:w="4790" w:type="pct"/>
        <w:tblLook w:val="04A0" w:firstRow="1" w:lastRow="0" w:firstColumn="1" w:lastColumn="0" w:noHBand="0" w:noVBand="1"/>
      </w:tblPr>
      <w:tblGrid>
        <w:gridCol w:w="3037"/>
        <w:gridCol w:w="1858"/>
        <w:gridCol w:w="2327"/>
        <w:gridCol w:w="16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2261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Механизъм за финансиране с поделяне на риска (МФПР)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(V.3.1 SWD)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RTD</w:t>
            </w:r>
          </w:p>
        </w:tc>
        <w:tc>
          <w:tcPr>
            <w:tcW w:w="243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Инструмент за кредитни услуги за научноизследователска и развойна дейност в рамките на „Хоризонт 2020“ — InnovFin (V.3.2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RTD</w:t>
            </w:r>
          </w:p>
        </w:tc>
        <w:tc>
          <w:tcPr>
            <w:tcW w:w="2011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Инструмент за гарантиране на заеми (LGTT) —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(V.3.3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MOVE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а) Идентификационен/основен акт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Решение № 1982/2006/ЕО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 (ЕС) № 1291/2013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Регламенти (ЕО) № 680/2007 и Регламент (ЕС) № 670/2012.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б) Описание</w:t>
            </w:r>
          </w:p>
        </w:tc>
        <w:tc>
          <w:tcPr>
            <w:tcW w:w="2261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Дългов финансов инструмент, насочен към подобряване на достъпа до рисково финансиране за крайните получатели за научни изследвания, развитие и иновации</w:t>
            </w:r>
          </w:p>
        </w:tc>
        <w:tc>
          <w:tcPr>
            <w:tcW w:w="2432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Дългов финансов инструмент, насочен към подобряване на достъпа до финансиране на дълга за крайните получатели инвестиции в НИРД</w:t>
            </w:r>
          </w:p>
        </w:tc>
        <w:tc>
          <w:tcPr>
            <w:tcW w:w="2011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Инструмент за поделяне на риска за транспортни проекти, основани на приходите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в) Участващи финансови институции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 публични и частни банки в държавите членки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960,73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960,73 млн. евро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483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483 млн. евро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257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212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д) Резултати от дейността</w:t>
            </w:r>
          </w:p>
        </w:tc>
        <w:tc>
          <w:tcPr>
            <w:tcW w:w="2261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114 подписани операции с допустими крайни получатели за нов заем на стойност 11,3 млрд. евро</w:t>
            </w:r>
          </w:p>
        </w:tc>
        <w:tc>
          <w:tcPr>
            <w:tcW w:w="2432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30 подписани операции с допустими крайни получатели за нов заем на стойност 2,5 млрд. евро</w:t>
            </w:r>
          </w:p>
        </w:tc>
        <w:tc>
          <w:tcPr>
            <w:tcW w:w="2011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 операции, подписани в пътни, пристанищни и железопътни транспортни сектори, възлизащи на 497 млн. евро от неизплатени гаранции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Няма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Суми, включени в първата загуба в портфейла.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ж) Баланс на доверителната сметка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108,63 млн. евро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61,57 млн. евро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28,4 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spacing w:before="480" w:after="480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з) Приходи и възстановени средства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136,11 млн. евро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0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35,4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и) Стойност на капиталовите инвестиции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й) Обезценки/активирани гаранции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5,02 млн. евро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к) „Ефект на лоста“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5 до 6,5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12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12,5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2,4 (очакван: 5,1)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57,1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2261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9,6 млрд. евро ново финансиране за риск, предназначено за 98 допустими крайни получатели;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инвестиции в размер на 19 млрд. евро;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25 обхванати държави</w:t>
            </w:r>
          </w:p>
        </w:tc>
        <w:tc>
          <w:tcPr>
            <w:tcW w:w="2432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1,2 млрд. евро ново финансиране за риск, предназначено за 15 допустими крайни получатели;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инвестиции в размер на 3,2 млрд. евро;</w:t>
            </w:r>
          </w:p>
        </w:tc>
        <w:tc>
          <w:tcPr>
            <w:tcW w:w="2011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12,1 млрд. евро ново финансиране за риск, предназначено за 6 допустими крайни получатели;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5 обхванати държави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tbl>
      <w:tblPr>
        <w:tblStyle w:val="MediumShading1-Accent1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2023"/>
        <w:gridCol w:w="2410"/>
        <w:gridCol w:w="236"/>
        <w:gridCol w:w="1252"/>
        <w:gridCol w:w="1171"/>
        <w:gridCol w:w="79"/>
      </w:tblGrid>
      <w:tr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  <w:trHeight w:val="2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Инициатива „Облигации за проекти“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(V.3.4 SWD)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MOVE,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ENER, CNECT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Инструмент за финансиране на природен капитал — NCFF (V.3.6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ENV/CLIMA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Инициативата за МСП (V. 3.7 SWD)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Отговорна генерална дирекция: ECFIN, RTD, GROW, REGIO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а) Идентификационен/основен акт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 (ЕС) № 670/2012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 (ЕС) № 1293/2013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ind w:lef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Регламенти (ЕС) № 1287/2013, 1291/2013, № 1303/2013.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б) Описание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Инструмент за поделяне на риска за стимулиране на финансиране от капиталовия пазар за инфраструктурни проекти (транспорт, енергетика и широколентов достъп)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Инструмент за поделяне на риска за финансиране на инвестиции в природния капитал, генериращи приходи</w:t>
            </w:r>
          </w:p>
        </w:tc>
        <w:tc>
          <w:tcPr>
            <w:tcW w:w="236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 xml:space="preserve">Инструмент за поделяне на риска за допълване и възползване от взаимодействията между съществуващите национални и европейски програми за подпомагане на МСП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в) Участващи финансови институции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ЕИБ, ЕИФ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230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146 млн. евро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3"/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10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3,25 млн. евро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д) Резултати от дейността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t>Подписани 5 операции (2 в транспорта, 2 в енергетиката, 1 в телекомуникациите)</w:t>
            </w:r>
          </w:p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t>Кредитно подобрение с облигации за проекти за 5 трансакции 493 млн. евро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 - все още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 - все още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ж) Баланс на доверителната сметка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15,15 млн. евро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0 евро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4"/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з) Приходи и възстановени средства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7,04 млн. евро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и) Стойност на капиталовите инвестиции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й) Обезценки/активирани гаранции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к) „Ефект на лоста“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2 -4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7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Ново финансиране в размер на 2,1 млрд. евро (капиталови разходи) подкрепи 4 проекта с кредитно подобрение в размер на 493 млн. евро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Целенасочена подкрепа от 100 до 200 млн. евро нови средства за финансиране за насърчаване на екосистемните услуги, биологичното разнообразие и екологосъобразната инфраструктура</w:t>
            </w:r>
          </w:p>
        </w:tc>
        <w:tc>
          <w:tcPr>
            <w:tcW w:w="236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Ще бъде генериран целеви обем от 5 723 млн. евро нови заеми за всички испански региони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19" w:name="_Toc399517421"/>
      <w:r>
        <w:rPr>
          <w:noProof/>
        </w:rPr>
        <w:br w:type="page"/>
      </w:r>
      <w:r>
        <w:rPr>
          <w:noProof/>
          <w:sz w:val="22"/>
        </w:rPr>
        <w:t>Специални инвестиционни механизми</w:t>
      </w:r>
      <w:bookmarkEnd w:id="19"/>
    </w:p>
    <w:tbl>
      <w:tblPr>
        <w:tblStyle w:val="MediumShading1-Accent1"/>
        <w:tblW w:w="5000" w:type="pct"/>
        <w:jc w:val="center"/>
        <w:tblLook w:val="04A0" w:firstRow="1" w:lastRow="0" w:firstColumn="1" w:lastColumn="0" w:noHBand="0" w:noVBand="1"/>
      </w:tblPr>
      <w:tblGrid>
        <w:gridCol w:w="3037"/>
        <w:gridCol w:w="2081"/>
        <w:gridCol w:w="2084"/>
        <w:gridCol w:w="208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Европейски механизъм за микрофинансиране „Прогрес“ —  FCP-FIS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(V.4.1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Отговорна генерална дирекция: EMPL и ECFIN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Европейски фонд  2020 г. – Marguerite (V.4.2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Отговорна генерална дирекция: MOVE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Европейски фонд за енергийна ефективност (V.4.3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Отговорна генерална дирекция: ENER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а) Идентификационен/основен акт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Решение № 283/2010/ЕС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 (ЕО) № 680/2007</w:t>
            </w:r>
          </w:p>
        </w:tc>
        <w:tc>
          <w:tcPr>
            <w:tcW w:w="1239" w:type="pct"/>
            <w:vAlign w:val="center"/>
          </w:tcPr>
          <w:p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 (ЕС) № 1233/2010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б) Описание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Некорпоративна съсобственост на ценни книжа и други допустими активи, насочена към увеличаване на достъпа до микрофинансиране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Общоевропейски фонд за дялово участие, който има за цел да подкрепя успешни дългосрочни инфраструктурни инвестиции в ЕС в транспорта, енергетиката и сектора на възобновяемите енергийни източници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Специализиран инвестиционен фонд (SICAV) за инвестиране в проекти за енергийна ефективност, възобновяема енергия и чист градски транспорт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в) Участващи финансови институции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ЕИФ (управляваващо дружество)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 (съинвеститор)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Съинвеститори: Франция (CDC), Италия (CdP), Германия (KfW), Испания (ICO) и Полша (PKO), както и ЕИБ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 (упълномощен субект), Deutsche Bank (инвестиционен мениджър), CDP (инвеститор)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80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63,4 млн. евро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80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31,3 млн. евро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146,3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98,6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д) Резултати от дейността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41 споразумения, подписани с финансови посредници за нови отпуснати заеми в размер на 292,1 млн. евро, предназначени за 41 060 крайни получатели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Собствен капитал в размер на 295 млн. евро, насочен към 10 проекта (3 транспортни в TEN-T и 7 в сектора на енергията от възобновяеми източници)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265 млн. евро от фонд за дялово участие (с участие на ЕС в размер на 125 млн. евро), което се очаква да подкрепи инвестиции в размер на 441 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ж) Баланс на доверителната сметка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26,8 млн. евро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5"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з) Приходи и възстановени средства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8,7 млн. евро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13,4 млн. евро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6,1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и) Стойност на капиталовите инвестиции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Нетна стойност: 59,9 млн. евро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Нетна стойност: 36,6 млн. евро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Нетна стойност: 64,29 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й) Обезценки/активирани гаранции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Не е налично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Няма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к) „Ефект на лоста“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2,33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1,8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Очакван: 4,6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125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157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5,6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Постигнат: 2,12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Подкрепа за 114 млн. евро ново финансиране, достигащо 16 025 крайни получатели;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 обхванати държави — членки на ЕС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4,9 млрд. евро за финансиране на 10 проекта, мобилизирани от собствения капитал на фонда (295 млн. евро)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финансиране за 185 млн. евро, определено за 12 проекта, от които 9 са подписали за общо инвестиции в размер на 216 млн. евро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0" w:name="_Toc420402803"/>
      <w:bookmarkStart w:id="21" w:name="_Toc420402856"/>
      <w:bookmarkStart w:id="22" w:name="_Toc420402804"/>
      <w:bookmarkStart w:id="23" w:name="_Toc420402857"/>
      <w:bookmarkStart w:id="24" w:name="_Toc399517422"/>
      <w:bookmarkEnd w:id="20"/>
      <w:bookmarkEnd w:id="21"/>
      <w:bookmarkEnd w:id="22"/>
      <w:bookmarkEnd w:id="23"/>
      <w:r>
        <w:rPr>
          <w:noProof/>
        </w:rPr>
        <w:br w:type="page"/>
      </w:r>
      <w:r>
        <w:rPr>
          <w:noProof/>
          <w:sz w:val="22"/>
        </w:rPr>
        <w:t>Финансови инструменти в страните, участващи в процеса на разширяване:</w:t>
      </w:r>
      <w:bookmarkEnd w:id="24"/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037"/>
        <w:gridCol w:w="2084"/>
        <w:gridCol w:w="2214"/>
        <w:gridCol w:w="1953"/>
      </w:tblGrid>
      <w:tr>
        <w:tc>
          <w:tcPr>
            <w:tcW w:w="1182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127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t>Механизъм за гарантиране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6"/>
            </w:r>
            <w:r>
              <w:rPr>
                <w:noProof/>
              </w:rPr>
              <w:t xml:space="preserve">— </w:t>
            </w:r>
            <w:r>
              <w:rPr>
                <w:rFonts w:ascii="Times New Roman" w:hAnsi="Times New Roman"/>
                <w:b/>
                <w:noProof/>
                <w:color w:val="FFFFFF"/>
              </w:rPr>
              <w:t>GF WB (V.5.1 SWD)</w:t>
            </w:r>
            <w:r>
              <w:rPr>
                <w:noProof/>
              </w:rPr>
              <w:t xml:space="preserve"> Отговорна Генерална дирекция:</w:t>
            </w: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 NEAR</w:t>
            </w:r>
          </w:p>
        </w:tc>
        <w:tc>
          <w:tcPr>
            <w:tcW w:w="134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Фонд за разширяване на предприятията — ENEF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7"/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(V.5.2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NEAR</w:t>
            </w:r>
          </w:p>
        </w:tc>
        <w:tc>
          <w:tcPr>
            <w:tcW w:w="1202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Фонд за иновации в предприятията - ENIF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8"/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(V.5.3 SWD);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NEAR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Гаранционен инструмент за създаване на условия за появата и развитието на иновационни дружества с голям потенциал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капиталов инструмент за финансиране на развитието и разрастването на вече съществуващи МСП в Западните Балкани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Капиталов инструмент за финансиране на ранен етап на иновативни МСП на Западните Балкани</w:t>
            </w:r>
          </w:p>
        </w:tc>
      </w:tr>
      <w:tr>
        <w:trPr>
          <w:trHeight w:val="767"/>
        </w:trPr>
        <w:tc>
          <w:tcPr>
            <w:tcW w:w="1182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 (попечител)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ЕБВР, DEG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 (попечител)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ЕБВР, KfW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21,9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21,9 млн. евро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10,4 млн. евро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 млн. евро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споразумения, подписани с финансови посредници за нови отпуснати заеми в размер на 98 млн. евро, предназначени за крайни получатели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9,5 млн. евро поети задължения към Фонда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Очаква се ENIF да бъде включен през 2015 г.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20,57 млн. евро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9,97 млн. евро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21,25 млн. евро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24 004 евро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5,5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1,5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(Очакван: 4,5)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10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7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2</w:t>
            </w:r>
          </w:p>
        </w:tc>
      </w:tr>
      <w:tr>
        <w:trPr>
          <w:trHeight w:val="761"/>
        </w:trP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32,5 млн. евро ново финансиране, достигащо 532 крайни получатели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Очаквана подкрепа от 77 млн. евро за финансирането за 10-14 крайни получатели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Целенасочена подкрепа от 40 млн. евро за капиталово финансиране 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tbl>
      <w:tblPr>
        <w:tblW w:w="5018" w:type="pct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550"/>
        <w:gridCol w:w="2235"/>
      </w:tblGrid>
      <w:tr>
        <w:trPr>
          <w:trHeight w:val="2171"/>
        </w:trPr>
        <w:tc>
          <w:tcPr>
            <w:tcW w:w="1141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1292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t>Европейски фонд за Югоизточна Европа — EFSE (V.5.4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NEAR</w:t>
            </w:r>
          </w:p>
        </w:tc>
        <w:tc>
          <w:tcPr>
            <w:tcW w:w="1368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Фонд „Екология за растеж“ — GGF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(V.5.5 SWD)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Отговорна генерална дирекция: ГД „Политика за съседство и преговори за разширяване“ </w:t>
            </w:r>
          </w:p>
        </w:tc>
        <w:tc>
          <w:tcPr>
            <w:tcW w:w="1199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t xml:space="preserve">Заем за възстановяване на МСП за Турция— RSL (V.5.6 SWD)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NEAR</w:t>
            </w:r>
          </w:p>
        </w:tc>
      </w:tr>
      <w:tr>
        <w:trPr>
          <w:trHeight w:val="968"/>
        </w:trP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1085/2006 на Съвета</w:t>
            </w:r>
          </w:p>
        </w:tc>
      </w:tr>
      <w:tr>
        <w:trPr>
          <w:trHeight w:val="2684"/>
        </w:trP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Публично-частно партньорство за подпомагане развитието на частния сектор в района на разширяване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Иновационен фонд, който да предостави финансиране за проекти за енергийна ефективност и възобновяема енергия в Югоизточна Европа и Турция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за съвместно финансиране за смекчаване на въздействието на кризата и подпомагане на МСП с цел развитие на турската икономика</w:t>
            </w:r>
          </w:p>
        </w:tc>
      </w:tr>
      <w:tr>
        <w:trPr>
          <w:trHeight w:val="1673"/>
        </w:trP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 (попечител)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Други инвеститори (напр. ЕБВР, KfW, ЕИБ)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 (попечител)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Съинвеститори (например ЕИБ, ЕБВР и KfW)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 (партньор за поделяне на риска)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Halkbank, Akbank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26,2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26,0 млн. евро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38,6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38,6 млн. евро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млн. евро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Участието на ЕС със 112,6 млн. евро се очаква да подкрепи финансиране в размер на 1 млрд. евро за крайните получатели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Участието на ЕС със 38,6 млн. евро се очаква да подкрепи финансиране в размер на 281 млн. евро за крайните получатели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265 заеми, изплащани на крайните получатели, насочени към създаване на 5 000 нови работни места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52 840 евро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112,6 млн. евро (на равнище EFSE)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39,3 млн. евро (на равнище GGF)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36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7,2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4,8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10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10</w:t>
            </w:r>
          </w:p>
        </w:tc>
      </w:tr>
      <w:tr>
        <w:trPr>
          <w:trHeight w:val="761"/>
        </w:trP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left="17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EFSE е мобилизирал 3,2 млрд. евро за финансиране на допустимите крайни получатели (микропредприятия и домакинства);</w:t>
            </w:r>
          </w:p>
          <w:p>
            <w:pPr>
              <w:ind w:left="17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EFSE е международен модел за микрофинансиране (вж. работния документ на службите на Комисията)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за 185,1 млн. евро ново финансиране, достигащо 11 375 крайни получатели;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1 049 745 MWh/yr. годишни икономии на енергия;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Намаляване на емисиите на CO</w:t>
            </w:r>
            <w:r>
              <w:rPr>
                <w:rFonts w:ascii="Times New Roman" w:hAnsi="Times New Roman"/>
                <w:noProof/>
                <w:vertAlign w:val="subscript"/>
              </w:rPr>
              <w:t>2</w:t>
            </w:r>
            <w:r>
              <w:rPr>
                <w:rFonts w:ascii="Times New Roman" w:hAnsi="Times New Roman"/>
                <w:noProof/>
              </w:rPr>
              <w:t xml:space="preserve"> с 428 447 тона/годишно.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Подкрепа за 299,64 млн. евро ново финансиране, достигащо 265 допустими крайни получатели;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5" w:name="_Toc399517423"/>
      <w:r>
        <w:rPr>
          <w:noProof/>
        </w:rPr>
        <w:br w:type="page"/>
      </w:r>
      <w:r>
        <w:rPr>
          <w:noProof/>
          <w:sz w:val="22"/>
        </w:rPr>
        <w:t>Финансови инструменти за държавите, обхванати от политиката на добросъседство, и държавите по ИСР</w:t>
      </w:r>
      <w:bookmarkEnd w:id="25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323"/>
        <w:gridCol w:w="2321"/>
      </w:tblGrid>
      <w:tr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2409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t>Инструмент за инвестиции в рамките на ЕДС – NIF (V.6.1 SWD)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NEAR</w:t>
            </w:r>
          </w:p>
        </w:tc>
        <w:tc>
          <w:tcPr>
            <w:tcW w:w="2323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Механизъм за инвестиции в Централна Азия  IFCA (V.6.2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DEVCO</w:t>
            </w:r>
          </w:p>
        </w:tc>
        <w:tc>
          <w:tcPr>
            <w:tcW w:w="232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Asian Investment Facility — AIF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(V.6.2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DEVCO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1638/2006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pStyle w:val="ListParagraph"/>
              <w:spacing w:line="240" w:lineRule="auto"/>
              <w:ind w:left="0" w:right="142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Регламент (ЕО) № 1905/2006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1905/2006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30" w:after="3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за мобилизиране на инвестиции в подкрепа на добросъседските отношения и просперитет.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за насърчаване на инвестиции и ключови инфраструктури с акцент върху енергетиката и околната среда.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за насърчаване на инвестиции и ключови инфраструктури с акцент върху климатичните изменения, „зелените“ инвестиции, МСП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ЕИБ, ЕБВР, CEB, NIB, AFD, KfW, AECID, SIMEST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ЕИБ, ЕБВР, NIB, KfW, AFD, SIMEST, AECID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ЕИБ, ЕБВР, NIB, KfW, AFD, SIMEST, AECID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1 159,1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448,9 млн. евро (SANAD: 10,2 млн. евро; EFSE: 5 млн. евро GGF: 13,4 млн. евро)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85,6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27,5 млн. евро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17,95 млн. евро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101 одобрени проекта; показателно за нарастващия капацитет за мобилизация 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финансирани проекта с помощта на 82 млн. евро участие на Съюза и мобилизиране на още 342 млн. евро чрез EFI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 одобрени проекта с помощта на 62 млн. евро участие на Съюза и мобилизиране на още 1 млрд. евро чрез EFI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SANAD: 1,0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GGF: 2,7 млн. евро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MIFA „Дългов фонд“:                                   2,0 млн. евро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За Инвестиционния механизъм за Централна Азия (IFCA)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23,0 млн. евро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9,4 млн. долара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За Инвестиционния механизъм за Централна Азия (IFCA)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Няма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4 -5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Очакван: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9"/>
            </w:r>
            <w:r>
              <w:rPr>
                <w:rFonts w:ascii="Times New Roman" w:hAnsi="Times New Roman"/>
                <w:noProof/>
              </w:rPr>
              <w:t xml:space="preserve"> 21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4 -5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5,6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4 -5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32,98</w:t>
            </w:r>
          </w:p>
        </w:tc>
      </w:tr>
      <w:tr>
        <w:trPr>
          <w:trHeight w:val="761"/>
        </w:trP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подкрепа с 26 млрд. евро от общите разходи за проекта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подкрепа с 465 млн. евро от общия инвестиционен обем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подкрепа с 2,1 млрд. евро от общите инвестиции за проекта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2409"/>
        <w:gridCol w:w="2410"/>
      </w:tblGrid>
      <w:tr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2518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Механизъм за инвестиции в Латинска Америка — LAIF (V.6.3 SWD)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DEVCO</w:t>
            </w:r>
          </w:p>
        </w:tc>
        <w:tc>
          <w:tcPr>
            <w:tcW w:w="240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Подкрепа за Инструмента за EMIP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10"/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(V.6.4 SWD)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NEAR</w:t>
            </w:r>
          </w:p>
        </w:tc>
        <w:tc>
          <w:tcPr>
            <w:tcW w:w="241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GEEREF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Отговорна генерална дирекция: DEVCO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а) Идентификационен/основен акт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1905/2006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1638/2006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(ЕО) № 1905/2006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б) Описание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Инструмент, който има за цел насърчаването на инвестициите и инфраструктури в сектори като транспорта, енергетиката, околната среда и социалния сектор в Латинска Америка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Инструмент за осигуряване на капитал за частния сектор при условия, които не са налични на местно равнище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Новаторски механизъм за финансиране, чиято цел е да се насърчават проекти за енергийна ефективност и възобновяема енергия чрез регионални фондове за дялово участие 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в) Участващи финансови институции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EИБ, AFD, AECID, KfW и SIMEST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ЕИФ (попечител)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ЕИБ, Германия, Норвегия и др. (съинвеститори)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г) Общ размер на бюджетните задължения и плащания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210,4 млн. евро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104,8 млн. евро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Гише по изменението на климата: 17,3 млн. евро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15,8 млн. евро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224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224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81,1 млн. евро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79,5 млн. евро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д) Резултати от дейността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 одобрени проекта с участие на Съюза в размер на 204 млн. евро и мобилизиране на още 2,9 млрд. евро чрез EFI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 млн. евро бяха отпуснати за 20 операции за техническа помощ;</w:t>
            </w:r>
          </w:p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180,2 млн. евро бяха отпуснати за 28 операции с рисков капитал;</w:t>
            </w:r>
          </w:p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 млн. евро бяха отпуснати за 2 операции за микрофинансиране;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 инвестиции в регионални фондове за дялово участие, с обща стойност на GEEREF в размер на 61,9 млн. евро;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 млн. евро вече са изплатени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Суми, използвани изцяло за инструмента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ж) Баланс на доверителната сметка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102,8 млн. евро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1,7 млн. евро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з) Приходи и възстановени средства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6,8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и) Стойност на капиталовите инвестиции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7,2 млн. евро</w:t>
            </w:r>
          </w:p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Фондове за рисков капитал: 46,2 млн. евро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70,3 млн. евро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й) Обезценки/активирани гаранции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7,7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Няма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к) „Ефект на лоста“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4 -5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28,2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20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Целеви: 2 -2,5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Постигнат: 2,3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1"/>
            </w:r>
          </w:p>
        </w:tc>
      </w:tr>
      <w:tr>
        <w:trPr>
          <w:trHeight w:val="761"/>
        </w:trP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л) Принос към постигането на целите на политиката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Обща сума на инвестиционните разходи в размер на 6,6 млрд. евро за 27 проекта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left="31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Подкрепа с 6,7 млрд. евро за финансирането на проекта </w:t>
            </w:r>
          </w:p>
          <w:p>
            <w:pPr>
              <w:ind w:left="31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Съфинансиране от ЕИБ с 2,3 млрд. 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0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Подкрепа с 1 млрд. евро за нови инвестиции, която следва да осигури устойчиви енергийни услуги за 3 млн. души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Действащият Финансов регламент и неговите правила за прилагане се нуждаят от единен подход при докладването за „ефекта на лоста“. Тъй като разпоредбите, свързани с финансови инструменти, влязоха в сила от януари 2014 г., подходът ще бъде приложен по отношение на финансовите инструменти за 2014—2020 г.</w:t>
      </w:r>
    </w:p>
  </w:footnote>
  <w:footnote w:id="2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Обща сума на поетите задължения (вж. също работния документ на службите на Комисията).</w:t>
      </w:r>
    </w:p>
  </w:footnote>
  <w:footnote w:id="3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Плащане в размер на 84 милиона евро се очакваше през 2014 г., но бе направено едва в началото на 2015 г.</w:t>
      </w:r>
    </w:p>
  </w:footnote>
  <w:footnote w:id="4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3,25 млн. евро бяха изплатени на 29 декември 2014 г. и влязоха в доверителна сметка на 6 януари 2015 г.</w:t>
      </w:r>
    </w:p>
  </w:footnote>
  <w:footnote w:id="5">
    <w:p>
      <w:pPr>
        <w:pStyle w:val="FootnoteText"/>
        <w:spacing w:before="0" w:after="120"/>
        <w:ind w:left="284" w:hanging="426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Бяха създадени две доверителни сметки, но те не са доверителни сметки, както е определено в приложение 5:</w:t>
      </w:r>
      <w:r>
        <w:rPr>
          <w:i/>
          <w:sz w:val="18"/>
        </w:rPr>
        <w:t xml:space="preserve"> Насоки по член 140, параграф 8</w:t>
      </w:r>
      <w:r>
        <w:t xml:space="preserve"> (</w:t>
      </w:r>
      <w:hyperlink r:id="rId1">
        <w:r>
          <w:rPr>
            <w:rStyle w:val="Hyperlink"/>
            <w:sz w:val="18"/>
          </w:rPr>
          <w:t>http://myintracomm.ec.testa.eu/budgweb/EN/imp/financial-instruments/Pages/financial-instruments-2015.aspx</w:t>
        </w:r>
      </w:hyperlink>
      <w:r>
        <w:rPr>
          <w:sz w:val="18"/>
        </w:rPr>
        <w:t>):</w:t>
      </w:r>
      <w:r>
        <w:tab/>
      </w:r>
    </w:p>
    <w:p>
      <w:pPr>
        <w:pStyle w:val="FootnoteText"/>
        <w:numPr>
          <w:ilvl w:val="0"/>
          <w:numId w:val="26"/>
        </w:numPr>
        <w:spacing w:before="0" w:after="120"/>
        <w:ind w:left="709" w:hanging="283"/>
        <w:jc w:val="both"/>
      </w:pPr>
      <w:r>
        <w:rPr>
          <w:sz w:val="18"/>
        </w:rPr>
        <w:t>Доверителната сметка на фонда е кредитирана с частта от участието на ЕС, което ще бъде използвано в рамките на Фонда, плюс натрупаните лихви, и дебитирана с участието на ЕС във Фонда. Салдото към 31.12.2014 г. възлиза на 24,9 млн. евро;</w:t>
      </w:r>
    </w:p>
    <w:p>
      <w:pPr>
        <w:pStyle w:val="FootnoteText"/>
        <w:numPr>
          <w:ilvl w:val="0"/>
          <w:numId w:val="26"/>
        </w:numPr>
        <w:spacing w:before="0" w:after="120"/>
        <w:ind w:left="709" w:hanging="283"/>
        <w:jc w:val="both"/>
      </w:pPr>
      <w:r>
        <w:rPr>
          <w:sz w:val="18"/>
        </w:rPr>
        <w:t>Доверителната сметка за техническата помощ е кредитирана с частта от участието на ЕС, което следва да се използва за техническа помощ, с натрупаните лихви и финансовите средства, възстановени от техническа помощ, и дебитирана с финансовото участие на ЕС в допустимите разходи за техническа помощ, външните одиторски разходи, средствата, които трябва да бъдат върнати на Комисията, и с таксата за управление на техническата помощ. Салдото към 31.12.2014 г. възлиза на 1,9 млн. евро;</w:t>
      </w:r>
    </w:p>
  </w:footnote>
  <w:footnote w:id="6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Механизъм за развитие на предприятията и иновациите за Западните Балкани (WB EDIF).</w:t>
      </w:r>
    </w:p>
  </w:footnote>
  <w:footnote w:id="7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По WB EDIF.</w:t>
      </w:r>
    </w:p>
  </w:footnote>
  <w:footnote w:id="8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</w:rPr>
        <w:t>Idem</w:t>
      </w:r>
      <w:r>
        <w:t>.</w:t>
      </w:r>
    </w:p>
  </w:footnote>
  <w:footnote w:id="9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Може да се изчисли приблизително, като се сведе до постигнат ефект на лоста, вж. работния документ на службите на Комисията.</w:t>
      </w:r>
    </w:p>
  </w:footnote>
  <w:footnote w:id="10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Евро-средиземноморски инвестиции и партньорство (EMIP).</w:t>
      </w:r>
    </w:p>
  </w:footnote>
  <w:footnote w:id="1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Настоящият „ефект на лоста“ на равнище крайни получатели е 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52B"/>
    <w:multiLevelType w:val="hybridMultilevel"/>
    <w:tmpl w:val="CD049374"/>
    <w:styleLink w:val="1111111"/>
    <w:lvl w:ilvl="0" w:tplc="C4B26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517"/>
    <w:multiLevelType w:val="hybridMultilevel"/>
    <w:tmpl w:val="35AA3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4FF"/>
    <w:multiLevelType w:val="multilevel"/>
    <w:tmpl w:val="F9F01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8EE"/>
    <w:multiLevelType w:val="hybridMultilevel"/>
    <w:tmpl w:val="6AB87428"/>
    <w:lvl w:ilvl="0" w:tplc="00007380">
      <w:start w:val="1"/>
      <w:numFmt w:val="lowerLetter"/>
      <w:lvlRestart w:val="0"/>
      <w:pStyle w:val="Heading5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D422F80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653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2F11FC6"/>
    <w:multiLevelType w:val="multilevel"/>
    <w:tmpl w:val="B38ECDF0"/>
    <w:styleLink w:val="11111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503D7D"/>
    <w:multiLevelType w:val="multilevel"/>
    <w:tmpl w:val="64CA2D9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Heading4bi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bi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DC5D18"/>
    <w:multiLevelType w:val="hybridMultilevel"/>
    <w:tmpl w:val="5E845C8E"/>
    <w:lvl w:ilvl="0" w:tplc="2132D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22E3"/>
    <w:multiLevelType w:val="hybridMultilevel"/>
    <w:tmpl w:val="10FCDBC6"/>
    <w:lvl w:ilvl="0" w:tplc="D39A6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10">
    <w:nsid w:val="4B40124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26"/>
    <w:multiLevelType w:val="hybridMultilevel"/>
    <w:tmpl w:val="9EF6BB8C"/>
    <w:lvl w:ilvl="0" w:tplc="A36E351E">
      <w:start w:val="1"/>
      <w:numFmt w:val="bullet"/>
      <w:pStyle w:val="Key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2424">
      <w:start w:val="2"/>
      <w:numFmt w:val="bullet"/>
      <w:lvlText w:val="•"/>
      <w:lvlJc w:val="left"/>
      <w:pPr>
        <w:ind w:left="2370" w:hanging="57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B4628"/>
    <w:multiLevelType w:val="hybridMultilevel"/>
    <w:tmpl w:val="F1F62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A5764"/>
    <w:multiLevelType w:val="hybridMultilevel"/>
    <w:tmpl w:val="9C68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D69EB"/>
    <w:multiLevelType w:val="hybridMultilevel"/>
    <w:tmpl w:val="4EE4D2F2"/>
    <w:lvl w:ilvl="0" w:tplc="3DF2C3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1653D02"/>
    <w:multiLevelType w:val="hybridMultilevel"/>
    <w:tmpl w:val="977AC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B088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3902"/>
    <w:multiLevelType w:val="hybridMultilevel"/>
    <w:tmpl w:val="6894725A"/>
    <w:lvl w:ilvl="0" w:tplc="67440BF2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53B3"/>
    <w:multiLevelType w:val="hybridMultilevel"/>
    <w:tmpl w:val="F5E60D02"/>
    <w:lvl w:ilvl="0" w:tplc="434E88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60AD8"/>
    <w:multiLevelType w:val="hybridMultilevel"/>
    <w:tmpl w:val="BB6E089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AD412C9"/>
    <w:multiLevelType w:val="hybridMultilevel"/>
    <w:tmpl w:val="B80AFFEA"/>
    <w:lvl w:ilvl="0" w:tplc="4F88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013F7"/>
    <w:multiLevelType w:val="multilevel"/>
    <w:tmpl w:val="C8B4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4A"/>
    <w:multiLevelType w:val="hybridMultilevel"/>
    <w:tmpl w:val="4DCCF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B8"/>
    <w:multiLevelType w:val="hybridMultilevel"/>
    <w:tmpl w:val="A9965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73C7"/>
    <w:multiLevelType w:val="hybridMultilevel"/>
    <w:tmpl w:val="24761A48"/>
    <w:lvl w:ilvl="0" w:tplc="77268220">
      <w:start w:val="1"/>
      <w:numFmt w:val="upperLetter"/>
      <w:pStyle w:val="Heading4"/>
      <w:lvlText w:val="%1 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B6A27F8">
      <w:start w:val="1"/>
      <w:numFmt w:val="lowerLetter"/>
      <w:lvlText w:val="(%2)"/>
      <w:lvlJc w:val="left"/>
      <w:pPr>
        <w:ind w:left="1140" w:hanging="360"/>
      </w:pPr>
      <w:rPr>
        <w:rFonts w:hint="default"/>
      </w:rPr>
    </w:lvl>
    <w:lvl w:ilvl="2" w:tplc="87EA8504">
      <w:start w:val="2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3" w:tplc="130AAAFE">
      <w:start w:val="1"/>
      <w:numFmt w:val="lowerRoman"/>
      <w:lvlText w:val="%4)"/>
      <w:lvlJc w:val="left"/>
      <w:pPr>
        <w:ind w:left="2940" w:hanging="720"/>
      </w:pPr>
      <w:rPr>
        <w:rFonts w:hint="default"/>
      </w:rPr>
    </w:lvl>
    <w:lvl w:ilvl="4" w:tplc="2752EBEE">
      <w:start w:val="1"/>
      <w:numFmt w:val="decimal"/>
      <w:lvlText w:val="%5."/>
      <w:lvlJc w:val="left"/>
      <w:pPr>
        <w:ind w:left="33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7C247A"/>
    <w:multiLevelType w:val="hybridMultilevel"/>
    <w:tmpl w:val="1BC0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24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1"/>
  </w:num>
  <w:num w:numId="20">
    <w:abstractNumId w:val="19"/>
  </w:num>
  <w:num w:numId="21">
    <w:abstractNumId w:val="22"/>
  </w:num>
  <w:num w:numId="22">
    <w:abstractNumId w:val="15"/>
  </w:num>
  <w:num w:numId="23">
    <w:abstractNumId w:val="23"/>
  </w:num>
  <w:num w:numId="24">
    <w:abstractNumId w:val="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02267B61FFE4DDDAEF6A480CDC7F1CE"/>
    <w:docVar w:name="LW_CROSSREFERENCE" w:val="{SWD(2015) 206 final}"/>
    <w:docVar w:name="LW_DocType" w:val="NORMAL"/>
    <w:docVar w:name="LW_EMISSION" w:val="13.11.2015"/>
    <w:docVar w:name="LW_EMISSION_ISODATE" w:val="2015-11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80?\u1085?\u1089?\u1090?\u1088?\u1091?\u1084?\u1077?\u1085?\u1090?\u1080?, \u1087?\u1086?\u1076?\u1082?\u1088?\u1077?\u1087?\u1077?\u1085?\u1080? \u1086?\u1090? \u1086?\u1073?\u1097?\u1080?\u1103? \u1073?\u1102?\u1076?\u1078?\u1077?\u1090? \u1089?\u1098?\u1075?\u1083?\u1072?\u1089?\u1085?\u1086? \u1095?\u1083?\u1077?\u1085? 140, \u1087?\u1072?\u1088?\u1072?\u1075?\u1088?\u1072?\u1092? 8 \u1086?\u1090? \u1060?\u1080?\u1085?\u1072?\u1085?\u1089?\u1086?\u1074?\u1080?\u1103? \u1088?\u1077?\u1075?\u1083?\u1072?\u1084?\u1077?\u1085?\u1090? \u1082?\u1098?\u1084? 31 \u1076?\u1077?\u1082?\u1077?\u1084?\u1074?\u1088?\u1080? 2014 \u1075?. "/>
    <w:docVar w:name="LW_PART_NBR" w:val="1"/>
    <w:docVar w:name="LW_PART_NBR_TOTAL" w:val="1"/>
    <w:docVar w:name="LW_REF.INST.NEW" w:val="COM"/>
    <w:docVar w:name="LW_REF.INST.NEW_ADOPTED" w:val="final"/>
    <w:docVar w:name="LW_REF.INST.NEW_TEXT" w:val="(2015) 5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yintracomm.ec.testa.eu/budgweb/EN/imp/financial-instruments/Pages/financial-instruments-20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3926</Words>
  <Characters>21638</Characters>
  <Application>Microsoft Office Word</Application>
  <DocSecurity>0</DocSecurity>
  <Lines>1803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11</cp:revision>
  <dcterms:created xsi:type="dcterms:W3CDTF">2015-09-23T15:23:00Z</dcterms:created>
  <dcterms:modified xsi:type="dcterms:W3CDTF">2015-11-13T08:23:00Z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