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EA3F3513E1F4978AF9723FF162B92BA" style="width:450.35pt;height:393.3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color w:val="00B050"/>
        </w:rPr>
      </w:pPr>
      <w:r>
        <w:rPr>
          <w:noProof/>
        </w:rPr>
        <w:t xml:space="preserve">Целта на настоящото предложение е да осигури възможност Съюзът да се присъедини към консенсуса в Световната търговска организация (СТО) относно приемането от страна на Министерската конференция на СТО на две решения във връзка със: 1) мораториум върху митата върху предоставяните по електронен път услуги („мораториум за електронната търговия“) и 2) </w:t>
      </w:r>
      <w:r>
        <w:rPr>
          <w:rStyle w:val="Corpsdutexte"/>
          <w:noProof/>
          <w:color w:val="000000"/>
        </w:rPr>
        <w:t xml:space="preserve"> </w:t>
      </w:r>
      <w:r>
        <w:rPr>
          <w:noProof/>
        </w:rPr>
        <w:t xml:space="preserve">прилагането на </w:t>
      </w:r>
      <w:r>
        <w:rPr>
          <w:rStyle w:val="Corpsdutexte"/>
          <w:noProof/>
          <w:color w:val="000000"/>
        </w:rPr>
        <w:t>член XXIII, параграф 1, букви б) и в) от ГАТТ от 1994 г. относно „</w:t>
      </w:r>
      <w:r>
        <w:rPr>
          <w:noProof/>
        </w:rPr>
        <w:t xml:space="preserve">жалби при липса на нарушение и при друга ситуация“ </w:t>
      </w:r>
      <w:r>
        <w:rPr>
          <w:rStyle w:val="Corpsdutexte"/>
          <w:noProof/>
          <w:color w:val="000000"/>
        </w:rPr>
        <w:t xml:space="preserve">към уреждането на спорове съгласно </w:t>
      </w:r>
      <w:r>
        <w:rPr>
          <w:noProof/>
        </w:rPr>
        <w:t>Споразумението за свързаните с търговията аспекти на правата върху интелектуалната собственост („Споразумението за ТРИПС“).</w:t>
      </w:r>
      <w:r>
        <w:rPr>
          <w:noProof/>
          <w:color w:val="00B050"/>
        </w:rPr>
        <w:t xml:space="preserve"> </w:t>
      </w:r>
    </w:p>
    <w:p>
      <w:pPr>
        <w:rPr>
          <w:rFonts w:eastAsia="Calibri"/>
          <w:noProof/>
        </w:rPr>
      </w:pPr>
      <w:r>
        <w:rPr>
          <w:noProof/>
        </w:rPr>
        <w:t xml:space="preserve">Съюзът винаги е подкрепял удължаването на мораториума за електронната търговия, тъй като електронната търговия представлява услуга и поради това тя не следва да се облага с мита. Освен това мораториумът осигурява значителни икономически ползи за дружествата от Съюза. </w:t>
      </w:r>
    </w:p>
    <w:p>
      <w:pPr>
        <w:rPr>
          <w:rStyle w:val="Corpsdutexte"/>
          <w:noProof/>
          <w:color w:val="000000"/>
        </w:rPr>
      </w:pPr>
      <w:r>
        <w:rPr>
          <w:rStyle w:val="Corpsdutexte"/>
          <w:noProof/>
          <w:color w:val="000000"/>
        </w:rPr>
        <w:t xml:space="preserve">В Споразумението за ТРИПС </w:t>
      </w:r>
      <w:r>
        <w:rPr>
          <w:noProof/>
        </w:rPr>
        <w:t xml:space="preserve">беше предвиден </w:t>
      </w:r>
      <w:r>
        <w:rPr>
          <w:rStyle w:val="Corpsdutexte"/>
          <w:noProof/>
          <w:color w:val="000000"/>
        </w:rPr>
        <w:t>мораториум</w:t>
      </w:r>
      <w:r>
        <w:rPr>
          <w:noProof/>
        </w:rPr>
        <w:t xml:space="preserve"> за срок </w:t>
      </w:r>
      <w:r>
        <w:rPr>
          <w:rStyle w:val="Corpsdutexte"/>
          <w:noProof/>
          <w:color w:val="000000"/>
        </w:rPr>
        <w:t xml:space="preserve">от пет години, считано от влизането на Споразумението в сила през 1995 г., във връзка с </w:t>
      </w:r>
      <w:r>
        <w:rPr>
          <w:noProof/>
        </w:rPr>
        <w:t xml:space="preserve">прилагането на член XXIII, параграф 1, букви б) и в) относно жалбите при липса на нарушение и при друга ситуация при уреждането на спорове в рамките на ТРИПС (член 64, параграф 2 от ТРИПС). През този период не беше постигнат консенсус съгласно член 64, параграф 3 от ТРИПС относно </w:t>
      </w:r>
      <w:r>
        <w:rPr>
          <w:rStyle w:val="Corpsdutexte"/>
          <w:noProof/>
          <w:color w:val="000000"/>
        </w:rPr>
        <w:t>обхвата и условията на жалбите при липса на нарушение и при друга ситуация</w:t>
      </w:r>
      <w:r>
        <w:rPr>
          <w:noProof/>
        </w:rPr>
        <w:t>.</w:t>
      </w:r>
    </w:p>
    <w:p>
      <w:pPr>
        <w:rPr>
          <w:rStyle w:val="Corpsdutexte"/>
          <w:noProof/>
          <w:color w:val="000000"/>
        </w:rPr>
      </w:pPr>
      <w:r>
        <w:rPr>
          <w:noProof/>
        </w:rPr>
        <w:t xml:space="preserve">След изтичането на първоначалния петгодишен срок </w:t>
      </w:r>
      <w:r>
        <w:rPr>
          <w:rStyle w:val="Corpsdutexte"/>
          <w:noProof/>
          <w:color w:val="000000"/>
        </w:rPr>
        <w:t xml:space="preserve">Министерската конференция на СТО периодически удължава суспендирането </w:t>
      </w:r>
      <w:r>
        <w:rPr>
          <w:noProof/>
        </w:rPr>
        <w:t xml:space="preserve">с решение, взето с консенсус в съответствие с член 64, параграф 3 от ТРИПС, като такова удължение е в сила </w:t>
      </w:r>
      <w:r>
        <w:rPr>
          <w:rStyle w:val="Corpsdutexte"/>
          <w:noProof/>
          <w:color w:val="000000"/>
        </w:rPr>
        <w:t xml:space="preserve">до следващата сесия. Последното удължаване на срока от 11 декември 2013 г. обхваща периода до Министерската конференция през 2015 г. С решенията на Министерските конференции на СТО се дават указания на </w:t>
      </w:r>
      <w:r>
        <w:rPr>
          <w:noProof/>
        </w:rPr>
        <w:t>Съвета по ТРИПС</w:t>
      </w:r>
      <w:r>
        <w:rPr>
          <w:rStyle w:val="Corpsdutexte"/>
          <w:noProof/>
          <w:color w:val="000000"/>
        </w:rPr>
        <w:t xml:space="preserve"> да продължи да проучва обхвата и условията във връзка с жалбите, предвидени в член XXIII, параграф 1, букви б) и в) от ГАТТ от 1994 г., и да излезе с препоръки на следващата си сесия. В решенията се </w:t>
      </w:r>
      <w:r>
        <w:rPr>
          <w:noProof/>
        </w:rPr>
        <w:t xml:space="preserve">посочва също така, че </w:t>
      </w:r>
      <w:r>
        <w:rPr>
          <w:rStyle w:val="Corpsdutexte"/>
          <w:noProof/>
          <w:color w:val="000000"/>
        </w:rPr>
        <w:t>е постигната договореност, че междувременно членовете няма да инициират подобни жалби съгласно Споразумението за ТРИПС.</w:t>
      </w:r>
    </w:p>
    <w:p>
      <w:pPr>
        <w:rPr>
          <w:rFonts w:eastAsia="SimSun"/>
          <w:noProof/>
        </w:rPr>
      </w:pPr>
      <w:r>
        <w:rPr>
          <w:rStyle w:val="Corpsdutexte"/>
          <w:noProof/>
          <w:color w:val="000000"/>
        </w:rPr>
        <w:t>За момента консенсус относно обхвата и условията не е постигнат.</w:t>
      </w:r>
    </w:p>
    <w:p>
      <w:pPr>
        <w:rPr>
          <w:noProof/>
        </w:rPr>
      </w:pPr>
      <w:r>
        <w:rPr>
          <w:noProof/>
        </w:rPr>
        <w:t xml:space="preserve">В предложението се предвижда Съветът да упълномощи Комисията да заеме позиция от името на Европейския съюз в рамките на СТО и да се присъедини към консенсуса по отношение на безсрочното удължаване на „мораториума за електронната търговия“ (или за удължаването му на всяка Министерска конференция, на която мораториумът за електронната търговия се предлага за приемане) и удължаването на мораториума върху жалбите при липса на нарушение и при друга ситуация съгласно Споразумението за ТРИПС, докато Министерската конференция на СТО вземе решение относно обхвата и условията на жалбите при липса на нарушение и при друга ситуация. </w:t>
      </w:r>
    </w:p>
    <w:p>
      <w:pPr>
        <w:pStyle w:val="ManualHeading2"/>
        <w:rPr>
          <w:rFonts w:eastAsia="Arial Unicode MS"/>
          <w:noProof/>
          <w:color w:val="000000"/>
          <w:u w:color="000000"/>
          <w:bdr w:val="nil"/>
        </w:rPr>
      </w:pPr>
      <w:r>
        <w:rPr>
          <w:noProof/>
          <w:color w:val="000000"/>
          <w:u w:color="000000"/>
          <w:bdr w:val="nil"/>
        </w:rPr>
        <w:lastRenderedPageBreak/>
        <w:t>•</w:t>
      </w:r>
      <w:r>
        <w:rPr>
          <w:noProof/>
        </w:rPr>
        <w:tab/>
        <w:t>Съгласуваност със съществуващите разпоредби в тази област на политиката, както и с други политики на Съюза</w:t>
      </w:r>
    </w:p>
    <w:p>
      <w:pPr>
        <w:pBdr>
          <w:top w:val="nil"/>
          <w:left w:val="nil"/>
          <w:bottom w:val="nil"/>
          <w:right w:val="nil"/>
          <w:between w:val="nil"/>
          <w:bar w:val="nil"/>
        </w:pBdr>
        <w:spacing w:before="0" w:after="240"/>
        <w:rPr>
          <w:rFonts w:eastAsia="Arial Unicode MS"/>
          <w:noProof/>
        </w:rPr>
      </w:pPr>
      <w:r>
        <w:rPr>
          <w:noProof/>
        </w:rPr>
        <w:t xml:space="preserve">Инициативата е напълно съвместима със съществуващите разпоредби в тази област на политиката. Подобни решения са изготвяни за предишни Министерски конференции на СТО, последната от които е 9-та министерска конференция на СТО през 2013 г. </w:t>
      </w:r>
    </w:p>
    <w:p>
      <w:pPr>
        <w:pStyle w:val="ManualHeading1"/>
        <w:rPr>
          <w:noProof/>
        </w:rPr>
      </w:pPr>
      <w:r>
        <w:rPr>
          <w:noProof/>
        </w:rPr>
        <w:t>2.</w:t>
      </w:r>
      <w:r>
        <w:rPr>
          <w:noProof/>
        </w:rPr>
        <w:tab/>
        <w:t>ПРАВНО ОСНОВАНИЕ, СУБСИДИАРНОСТ И ПРОПОРЦИОНАЛНОСТ</w:t>
      </w:r>
    </w:p>
    <w:p>
      <w:pPr>
        <w:rPr>
          <w:noProof/>
        </w:rPr>
      </w:pPr>
      <w:r>
        <w:rPr>
          <w:noProof/>
        </w:rPr>
        <w:t>В член 218, параграф 9 от Договора за функционирането на Европейския съюз (ДФЕС) е предвидено, че когато в рамките на орган, създаден с международно споразумение, трябва да бъде взето решение, имащо правно действие, Съветът, по предложение на Комисията или на върховния представител на Съюза по въпросите на външните работи и политиката на сигурност, приема решение за установяване на позицията, която трябва да бъде приета от името на Съюза.</w:t>
      </w:r>
      <w:r>
        <w:rPr>
          <w:noProof/>
          <w:color w:val="00B050"/>
        </w:rPr>
        <w:t xml:space="preserve"> </w:t>
      </w:r>
      <w:r>
        <w:rPr>
          <w:noProof/>
        </w:rPr>
        <w:t>Удължаването на мораториумите попада в обхвата на тази разпоредба, тъй като решението се взема в рамките на орган, създаден по силата на международно споразумение (Министерската конференция на СТО), което засяга правата и задълженията на Съюза.</w:t>
      </w:r>
    </w:p>
    <w:p>
      <w:pPr>
        <w:rPr>
          <w:i/>
          <w:noProof/>
        </w:rPr>
      </w:pPr>
      <w:r>
        <w:rPr>
          <w:noProof/>
        </w:rPr>
        <w:t xml:space="preserve">Предвижданият мораториум върху електронната търговия се отнася до въпроси, които попадат в обхвата на общата търговска политика (член 207 от ДФЕС) и в частност до задълженията по Общото споразумение по търговията с услуги. По същия начин предвижданият мораториум върху жалбите при липса на нарушение и при друга ситуация се отнася за въпроси, които попадат в обхвата на общата търговска политика, по-специално до задълженията, произтичащи от Споразумението за ТРИПС. </w:t>
      </w:r>
    </w:p>
    <w:p>
      <w:pPr>
        <w:pStyle w:val="ManualHeading1"/>
        <w:rPr>
          <w:noProof/>
        </w:rPr>
      </w:pPr>
      <w:r>
        <w:rPr>
          <w:noProof/>
        </w:rPr>
        <w:t>3.</w:t>
      </w:r>
      <w:r>
        <w:rPr>
          <w:noProof/>
        </w:rPr>
        <w:tab/>
        <w:t>ОБХВАТ НА ПРЕДЛОЖЕНИЕТО</w:t>
      </w:r>
    </w:p>
    <w:p>
      <w:pPr>
        <w:rPr>
          <w:noProof/>
        </w:rPr>
      </w:pPr>
      <w:r>
        <w:rPr>
          <w:noProof/>
        </w:rPr>
        <w:t>В съответствие с член 218, параграф 10 от ДФЕС Европейският парламент ще получи незабавно изчерпателна информация.</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2015/0234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определяне на позицията, която Европейският съюз да заеме в рамките на Министерската конференция на Световната търговска организация по отношение на удължаването на срока на мораториума върху митата върху предоставяните по електронен път услуги и на мораториума върху жалбите при липса на нарушение и при друга ситуация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във връзка с член 218, параграф 9 от него,</w:t>
      </w:r>
    </w:p>
    <w:p>
      <w:pPr>
        <w:rPr>
          <w:noProof/>
        </w:rPr>
      </w:pPr>
      <w:r>
        <w:rPr>
          <w:noProof/>
        </w:rPr>
        <w:t>като взеха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На Министерската конференция на Световната търговска организация (СТО) през 1998 г. под формата на декларация беше приет мораториум върху митата върху предоставяните по електронен път услуги (по-долу„мораториумът за електронната търговия“), съгласно който членовете на СТО продължават текущата си практика да не налагат мита върху предоставяните по електронен път услуги. Понастоящем мораториумът е под формата на решение на Министерската конференция на СТО, чийто срок на действие се подновява на всеки две години от 1998 г. насам. </w:t>
      </w:r>
    </w:p>
    <w:p>
      <w:pPr>
        <w:pStyle w:val="ManualConsidrant"/>
        <w:rPr>
          <w:noProof/>
        </w:rPr>
      </w:pPr>
      <w:r>
        <w:t>(2)</w:t>
      </w:r>
      <w:r>
        <w:tab/>
      </w:r>
      <w:r>
        <w:rPr>
          <w:noProof/>
        </w:rPr>
        <w:t xml:space="preserve">Министерската конференция на СТО периодически удължава също така наложения върху жалбите при липса на нарушение и при друга ситуация мораториум, след като изтече петгодишният период за вземане на решение относно обхвата и условията на тези жалби съгласно член 64, параграф 3 от Споразумението за свързаните с търговията аспекти на правата върху интелектуалната собственост (ТРИПС). </w:t>
      </w:r>
    </w:p>
    <w:p>
      <w:pPr>
        <w:pStyle w:val="ManualConsidrant"/>
        <w:rPr>
          <w:noProof/>
        </w:rPr>
      </w:pPr>
      <w:r>
        <w:t>(3)</w:t>
      </w:r>
      <w:r>
        <w:tab/>
      </w:r>
      <w:r>
        <w:rPr>
          <w:noProof/>
        </w:rPr>
        <w:t xml:space="preserve">За последен път срокът на тези мораториуми е удължен по време на Министерската конференция на СТО през декември 2013 г., като така удълженият срок изтича през 2015 г. Следващата Министерска конференция на СТО трябва отново да удължи срока на мораториумите или да ги направи постоянни, ако в хода на текущите или бъдещите обсъждания се постигне консенсус по този въпрос. </w:t>
      </w:r>
    </w:p>
    <w:p>
      <w:pPr>
        <w:pStyle w:val="ManualConsidrant"/>
        <w:rPr>
          <w:noProof/>
        </w:rPr>
      </w:pPr>
      <w:r>
        <w:t>(4)</w:t>
      </w:r>
      <w:r>
        <w:tab/>
      </w:r>
      <w:r>
        <w:rPr>
          <w:noProof/>
        </w:rPr>
        <w:t>В интерес на Съюза е да подкрепи безсрочното удължаване на мораториума за електронната търговия и удължаването на мораториума върху жалбите при липса на нарушение и при друга ситуация до приемането от страна на Министерските конференции на препоръките на Съвета за ТРИПС по отношение на обхвата и условията на жалбите при липса на нарушение и при друга ситуация в съответствие с член 64, параграф 3 от ТРИПС,</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Позицията, която Съюзът заема в рамките на Министерската конференция на Световната търговска организация, е изразяване на подкрепа за удължаването на срока на мораториума върху митата върху предоставяните по електронен път услуги („мораториума за електронната търговия“) и на мораториума върху жалбите от видовете, посочени в член XXIII, параграф 1, букви б) и в) от ГАТТ от 1994 г. („жалби при липса на нарушение и при друга ситуация“), до приемането на решение от Министерската конференция относно обхвата и условията на жалбите при липса на нарушение и при друга ситуация. </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860C8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AE58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263B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0046F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085E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E268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865648"/>
    <w:lvl w:ilvl="0">
      <w:start w:val="1"/>
      <w:numFmt w:val="decimal"/>
      <w:pStyle w:val="ListNumber"/>
      <w:lvlText w:val="%1."/>
      <w:lvlJc w:val="left"/>
      <w:pPr>
        <w:tabs>
          <w:tab w:val="num" w:pos="360"/>
        </w:tabs>
        <w:ind w:left="360" w:hanging="360"/>
      </w:pPr>
    </w:lvl>
  </w:abstractNum>
  <w:abstractNum w:abstractNumId="7">
    <w:nsid w:val="FFFFFF89"/>
    <w:multiLevelType w:val="singleLevel"/>
    <w:tmpl w:val="6C9E6F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29 10:37: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EA3F3513E1F4978AF9723FF162B92BA"/>
    <w:docVar w:name="LW_CROSSREFERENCE" w:val="&lt;UNUSED&gt;"/>
    <w:docVar w:name="LW_DocType" w:val="COM"/>
    <w:docVar w:name="LW_EMISSION" w:val="6.10.2015"/>
    <w:docVar w:name="LW_EMISSION_ISODATE" w:val="2015-10-0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34"/>
    <w:docVar w:name="LW_REF.II.NEW.CP_YEAR" w:val="2015"/>
    <w:docVar w:name="LW_REF.INST.NEW" w:val="COM"/>
    <w:docVar w:name="LW_REF.INST.NEW_ADOPTED" w:val="final"/>
    <w:docVar w:name="LW_REF.INST.NEW_TEXT" w:val="(2015) 483"/>
    <w:docVar w:name="LW_REF.INTERNE" w:val="&lt;UNUSED&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85?\u1072? \u1087?\u1086?\u1079?\u1080?\u1094?\u1080?\u1103?\u1090?\u1072?, \u1082?\u1086?\u1103?\u1090?\u1086? \u1045?\u1074?\u1088?\u1086?\u1087?\u1077?\u1081?\u1089?\u1082?\u1080?\u1103?\u1090? \u1089?\u1098?\u1102?\u1079? \u1076?\u1072? \u1079?\u1072?\u1077?\u1084?\u1077? \u1074? \u1088?\u1072?\u1084?\u1082?\u1080?\u1090?\u1077? \u1085?\u1072? \u1052?\u1080?\u1085?\u1080?\u1089?\u1090?\u1077?\u1088?\u1089?\u1082?\u1072?\u1090?\u1072? \u1082?\u1086?\u1085?\u1092?\u1077?\u1088?\u1077?\u1085?\u1094?\u1080?\u1103? \u1085?\u1072? \u1057?\u1074?\u1077?\u1090?\u1086?\u1074?\u1085?\u1072?\u1090?\u1072? \u1090?\u1098?\u1088?\u1075?\u1086?\u1074?\u1089?\u1082?\u1072? \u1086?\u1088?\u1075?\u1072?\u1085?\u1080?\u1079?\u1072?\u1094?\u1080?\u1103? \u1087?\u1086? \u1086?\u1090?\u1085?\u1086?\u1096?\u1077?\u1085?\u1080?\u1077? \u1085?\u1072? \u1091?\u1076?\u1098?\u1083?\u1078?\u1072?\u1074?\u1072?\u1085?\u1077?\u1090?\u1086? \u1085?\u1072? \u1089?\u1088?\u1086?\u1082?\u1072? \u1085?\u1072? \u1084?\u1086?\u1088?\u1072?\u1090?\u1086?\u1088?\u1080?\u1091?\u1084?\u1072? \u1074?\u1098?\u1088?\u1093?\u1091? \u1084?\u1080?\u1090?\u1072?\u1090?\u1072? \u1074?\u1098?\u1088?\u1093?\u1091? \u1087?\u1088?\u1077?\u1076?\u1086?\u1089?\u1090?\u1072?\u1074?\u1103?\u1085?\u1080?\u1090?\u1077? \u1087?\u1086? \u1077?\u1083?\u1077?\u1082?\u1090?\u1088?\u1086?\u1085?\u1077?\u1085? \u1087?\u1098?\u1090? \u1091?\u1089?\u1083?\u1091?\u1075?\u1080? \u1080? \u1085?\u1072? \u1084?\u1086?\u1088?\u1072?\u1090?\u1086?\u1088?\u1080?\u1091?\u1084?\u1072? \u1074?\u1098?\u1088?\u1093?\u1091? \u1078?\u1072?\u1083?\u1073?\u1080?\u1090?\u1077? \u1087?\u1088?\u1080? \u1083?\u1080?\u1087?\u1089?\u1072? \u1085?\u1072? \u1085?\u1072?\u1088?\u1091?\u1096?\u1077?\u1085?\u1080?\u1077? \u1080? \u1087?\u1088?\u1080? \u1076?\u1088?\u1091?\u1075?\u1072? \u1089?\u1080?\u1090?\u1091?\u1072?\u1094?\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Corpsdutexte">
    <w:name w:val="Corps du texte_"/>
    <w:basedOn w:val="DefaultParagraphFont"/>
    <w:link w:val="Corpsdutexte0"/>
    <w:uiPriority w:val="99"/>
    <w:rPr>
      <w:shd w:val="clear" w:color="auto" w:fill="FFFFFF"/>
    </w:rPr>
  </w:style>
  <w:style w:type="paragraph" w:customStyle="1" w:styleId="Corpsdutexte0">
    <w:name w:val="Corps du texte"/>
    <w:basedOn w:val="Normal"/>
    <w:link w:val="Corpsdutexte"/>
    <w:uiPriority w:val="99"/>
    <w:pPr>
      <w:widowControl w:val="0"/>
      <w:shd w:val="clear" w:color="auto" w:fill="FFFFFF"/>
      <w:spacing w:before="60" w:after="0" w:line="240" w:lineRule="atLeast"/>
      <w:ind w:hanging="720"/>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808080"/>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Corpsdutexte">
    <w:name w:val="Corps du texte_"/>
    <w:basedOn w:val="DefaultParagraphFont"/>
    <w:link w:val="Corpsdutexte0"/>
    <w:uiPriority w:val="99"/>
    <w:rPr>
      <w:shd w:val="clear" w:color="auto" w:fill="FFFFFF"/>
    </w:rPr>
  </w:style>
  <w:style w:type="paragraph" w:customStyle="1" w:styleId="Corpsdutexte0">
    <w:name w:val="Corps du texte"/>
    <w:basedOn w:val="Normal"/>
    <w:link w:val="Corpsdutexte"/>
    <w:uiPriority w:val="99"/>
    <w:pPr>
      <w:widowControl w:val="0"/>
      <w:shd w:val="clear" w:color="auto" w:fill="FFFFFF"/>
      <w:spacing w:before="60" w:after="0" w:line="240" w:lineRule="atLeast"/>
      <w:ind w:hanging="720"/>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808080"/>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5</Pages>
  <Words>1171</Words>
  <Characters>6586</Characters>
  <Application>Microsoft Office Word</Application>
  <DocSecurity>0</DocSecurity>
  <Lines>124</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2015-07-27T15:27:00Z</cp:lastPrinted>
  <dcterms:created xsi:type="dcterms:W3CDTF">2015-09-22T08:03:00Z</dcterms:created>
  <dcterms:modified xsi:type="dcterms:W3CDTF">2015-09-29T08:37:00Z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