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5C1" w:rsidRDefault="00A175B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942D8C830041A2A01E53994F6488FF" style="width:450.75pt;height:501pt">
            <v:imagedata r:id="rId9" o:title=""/>
          </v:shape>
        </w:pict>
      </w:r>
    </w:p>
    <w:p w:rsidR="00E775C1" w:rsidRDefault="00E775C1">
      <w:pPr>
        <w:rPr>
          <w:noProof/>
        </w:rPr>
        <w:sectPr w:rsidR="00E775C1">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E775C1" w:rsidRDefault="00A175B1">
      <w:pPr>
        <w:pStyle w:val="Rfrenceinterinstitutionnelle"/>
        <w:rPr>
          <w:noProof/>
        </w:rPr>
      </w:pPr>
      <w:r>
        <w:rPr>
          <w:noProof/>
        </w:rPr>
        <w:lastRenderedPageBreak/>
        <w:t>2013/0309 (COD)</w:t>
      </w:r>
    </w:p>
    <w:p w:rsidR="00E775C1" w:rsidRDefault="00A175B1">
      <w:pPr>
        <w:pStyle w:val="Typedudocument"/>
        <w:rPr>
          <w:noProof/>
        </w:rPr>
      </w:pPr>
      <w:r>
        <w:rPr>
          <w:noProof/>
        </w:rPr>
        <w:t>СЪОБЩЕНИЕ НА КОМИСИЯТА ДО ЕВРОПЕЙСКИЯ ПАРЛАМЕНТ</w:t>
      </w:r>
      <w:r>
        <w:rPr>
          <w:noProof/>
        </w:rPr>
        <w:br/>
      </w:r>
      <w:r>
        <w:rPr>
          <w:noProof/>
        </w:rPr>
        <w:br/>
        <w:t xml:space="preserve">съгласно член 294, параграф 6 от </w:t>
      </w:r>
      <w:r>
        <w:rPr>
          <w:noProof/>
        </w:rPr>
        <w:t>Договора за функционирането на Европейския съюз</w:t>
      </w:r>
      <w:r>
        <w:rPr>
          <w:noProof/>
        </w:rPr>
        <w:br/>
      </w:r>
      <w:r>
        <w:rPr>
          <w:noProof/>
        </w:rPr>
        <w:br/>
        <w:t>относно</w:t>
      </w:r>
    </w:p>
    <w:p w:rsidR="00E775C1" w:rsidRDefault="00A175B1">
      <w:pPr>
        <w:pStyle w:val="Titreobjet"/>
        <w:rPr>
          <w:noProof/>
        </w:rPr>
      </w:pPr>
      <w:r>
        <w:rPr>
          <w:noProof/>
        </w:rPr>
        <w:t>позиция на Съвета във връзка с приемането на регламент на Европейския парламент и на Съвета за определяне на мерки относно достъпа до отворен интернет и за изменение на Директива 2002/22/ЕО относно у</w:t>
      </w:r>
      <w:r>
        <w:rPr>
          <w:noProof/>
        </w:rPr>
        <w:t>ниверсалната услуга и правата на потребителите във връзка с електронните съобщителни мрежи и услуги и на Регламент (ЕС) № 531/2012 на Европейския парламент и на Съвета от 13 юни 2012 г. относно роуминга в обществени мобилни съобщителни мрежи в рамките на С</w:t>
      </w:r>
      <w:r>
        <w:rPr>
          <w:noProof/>
        </w:rPr>
        <w:t>ъюза</w:t>
      </w:r>
    </w:p>
    <w:p w:rsidR="00E775C1" w:rsidRDefault="00A175B1">
      <w:pPr>
        <w:pStyle w:val="IntrtEEE"/>
        <w:rPr>
          <w:noProof/>
        </w:rPr>
      </w:pPr>
      <w:r>
        <w:rPr>
          <w:noProof/>
        </w:rPr>
        <w:t>(текст от значение за ЕИП)</w:t>
      </w:r>
    </w:p>
    <w:p w:rsidR="00E775C1" w:rsidRDefault="00A175B1">
      <w:pPr>
        <w:pStyle w:val="ManualHeading1"/>
        <w:rPr>
          <w:noProof/>
          <w:sz w:val="22"/>
        </w:rPr>
      </w:pPr>
      <w:r>
        <w:rPr>
          <w:noProof/>
        </w:rPr>
        <w:t>1.</w:t>
      </w:r>
      <w:r>
        <w:rPr>
          <w:noProof/>
        </w:rPr>
        <w:tab/>
        <w:t>Контекст</w:t>
      </w:r>
    </w:p>
    <w:tbl>
      <w:tblPr>
        <w:tblW w:w="0" w:type="auto"/>
        <w:tblLayout w:type="fixed"/>
        <w:tblLook w:val="0000" w:firstRow="0" w:lastRow="0" w:firstColumn="0" w:lastColumn="0" w:noHBand="0" w:noVBand="0"/>
      </w:tblPr>
      <w:tblGrid>
        <w:gridCol w:w="6804"/>
        <w:gridCol w:w="2483"/>
      </w:tblGrid>
      <w:tr w:rsidR="00E775C1">
        <w:tc>
          <w:tcPr>
            <w:tcW w:w="6804" w:type="dxa"/>
          </w:tcPr>
          <w:p w:rsidR="00E775C1" w:rsidRDefault="00A175B1">
            <w:pPr>
              <w:jc w:val="left"/>
              <w:rPr>
                <w:noProof/>
              </w:rPr>
            </w:pPr>
            <w:r>
              <w:rPr>
                <w:noProof/>
              </w:rPr>
              <w:t>Дата на предаване на предложението на Европейския парламент и на Съвета (документ COM(2013) 0627 окончателен – 2013/0309(COD):</w:t>
            </w:r>
          </w:p>
        </w:tc>
        <w:tc>
          <w:tcPr>
            <w:tcW w:w="2483" w:type="dxa"/>
          </w:tcPr>
          <w:p w:rsidR="00E775C1" w:rsidRDefault="00A175B1">
            <w:pPr>
              <w:jc w:val="left"/>
              <w:rPr>
                <w:noProof/>
              </w:rPr>
            </w:pPr>
            <w:r>
              <w:rPr>
                <w:noProof/>
              </w:rPr>
              <w:t>12.9.2013 г.</w:t>
            </w:r>
          </w:p>
        </w:tc>
      </w:tr>
      <w:tr w:rsidR="00E775C1">
        <w:tc>
          <w:tcPr>
            <w:tcW w:w="6804" w:type="dxa"/>
          </w:tcPr>
          <w:p w:rsidR="00E775C1" w:rsidRDefault="00A175B1">
            <w:pPr>
              <w:jc w:val="left"/>
              <w:rPr>
                <w:noProof/>
              </w:rPr>
            </w:pPr>
            <w:r>
              <w:rPr>
                <w:noProof/>
              </w:rPr>
              <w:t xml:space="preserve">Дата на становището на Европейския икономически и социален комитет: </w:t>
            </w:r>
          </w:p>
        </w:tc>
        <w:tc>
          <w:tcPr>
            <w:tcW w:w="2483" w:type="dxa"/>
          </w:tcPr>
          <w:p w:rsidR="00E775C1" w:rsidRDefault="00A175B1">
            <w:pPr>
              <w:jc w:val="left"/>
              <w:rPr>
                <w:noProof/>
              </w:rPr>
            </w:pPr>
            <w:r>
              <w:rPr>
                <w:noProof/>
              </w:rPr>
              <w:t>21.1.2014 г.</w:t>
            </w:r>
          </w:p>
        </w:tc>
      </w:tr>
      <w:tr w:rsidR="00E775C1">
        <w:tc>
          <w:tcPr>
            <w:tcW w:w="6804" w:type="dxa"/>
          </w:tcPr>
          <w:p w:rsidR="00E775C1" w:rsidRDefault="00A175B1">
            <w:pPr>
              <w:rPr>
                <w:noProof/>
              </w:rPr>
            </w:pPr>
            <w:r>
              <w:rPr>
                <w:noProof/>
              </w:rPr>
              <w:t>Дата на позицията на Европейския парламент на първо четене:</w:t>
            </w:r>
          </w:p>
        </w:tc>
        <w:tc>
          <w:tcPr>
            <w:tcW w:w="2483" w:type="dxa"/>
          </w:tcPr>
          <w:p w:rsidR="00E775C1" w:rsidRDefault="00A175B1">
            <w:pPr>
              <w:jc w:val="left"/>
              <w:rPr>
                <w:noProof/>
              </w:rPr>
            </w:pPr>
            <w:r>
              <w:rPr>
                <w:noProof/>
              </w:rPr>
              <w:t>3.4.2014 г.</w:t>
            </w:r>
          </w:p>
        </w:tc>
      </w:tr>
      <w:tr w:rsidR="00E775C1">
        <w:tc>
          <w:tcPr>
            <w:tcW w:w="6804" w:type="dxa"/>
          </w:tcPr>
          <w:p w:rsidR="00E775C1" w:rsidRDefault="00A175B1">
            <w:pPr>
              <w:rPr>
                <w:noProof/>
              </w:rPr>
            </w:pPr>
            <w:r>
              <w:rPr>
                <w:noProof/>
              </w:rPr>
              <w:t>Дата на приемане на позицията на Съвета:</w:t>
            </w:r>
          </w:p>
        </w:tc>
        <w:tc>
          <w:tcPr>
            <w:tcW w:w="2483" w:type="dxa"/>
          </w:tcPr>
          <w:p w:rsidR="00E775C1" w:rsidRDefault="00A175B1">
            <w:pPr>
              <w:jc w:val="left"/>
              <w:rPr>
                <w:noProof/>
                <w:highlight w:val="yellow"/>
              </w:rPr>
            </w:pPr>
            <w:r>
              <w:rPr>
                <w:noProof/>
              </w:rPr>
              <w:t>1.10.2015 г.</w:t>
            </w:r>
          </w:p>
        </w:tc>
      </w:tr>
    </w:tbl>
    <w:p w:rsidR="00E775C1" w:rsidRDefault="00A175B1">
      <w:pPr>
        <w:pStyle w:val="ManualHeading1"/>
        <w:rPr>
          <w:noProof/>
        </w:rPr>
      </w:pPr>
      <w:r>
        <w:rPr>
          <w:noProof/>
        </w:rPr>
        <w:t>2.</w:t>
      </w:r>
      <w:r>
        <w:rPr>
          <w:noProof/>
        </w:rPr>
        <w:tab/>
        <w:t>Цел на предложението на Комисията</w:t>
      </w:r>
    </w:p>
    <w:p w:rsidR="00E775C1" w:rsidRDefault="00A175B1">
      <w:pPr>
        <w:rPr>
          <w:noProof/>
        </w:rPr>
      </w:pPr>
      <w:r>
        <w:rPr>
          <w:noProof/>
        </w:rPr>
        <w:t>Целта на предложението е доближаване към единен пазар на електронните съобщит</w:t>
      </w:r>
      <w:r>
        <w:rPr>
          <w:noProof/>
        </w:rPr>
        <w:t>елни услуги. По този начин граждани и фирми биха получили възможност да ползват електронни съобщителни услуги навсякъде в Европейския съюз, където те се предоставят, без трансгранични ограничения или неоправдани допълнителни разходи. Така ще се даде също в</w:t>
      </w:r>
      <w:r>
        <w:rPr>
          <w:noProof/>
        </w:rPr>
        <w:t>ъзможност на предприятията, доставящи електронни съобщителни мрежи и услуги, да предоставят тези услуги навсякъде в ЕС, където те или техните клиенти са се установили.</w:t>
      </w:r>
    </w:p>
    <w:p w:rsidR="00E775C1" w:rsidRDefault="00A175B1">
      <w:pPr>
        <w:rPr>
          <w:noProof/>
        </w:rPr>
      </w:pPr>
      <w:r>
        <w:rPr>
          <w:noProof/>
        </w:rPr>
        <w:t>Предложението на Комисията съдържа разпоредби за преодоляването на конкретни пречки, въз</w:t>
      </w:r>
      <w:r>
        <w:rPr>
          <w:noProof/>
        </w:rPr>
        <w:t>препятстващи развитието на единния пазар за електронни съобщителни услуги. То предвижда по-специално: създаване на единно европейско разрешение за трансгранични доставчици, координиране на разпределянето на радиочестотен спектър, хармонизиране на продуктит</w:t>
      </w:r>
      <w:r>
        <w:rPr>
          <w:noProof/>
        </w:rPr>
        <w:t xml:space="preserve">е за достъп, необходими за предоставяне на електронни съобщителни услуги, хармонизиране на правилата за гарантиране на отворен интернет, хармонизиране на правилата за защита на крайните потребители, мерки за постепенното премахване на допълнителните такси </w:t>
      </w:r>
      <w:r>
        <w:rPr>
          <w:noProof/>
        </w:rPr>
        <w:t xml:space="preserve">за роуминг, и промени в </w:t>
      </w:r>
      <w:r>
        <w:rPr>
          <w:noProof/>
        </w:rPr>
        <w:lastRenderedPageBreak/>
        <w:t>управлението на Органа на европейските регулатори в областта на електронните съобщения.</w:t>
      </w:r>
    </w:p>
    <w:p w:rsidR="00E775C1" w:rsidRDefault="00A175B1">
      <w:pPr>
        <w:pStyle w:val="ManualHeading1"/>
        <w:rPr>
          <w:noProof/>
        </w:rPr>
      </w:pPr>
      <w:r>
        <w:rPr>
          <w:noProof/>
        </w:rPr>
        <w:t>3.</w:t>
      </w:r>
      <w:r>
        <w:rPr>
          <w:noProof/>
        </w:rPr>
        <w:tab/>
        <w:t>Коментари относно позицията на Съвета</w:t>
      </w:r>
    </w:p>
    <w:p w:rsidR="00E775C1" w:rsidRDefault="00A175B1">
      <w:pPr>
        <w:rPr>
          <w:noProof/>
        </w:rPr>
      </w:pPr>
      <w:r>
        <w:rPr>
          <w:noProof/>
        </w:rPr>
        <w:t>Съветът зае твърда позиция за ограничаване обхвата на предложението до мрежова неутралност и роуминг, к</w:t>
      </w:r>
      <w:r>
        <w:rPr>
          <w:noProof/>
        </w:rPr>
        <w:t>ато това беше потвърдено в преговорите с Европейския парламент. Следва да се отбележи, че в стратегията за единния цифров пазар, обявена от Комисията на 6 май 2015 г., се посочва ясно, че радиочестотният спектър ще бъде част от прегледа в областта на далек</w:t>
      </w:r>
      <w:r>
        <w:rPr>
          <w:noProof/>
        </w:rPr>
        <w:t>осъобщенията, който ще бъде представен през 2016 г. С оглед на това е приемливо обхватът на проекта за регламент да бъде ограничен до роуминга и мрежовата неутралност. Този избор е в съответствие с ясните указания, съдържащи се в заключенията на Европейски</w:t>
      </w:r>
      <w:r>
        <w:rPr>
          <w:noProof/>
        </w:rPr>
        <w:t>я съвет от 26 юни 2015 г., в които се изтъква значението на всички измерения на стратегията на Комисията и на осъществяването на амбициозна реформа на рамката за далекосъобщенията, включително по-ефективното координиране на радиочестотния спектър.</w:t>
      </w:r>
    </w:p>
    <w:p w:rsidR="00E775C1" w:rsidRDefault="00A175B1">
      <w:pPr>
        <w:rPr>
          <w:noProof/>
          <w:szCs w:val="20"/>
        </w:rPr>
      </w:pPr>
      <w:r>
        <w:rPr>
          <w:noProof/>
        </w:rPr>
        <w:t>Като цял</w:t>
      </w:r>
      <w:r>
        <w:rPr>
          <w:noProof/>
        </w:rPr>
        <w:t>о позицията на Съвета подкрепя основните цели на предложението на Комисията, а именно премахването на допълнителните такси за роуминг на дребно и гарантирането на достъп до отворен интернет при същевременно разрешаване на иновативните услуги. Съветът обаче</w:t>
      </w:r>
      <w:r>
        <w:rPr>
          <w:noProof/>
        </w:rPr>
        <w:t xml:space="preserve"> внася някои промени по отношение на начините за постигането на тези цели. Измененията включват определянето на ясно очертан краен срок за допълнителните такси за роуминг, като същевременно се гарантира, че отменянето на тези такси е устойчиво, по-специалн</w:t>
      </w:r>
      <w:r>
        <w:rPr>
          <w:noProof/>
        </w:rPr>
        <w:t>о чрез подбирането на подходящ момент за прегледа на пазарите на едро за роуминг и създаването на подходящ механизъм за справяне с извънредни и специални случаи, в които вътрешни тарифни модели не биха били повлияни устойчиво дори след прегледа на пазарите</w:t>
      </w:r>
      <w:r>
        <w:rPr>
          <w:noProof/>
        </w:rPr>
        <w:t xml:space="preserve"> на едро за роуминг. (Тези подробности трябва да бъдат доразвити посредством мерки за изпълнение на Комисията). </w:t>
      </w:r>
    </w:p>
    <w:p w:rsidR="00E775C1" w:rsidRDefault="00A175B1">
      <w:pPr>
        <w:rPr>
          <w:noProof/>
        </w:rPr>
      </w:pPr>
      <w:r>
        <w:rPr>
          <w:noProof/>
        </w:rPr>
        <w:t>Относно отворения интернет Комисията отбелязва, че текстът на Съвета гарантира политическата цел на проекта за регламент, а именно признаването</w:t>
      </w:r>
      <w:r>
        <w:rPr>
          <w:noProof/>
        </w:rPr>
        <w:t xml:space="preserve"> на правото на всеки европейски гражданин да получи достъп до интернет съдържание по свой избор и без дискриминация. В същото време текстът уточнява, че равното третиране на трафика позволява разумно ежедневно управление на трафика въз основа на обосновани</w:t>
      </w:r>
      <w:r>
        <w:rPr>
          <w:noProof/>
        </w:rPr>
        <w:t xml:space="preserve"> обективни технически изисквания и независимо от изходната или крайната точка на движението на данните. Освен това текстът съдържа забрана за блокиране, ограничаване на скоростта и дискриминация по отношение на конкретно съдържание, услуги или приложения, </w:t>
      </w:r>
      <w:r>
        <w:rPr>
          <w:noProof/>
        </w:rPr>
        <w:t>или по отношение на определени категории от тях, с три тясно ограничени необходими изключения — а именно при мерки за привеждане в съответствие със законодателството на ЕС или с националното законодателство или мерки за привеждане в действие на това законо</w:t>
      </w:r>
      <w:r>
        <w:rPr>
          <w:noProof/>
        </w:rPr>
        <w:t xml:space="preserve">дателство, мерки за поддържане на сигурността на мрежата, и мерки за управление на временни и извънредни претоварвания на мрежата. . </w:t>
      </w:r>
    </w:p>
    <w:p w:rsidR="00E775C1" w:rsidRDefault="00A175B1">
      <w:pPr>
        <w:rPr>
          <w:rStyle w:val="s10"/>
          <w:noProof/>
        </w:rPr>
      </w:pPr>
      <w:r>
        <w:rPr>
          <w:noProof/>
        </w:rPr>
        <w:t>В допълнение към това в текста се посочва, че услуги, различни от услугите за достъп до интернет, които са оптимизирани за</w:t>
      </w:r>
      <w:r>
        <w:rPr>
          <w:noProof/>
        </w:rPr>
        <w:t xml:space="preserve"> специфично съдържание, приложения или услуги, могат да се предоставят при определени условия. Теза условия са конкретно: оптимизирането да е необходимо за спазването на изискванията към качеството на това съдържание и тези приложения или услуги; тези услу</w:t>
      </w:r>
      <w:r>
        <w:rPr>
          <w:noProof/>
        </w:rPr>
        <w:t xml:space="preserve">ги да не се предлагат и да не могат да се използват като заместител на услугите за достъп до интернет; да </w:t>
      </w:r>
      <w:r>
        <w:rPr>
          <w:rStyle w:val="s10"/>
          <w:noProof/>
        </w:rPr>
        <w:t xml:space="preserve">е наличен </w:t>
      </w:r>
      <w:r>
        <w:rPr>
          <w:rStyle w:val="s10"/>
          <w:noProof/>
        </w:rPr>
        <w:lastRenderedPageBreak/>
        <w:t>достатъчен капацитет; и предоставянето на тези услуги да не влошава качеството на достъпа до интернет услуги за крайните потребители.</w:t>
      </w:r>
    </w:p>
    <w:p w:rsidR="00E775C1" w:rsidRDefault="00A175B1">
      <w:pPr>
        <w:rPr>
          <w:noProof/>
        </w:rPr>
      </w:pPr>
      <w:r>
        <w:rPr>
          <w:noProof/>
        </w:rPr>
        <w:t>Компетентните регулаторни органи ще имат отговорността и задължението да гарантират посредством наблюдение и действия за принудително прилагане, че се спазват правилата на регламента и не се нарушават правата на крайните потребители, включително тези на до</w:t>
      </w:r>
      <w:r>
        <w:rPr>
          <w:noProof/>
        </w:rPr>
        <w:t xml:space="preserve">ставчиците на съдържание, услуги и приложения. </w:t>
      </w:r>
    </w:p>
    <w:p w:rsidR="00E775C1" w:rsidRDefault="00A175B1">
      <w:pPr>
        <w:rPr>
          <w:noProof/>
          <w:szCs w:val="20"/>
        </w:rPr>
      </w:pPr>
      <w:r>
        <w:rPr>
          <w:noProof/>
        </w:rPr>
        <w:t>Този балансиран подход защитава по ефективен начин качеството на услугите за достъп до интернет, без да задушава иновациите. Накрая, с предложението се установяват някои права на крайните потребители, които с</w:t>
      </w:r>
      <w:r>
        <w:rPr>
          <w:noProof/>
        </w:rPr>
        <w:t>а необходими за ефективното прилагане на разпоредбите относно роуминга и мрежовата неутралност.</w:t>
      </w:r>
    </w:p>
    <w:p w:rsidR="00E775C1" w:rsidRDefault="00A175B1">
      <w:pPr>
        <w:rPr>
          <w:noProof/>
        </w:rPr>
      </w:pPr>
      <w:r>
        <w:rPr>
          <w:noProof/>
        </w:rPr>
        <w:t>Комисията подкрепя тези резултати.</w:t>
      </w:r>
    </w:p>
    <w:p w:rsidR="00E775C1" w:rsidRDefault="00A175B1">
      <w:pPr>
        <w:rPr>
          <w:noProof/>
        </w:rPr>
      </w:pPr>
      <w:r>
        <w:rPr>
          <w:noProof/>
        </w:rPr>
        <w:t>След неформалните тристранни дискусии, проведени на 23 март 2015 г., 21 април 2015 г., 2 юни 2015 г. и 29 юни 2015 г., Европе</w:t>
      </w:r>
      <w:r>
        <w:rPr>
          <w:noProof/>
        </w:rPr>
        <w:t>йският парламент и Съветът постигнаха предварително политическо споразумение относно текста.</w:t>
      </w:r>
    </w:p>
    <w:p w:rsidR="00E775C1" w:rsidRDefault="00A175B1">
      <w:pPr>
        <w:rPr>
          <w:noProof/>
        </w:rPr>
      </w:pPr>
      <w:r>
        <w:rPr>
          <w:noProof/>
        </w:rPr>
        <w:t>Това политическо споразумение бе потвърдено от Съвета на 8 юли 2015 г., а на 1 октомври 2015 г. той прие своята позиция на първо четене.</w:t>
      </w:r>
    </w:p>
    <w:p w:rsidR="00E775C1" w:rsidRDefault="00A175B1">
      <w:pPr>
        <w:pStyle w:val="ManualHeading1"/>
        <w:rPr>
          <w:noProof/>
        </w:rPr>
      </w:pPr>
      <w:r>
        <w:rPr>
          <w:noProof/>
        </w:rPr>
        <w:t>4.</w:t>
      </w:r>
      <w:r>
        <w:rPr>
          <w:noProof/>
        </w:rPr>
        <w:tab/>
        <w:t>Заключение</w:t>
      </w:r>
    </w:p>
    <w:p w:rsidR="00E775C1" w:rsidRDefault="00A175B1">
      <w:pPr>
        <w:rPr>
          <w:noProof/>
        </w:rPr>
      </w:pPr>
      <w:r>
        <w:rPr>
          <w:noProof/>
        </w:rPr>
        <w:t xml:space="preserve">Тъй като </w:t>
      </w:r>
      <w:r>
        <w:rPr>
          <w:noProof/>
        </w:rPr>
        <w:t>всички изменения, внесени в предложението на Комисията, бяха обсъдени по време на неформалните тристранни дискусии, Комисията може да приеме измененията, приети от Съвета в неговата позиция на първо четене.</w:t>
      </w:r>
    </w:p>
    <w:sectPr w:rsidR="00E775C1" w:rsidSect="0007380E">
      <w:footerReference w:type="default" r:id="rId16"/>
      <w:footerReference w:type="first" r:id="rId17"/>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5B1" w:rsidRDefault="00A175B1">
      <w:pPr>
        <w:spacing w:before="0" w:after="0"/>
      </w:pPr>
      <w:r>
        <w:separator/>
      </w:r>
    </w:p>
  </w:endnote>
  <w:endnote w:type="continuationSeparator" w:id="0">
    <w:p w:rsidR="00A175B1" w:rsidRDefault="00A175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roman"/>
    <w:pitch w:val="default"/>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80E" w:rsidRDefault="000738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5C1" w:rsidRDefault="00A175B1">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80E" w:rsidRDefault="0007380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5C1" w:rsidRDefault="00A175B1">
    <w:pPr>
      <w:pStyle w:val="Footer"/>
      <w:rPr>
        <w:rFonts w:ascii="Arial" w:hAnsi="Arial" w:cs="Arial"/>
        <w:b/>
        <w:sz w:val="48"/>
      </w:rPr>
    </w:pPr>
    <w:bookmarkStart w:id="0" w:name="_GoBack"/>
    <w:bookmarkEnd w:id="0"/>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sidR="0007380E">
      <w:rPr>
        <w:noProof/>
      </w:rPr>
      <w:t>2</w:t>
    </w:r>
    <w:r>
      <w:fldChar w:fldCharType="end"/>
    </w:r>
    <w:r>
      <w:tab/>
    </w:r>
    <w:r>
      <w:fldChar w:fldCharType="begin"/>
    </w:r>
    <w:r>
      <w:instrText xml:space="preserve"> DOCVARIABLE "LW_Co</w:instrText>
    </w:r>
    <w:r>
      <w:instrText xml:space="preserve">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5C1" w:rsidRDefault="00E77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5B1" w:rsidRDefault="00A175B1">
      <w:pPr>
        <w:spacing w:before="0" w:after="0"/>
      </w:pPr>
      <w:r>
        <w:separator/>
      </w:r>
    </w:p>
  </w:footnote>
  <w:footnote w:type="continuationSeparator" w:id="0">
    <w:p w:rsidR="00A175B1" w:rsidRDefault="00A175B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80E" w:rsidRDefault="000738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80E" w:rsidRDefault="000738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80E" w:rsidRDefault="000738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BCE9C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B3CAF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4C0A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E20A41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62ED3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1DCA8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B58CF9E"/>
    <w:lvl w:ilvl="0">
      <w:start w:val="1"/>
      <w:numFmt w:val="decimal"/>
      <w:pStyle w:val="ListNumber"/>
      <w:lvlText w:val="%1."/>
      <w:lvlJc w:val="left"/>
      <w:pPr>
        <w:tabs>
          <w:tab w:val="num" w:pos="360"/>
        </w:tabs>
        <w:ind w:left="360" w:hanging="360"/>
      </w:pPr>
    </w:lvl>
  </w:abstractNum>
  <w:abstractNum w:abstractNumId="7">
    <w:nsid w:val="FFFFFF89"/>
    <w:multiLevelType w:val="singleLevel"/>
    <w:tmpl w:val="15F261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QCDateTime" w:val="2015-09-30 11:21: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DE942D8C830041A2A01E53994F6488FF"/>
    <w:docVar w:name="LW_CROSSREFERENCE" w:val="&lt;UNUSED&gt;"/>
    <w:docVar w:name="LW_DocType" w:val="COM"/>
    <w:docVar w:name="LW_EMISSION" w:val="2.10.2015"/>
    <w:docVar w:name="LW_EMISSION_ISODATE" w:val="2015-10-02"/>
    <w:docVar w:name="LW_EMISSION_LOCATION" w:val="BRX"/>
    <w:docVar w:name="LW_EMISSION_PREFIX" w:val="\u1041?\u1088?\u1102?\u1082?\u1089?\u1077?\u1083?, "/>
    <w:docVar w:name="LW_EMISSION_SUFFIX" w:val=" \u1075?."/>
    <w:docVar w:name="LW_ID_DOCMODEL" w:val="SJ-028"/>
    <w:docVar w:name="LW_ID_DOCSTRUCTURE" w:val="COM/PL/CODEC"/>
    <w:docVar w:name="LW_ID_DOCTYPE" w:val="SJ-028"/>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09"/>
    <w:docVar w:name="LW_REF.II.NEW.CP_YEAR" w:val="2013"/>
    <w:docVar w:name="LW_REF.INST.NEW" w:val="COM"/>
    <w:docVar w:name="LW_REF.INST.NEW_ADOPTED" w:val="final"/>
    <w:docVar w:name="LW_REF.INST.NEW_TEXT" w:val="(2015) 489"/>
    <w:docVar w:name="LW_REF.INTERNE" w:val="&lt;UNUSED&gt;"/>
    <w:docVar w:name="LW_SOUS.TITRE.OBJ.CP" w:val="&lt;UNUSED&gt;"/>
    <w:docVar w:name="LW_SUPERTITRE" w:val="&lt;UNUSED&gt;"/>
    <w:docVar w:name="LW_TITRE.OBJ.CP" w:val="\u1087?\u1086?\u1079?\u1080?\u1094?\u1080?\u1103? \u1085?\u1072? \u1057?\u1098?\u1074?\u1077?\u1090?\u1072? \u1074?\u1098?\u1074? \u1074?\u1088?\u1098?\u1079?\u1082?\u1072? \u1089? \u1087?\u1088?\u1080?\u1077?\u1084?\u1072?\u1085?\u1077?\u1090?\u1086? \u1085?\u1072? \u1088?\u1077?\u1075?\u1083?\u1072?\u1084?\u1077?\u1085?\u1090? \u1085?\u1072? \u1045?\u1074?\u1088?\u1086?\u1087?\u1077?\u1081?\u1089?\u1082?\u1080?\u1103? \u1087?\u1072?\u1088?\u1083?\u1072?\u1084?\u1077?\u1085?\u1090? \u1080? \u1085?\u1072? \u1057?\u1098?\u1074?\u1077?\u1090?\u1072? \u1079?\u1072? \u1086?\u1087?\u1088?\u1077?\u1076?\u1077?\u1083?\u1103?\u1085?\u1077? \u1085?\u1072? \u1084?\u1077?\u1088?\u1082?\u1080? \u1086?\u1090?\u1085?\u1086?\u1089?\u1085?\u1086? \u1076?\u1086?\u1089?\u1090?\u1098?\u1087?\u1072? \u1076?\u1086? \u1086?\u1090?\u1074?\u1086?\u1088?\u1077?\u1085? \u1080?\u1085?\u1090?\u1077?\u1088?\u1085?\u1077?\u1090? \u1080? \u1079?\u1072? \u1080?\u1079?\u1084?\u1077?\u1085?\u1077?\u1085?\u1080?\u1077? \u1085?\u1072? \u1044?\u1080?\u1088?\u1077?\u1082?\u1090?\u1080?\u1074?\u1072? 2002/22/\u1045?\u1054? \u1086?\u1090?\u1085?\u1086?\u1089?\u1085?\u1086? \u1091?\u1085?\u1080?\u1074?\u1077?\u1088?\u1089?\u1072?\u1083?\u1085?\u1072?\u1090?\u1072? \u1091?\u1089?\u1083?\u1091?\u1075?\u1072? \u1080? \u1087?\u1088?\u1072?\u1074?\u1072?\u1090?\u1072? \u1085?\u1072? \u1087?\u1086?\u1090?\u1088?\u1077?\u1073?\u1080?\u1090?\u1077?\u1083?\u1080?\u1090?\u1077? \u1074?\u1098?\u1074? \u1074?\u1088?\u1098?\u1079?\u1082?\u1072? \u1089? \u1077?\u1083?\u1077?\u1082?\u1090?\u1088?\u1086?\u1085?\u1085?\u1080?\u1090?\u1077? \u1089?\u1098?\u1086?\u1073?\u1097?\u1080?\u1090?\u1077?\u1083?\u1085?\u1080? \u1084?\u1088?\u1077?\u1078?\u1080? \u1080? \u1091?\u1089?\u1083?\u1091?\u1075?\u1080? \u1080? \u1085?\u1072? \u1056?\u1077?\u1075?\u1083?\u1072?\u1084?\u1077?\u1085?\u1090? (\u1045?\u1057?) \u8470? 531/2012 \u1085?\u1072? \u1045?\u1074?\u1088?\u1086?\u1087?\u1077?\u1081?\u1089?\u1082?\u1080?\u1103? \u1087?\u1072?\u1088?\u1083?\u1072?\u1084?\u1077?\u1085?\u1090? \u1080? \u1085?\u1072? \u1057?\u1098?\u1074?\u1077?\u1090?\u1072? \u1086?\u1090? 13 \u1102?\u1085?\u1080? 2012 \u1075?. \u1086?\u1090?\u1085?\u1086?\u1089?\u1085?\u1086? \u1088?\u1086?\u1091?\u1084?\u1080?\u1085?\u1075?\u1072? \u1074? \u1086?\u1073?\u1097?\u1077?\u1089?\u1090?\u1074?\u1077?\u1085?\u1080? \u1084?\u1086?\u1073?\u1080?\u1083?\u1085?\u1080? \u1089?\u1098?\u1086?\u1073?\u1097?\u1080?\u1090?\u1077?\u1083?\u1085?\u1080? \u1084?\u1088?\u1077?\u1078?\u1080? \u1074? \u1088?\u1072?\u1084?\u1082?\u1080?\u1090?\u1077? \u1085?\u1072? \u1057?\u1098?\u1102?\u1079?\u1072?"/>
    <w:docVar w:name="LW_TYPE.DOC.CP"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 294, \u1087?\u1072?\u1088?\u1072?\u1075?\u1088?\u1072?\u1092? 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 w:name="Stamp" w:val="\\dossiers.dgt.cec.eu.int\dossiers\CNECT\CNECT-2015-00059\CNECT-2015-00059-00-00-EN-REV-00.DOC"/>
  </w:docVars>
  <w:rsids>
    <w:rsidRoot w:val="00E775C1"/>
    <w:rsid w:val="0007380E"/>
    <w:rsid w:val="00A175B1"/>
    <w:rsid w:val="00E7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lang w:val="bg-BG" w:eastAsia="bg-BG" w:bidi="bg-BG"/>
    </w:rPr>
  </w:style>
  <w:style w:type="paragraph" w:styleId="Heading1">
    <w:name w:val="heading 1"/>
    <w:basedOn w:val="Normal"/>
    <w:next w:val="Text1"/>
    <w:link w:val="Heading1Char"/>
    <w:uiPriority w:val="9"/>
    <w:qFormat/>
    <w:pPr>
      <w:keepNext/>
      <w:numPr>
        <w:numId w:val="29"/>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imes New Roman"/>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imes New Roman"/>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200" w:line="276" w:lineRule="auto"/>
    </w:pPr>
    <w:rPr>
      <w:rFonts w:ascii="Times New Roman" w:hAnsi="Times New Roman"/>
      <w:color w:val="000000"/>
      <w:sz w:val="24"/>
      <w:szCs w:val="24"/>
      <w:lang w:val="bg-BG" w:eastAsia="bg-BG" w:bidi="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character" w:styleId="Hyperlink">
    <w:name w:val="Hyperlink"/>
    <w:uiPriority w:val="99"/>
    <w:unhideWhenUsed/>
    <w:rPr>
      <w:color w:val="0000FF"/>
      <w:u w:val="single"/>
    </w:rPr>
  </w:style>
  <w:style w:type="character" w:customStyle="1" w:styleId="s10">
    <w:name w:val="s10"/>
    <w:basedOn w:val="DefaultParagraphFont"/>
  </w:style>
  <w:style w:type="paragraph" w:styleId="Revision">
    <w:name w:val="Revision"/>
    <w:hidden/>
    <w:uiPriority w:val="99"/>
    <w:semiHidden/>
    <w:pPr>
      <w:spacing w:after="200" w:line="276" w:lineRule="auto"/>
    </w:pPr>
    <w:rPr>
      <w:rFonts w:ascii="Times New Roman" w:hAnsi="Times New Roman"/>
      <w:sz w:val="24"/>
      <w:szCs w:val="22"/>
      <w:lang w:val="bg-BG" w:eastAsia="bg-BG" w:bidi="bg-BG"/>
    </w:rPr>
  </w:style>
  <w:style w:type="paragraph" w:customStyle="1" w:styleId="CM4">
    <w:name w:val="CM4"/>
    <w:basedOn w:val="Default"/>
    <w:next w:val="Default"/>
    <w:uiPriority w:val="99"/>
    <w:rPr>
      <w:rFonts w:ascii="EUAlbertina" w:hAnsi="EUAlbertina"/>
      <w:color w:val="auto"/>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Pr>
      <w:rFonts w:ascii="Times New Roman" w:eastAsia="Times New Roman" w:hAnsi="Times New Roman" w:cs="Times New Roman"/>
      <w:b/>
      <w:bCs/>
      <w:smallCaps/>
      <w:sz w:val="24"/>
      <w:szCs w:val="28"/>
      <w:shd w:val="clear" w:color="auto" w:fill="auto"/>
      <w:lang w:val="en-GB"/>
    </w:rPr>
  </w:style>
  <w:style w:type="character" w:customStyle="1" w:styleId="Heading2Char">
    <w:name w:val="Heading 2 Char"/>
    <w:link w:val="Heading2"/>
    <w:uiPriority w:val="9"/>
    <w:semiHidden/>
    <w:rPr>
      <w:rFonts w:ascii="Times New Roman" w:eastAsia="Times New Roman" w:hAnsi="Times New Roman" w:cs="Times New Roman"/>
      <w:b/>
      <w:bCs/>
      <w:sz w:val="24"/>
      <w:szCs w:val="26"/>
      <w:shd w:val="clear" w:color="auto" w:fill="auto"/>
      <w:lang w:val="en-GB"/>
    </w:rPr>
  </w:style>
  <w:style w:type="character" w:customStyle="1" w:styleId="Heading3Char">
    <w:name w:val="Heading 3 Char"/>
    <w:link w:val="Heading3"/>
    <w:uiPriority w:val="9"/>
    <w:semiHidden/>
    <w:rPr>
      <w:rFonts w:ascii="Times New Roman" w:eastAsia="Times New Roman" w:hAnsi="Times New Roman" w:cs="Times New Roman"/>
      <w:bCs/>
      <w:i/>
      <w:sz w:val="24"/>
      <w:shd w:val="clear" w:color="auto" w:fill="auto"/>
      <w:lang w:val="en-GB"/>
    </w:rPr>
  </w:style>
  <w:style w:type="character" w:customStyle="1" w:styleId="Heading4Char">
    <w:name w:val="Heading 4 Char"/>
    <w:link w:val="Heading4"/>
    <w:uiPriority w:val="9"/>
    <w:semiHidden/>
    <w:rPr>
      <w:rFonts w:ascii="Times New Roman" w:eastAsia="Times New Roman"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628701">
      <w:bodyDiv w:val="1"/>
      <w:marLeft w:val="0"/>
      <w:marRight w:val="0"/>
      <w:marTop w:val="0"/>
      <w:marBottom w:val="0"/>
      <w:divBdr>
        <w:top w:val="none" w:sz="0" w:space="0" w:color="auto"/>
        <w:left w:val="none" w:sz="0" w:space="0" w:color="auto"/>
        <w:bottom w:val="none" w:sz="0" w:space="0" w:color="auto"/>
        <w:right w:val="none" w:sz="0" w:space="0" w:color="auto"/>
      </w:divBdr>
    </w:div>
    <w:div w:id="1300959675">
      <w:bodyDiv w:val="1"/>
      <w:marLeft w:val="0"/>
      <w:marRight w:val="0"/>
      <w:marTop w:val="0"/>
      <w:marBottom w:val="0"/>
      <w:divBdr>
        <w:top w:val="none" w:sz="0" w:space="0" w:color="auto"/>
        <w:left w:val="none" w:sz="0" w:space="0" w:color="auto"/>
        <w:bottom w:val="none" w:sz="0" w:space="0" w:color="auto"/>
        <w:right w:val="none" w:sz="0" w:space="0" w:color="auto"/>
      </w:divBdr>
    </w:div>
    <w:div w:id="1424296798">
      <w:bodyDiv w:val="1"/>
      <w:marLeft w:val="0"/>
      <w:marRight w:val="0"/>
      <w:marTop w:val="0"/>
      <w:marBottom w:val="0"/>
      <w:divBdr>
        <w:top w:val="none" w:sz="0" w:space="0" w:color="auto"/>
        <w:left w:val="none" w:sz="0" w:space="0" w:color="auto"/>
        <w:bottom w:val="none" w:sz="0" w:space="0" w:color="auto"/>
        <w:right w:val="none" w:sz="0" w:space="0" w:color="auto"/>
      </w:divBdr>
    </w:div>
    <w:div w:id="1901593777">
      <w:bodyDiv w:val="1"/>
      <w:marLeft w:val="0"/>
      <w:marRight w:val="0"/>
      <w:marTop w:val="0"/>
      <w:marBottom w:val="0"/>
      <w:divBdr>
        <w:top w:val="none" w:sz="0" w:space="0" w:color="auto"/>
        <w:left w:val="none" w:sz="0" w:space="0" w:color="auto"/>
        <w:bottom w:val="none" w:sz="0" w:space="0" w:color="auto"/>
        <w:right w:val="none" w:sz="0" w:space="0" w:color="auto"/>
      </w:divBdr>
    </w:div>
    <w:div w:id="208876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96BCA-6D46-4772-AFD8-77A8C4023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15</TotalTime>
  <Pages>4</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LAGES CARVALHO Patrick (SG)</cp:lastModifiedBy>
  <cp:revision>17</cp:revision>
  <cp:lastPrinted>2015-08-28T13:37:00Z</cp:lastPrinted>
  <dcterms:created xsi:type="dcterms:W3CDTF">2015-09-24T14:41:00Z</dcterms:created>
  <dcterms:modified xsi:type="dcterms:W3CDTF">2015-09-30T09:49:00Z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Yellow (DQC version 03)</vt:lpwstr>
  </property>
</Properties>
</file>