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C2" w:rsidRPr="00DB4201" w:rsidRDefault="0083484B" w:rsidP="00DB420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2d311b2-dfa1-45a6-a3c9-60346d13cf43_0" style="width:568.5pt;height:396pt">
            <v:imagedata r:id="rId9" o:title=""/>
          </v:shape>
        </w:pict>
      </w:r>
      <w:bookmarkEnd w:id="0"/>
    </w:p>
    <w:p w:rsidR="00C30DC2" w:rsidRPr="003D5C4E" w:rsidRDefault="00C30DC2" w:rsidP="00C30DC2">
      <w:pPr>
        <w:sectPr w:rsidR="00C30DC2" w:rsidRPr="003D5C4E" w:rsidSect="0083484B">
          <w:footerReference w:type="default" r:id="rId10"/>
          <w:footerReference w:type="first" r:id="rId11"/>
          <w:pgSz w:w="11907" w:h="16840" w:code="9"/>
          <w:pgMar w:top="624" w:right="1134" w:bottom="1134" w:left="1134" w:header="567" w:footer="567" w:gutter="0"/>
          <w:pgNumType w:start="1"/>
          <w:cols w:space="708"/>
          <w:titlePg/>
          <w:docGrid w:linePitch="360"/>
        </w:sectPr>
      </w:pPr>
    </w:p>
    <w:p w:rsidR="00C30DC2" w:rsidRPr="003D5C4E" w:rsidRDefault="002C75C4" w:rsidP="002C75C4">
      <w:pPr>
        <w:pStyle w:val="HeadingIVX"/>
        <w:numPr>
          <w:ilvl w:val="0"/>
          <w:numId w:val="2"/>
        </w:numPr>
        <w:spacing w:before="0" w:after="0"/>
      </w:pPr>
      <w:r w:rsidRPr="003D5C4E">
        <w:lastRenderedPageBreak/>
        <w:t>ВЪВЕДЕНИЕ</w:t>
      </w:r>
    </w:p>
    <w:p w:rsidR="007E3148" w:rsidRPr="003D5C4E" w:rsidRDefault="007E3148" w:rsidP="007E3148">
      <w:pPr>
        <w:spacing w:before="0" w:after="0"/>
      </w:pPr>
    </w:p>
    <w:p w:rsidR="007E3148" w:rsidRPr="003D5C4E" w:rsidRDefault="007E3148" w:rsidP="00F21889">
      <w:pPr>
        <w:suppressAutoHyphens/>
        <w:spacing w:before="0" w:after="0"/>
        <w:rPr>
          <w:bCs/>
        </w:rPr>
      </w:pPr>
      <w:r w:rsidRPr="003D5C4E">
        <w:t xml:space="preserve">На 2 април 2013 г. </w:t>
      </w:r>
      <w:r w:rsidRPr="003D5C4E">
        <w:rPr>
          <w:u w:val="single"/>
        </w:rPr>
        <w:t>Комисията</w:t>
      </w:r>
      <w:r w:rsidRPr="003D5C4E">
        <w:t xml:space="preserve"> представи на Съвета и на Европейския парламент посоченото по-горе предложение</w:t>
      </w:r>
      <w:r w:rsidRPr="003D5C4E">
        <w:rPr>
          <w:rStyle w:val="FootnoteReference"/>
        </w:rPr>
        <w:footnoteReference w:id="1"/>
      </w:r>
      <w:r w:rsidRPr="003D5C4E">
        <w:t>.</w:t>
      </w:r>
    </w:p>
    <w:p w:rsidR="007E3148" w:rsidRPr="003D5C4E" w:rsidRDefault="007E3148" w:rsidP="00F21889">
      <w:pPr>
        <w:suppressAutoHyphens/>
        <w:spacing w:before="0" w:after="0"/>
        <w:rPr>
          <w:bCs/>
        </w:rPr>
      </w:pPr>
    </w:p>
    <w:p w:rsidR="007E3148" w:rsidRPr="003D5C4E" w:rsidRDefault="007E3148" w:rsidP="00F21889">
      <w:pPr>
        <w:suppressAutoHyphens/>
        <w:spacing w:before="0" w:after="0"/>
        <w:rPr>
          <w:bCs/>
        </w:rPr>
      </w:pPr>
      <w:r w:rsidRPr="003D5C4E">
        <w:rPr>
          <w:u w:val="single"/>
        </w:rPr>
        <w:t>Европейският икономически и социален комитет</w:t>
      </w:r>
      <w:r w:rsidRPr="003D5C4E">
        <w:t xml:space="preserve"> прие своето становище на 11 юли 2013 г.</w:t>
      </w:r>
    </w:p>
    <w:p w:rsidR="007E3148" w:rsidRPr="003D5C4E" w:rsidRDefault="007E3148" w:rsidP="00F21889">
      <w:pPr>
        <w:suppressAutoHyphens/>
        <w:spacing w:before="0" w:after="0"/>
        <w:rPr>
          <w:bCs/>
        </w:rPr>
      </w:pPr>
    </w:p>
    <w:p w:rsidR="007E3148" w:rsidRPr="003D5C4E" w:rsidRDefault="007E3148" w:rsidP="00F21889">
      <w:pPr>
        <w:suppressAutoHyphens/>
        <w:spacing w:before="0" w:after="0"/>
        <w:rPr>
          <w:bCs/>
        </w:rPr>
      </w:pPr>
      <w:r w:rsidRPr="003D5C4E">
        <w:rPr>
          <w:u w:val="single"/>
        </w:rPr>
        <w:t>Европейският надзорен орган по защита на данните</w:t>
      </w:r>
      <w:r w:rsidRPr="003D5C4E">
        <w:t xml:space="preserve"> прие становището си на 11 юли 2013 г.</w:t>
      </w:r>
    </w:p>
    <w:p w:rsidR="007E3148" w:rsidRPr="003D5C4E" w:rsidRDefault="007E3148" w:rsidP="00F21889">
      <w:pPr>
        <w:suppressAutoHyphens/>
        <w:spacing w:before="0" w:after="0"/>
        <w:rPr>
          <w:bCs/>
        </w:rPr>
      </w:pPr>
    </w:p>
    <w:p w:rsidR="007E3148" w:rsidRPr="003D5C4E" w:rsidRDefault="007E3148" w:rsidP="00F21889">
      <w:pPr>
        <w:suppressAutoHyphens/>
        <w:spacing w:before="0" w:after="0"/>
        <w:rPr>
          <w:bCs/>
        </w:rPr>
      </w:pPr>
      <w:r w:rsidRPr="003D5C4E">
        <w:rPr>
          <w:u w:val="single"/>
        </w:rPr>
        <w:t>Европейският парламент</w:t>
      </w:r>
      <w:r w:rsidRPr="003D5C4E">
        <w:t xml:space="preserve"> прие позицията си на първо четене на 25 февруари 2014 г</w:t>
      </w:r>
      <w:r w:rsidRPr="003D5C4E">
        <w:rPr>
          <w:rStyle w:val="FootnoteReference"/>
        </w:rPr>
        <w:footnoteReference w:id="2"/>
      </w:r>
      <w:r w:rsidRPr="003D5C4E">
        <w:t>.</w:t>
      </w:r>
    </w:p>
    <w:p w:rsidR="007E3148" w:rsidRPr="003D5C4E" w:rsidRDefault="007E3148" w:rsidP="00F21889">
      <w:pPr>
        <w:suppressAutoHyphens/>
        <w:spacing w:before="0" w:after="0"/>
        <w:rPr>
          <w:bCs/>
        </w:rPr>
      </w:pPr>
    </w:p>
    <w:p w:rsidR="007E3148" w:rsidRPr="003D5C4E" w:rsidRDefault="007E3148" w:rsidP="00F21889">
      <w:pPr>
        <w:suppressAutoHyphens/>
        <w:spacing w:before="0" w:after="0"/>
        <w:rPr>
          <w:bCs/>
        </w:rPr>
      </w:pPr>
      <w:r w:rsidRPr="003D5C4E">
        <w:t xml:space="preserve">На 23 юли 2014 г. </w:t>
      </w:r>
      <w:r w:rsidRPr="003D5C4E">
        <w:rPr>
          <w:u w:val="single"/>
        </w:rPr>
        <w:t>Комитетът на постоянните представители</w:t>
      </w:r>
      <w:r w:rsidRPr="003D5C4E">
        <w:t xml:space="preserve"> (I част) възложи на председателството да проучи с Европейския парламент възможността за постигане на споразумение на ранен етап на второ четене въз основа на текста, който се съдържа в док. 11827/14.</w:t>
      </w:r>
    </w:p>
    <w:p w:rsidR="007E3148" w:rsidRPr="003D5C4E" w:rsidRDefault="007E3148" w:rsidP="00F21889">
      <w:pPr>
        <w:suppressAutoHyphens/>
        <w:spacing w:before="0" w:after="0"/>
        <w:rPr>
          <w:bCs/>
        </w:rPr>
      </w:pPr>
    </w:p>
    <w:p w:rsidR="007E3148" w:rsidRPr="003D5C4E" w:rsidRDefault="007E3148" w:rsidP="00F21889">
      <w:pPr>
        <w:suppressAutoHyphens/>
        <w:spacing w:before="0" w:after="0"/>
        <w:rPr>
          <w:bCs/>
        </w:rPr>
      </w:pPr>
      <w:r w:rsidRPr="003D5C4E">
        <w:t>След редица неформални тристранни разговори, с Европейския парламент беше постигнато споразумение по текста на регламента. Споразумението беше потвърдено на заседанието на Комитета на постоянните представители от 10 юни.</w:t>
      </w:r>
    </w:p>
    <w:p w:rsidR="007E3148" w:rsidRPr="003D5C4E" w:rsidRDefault="007E3148" w:rsidP="00F21889">
      <w:pPr>
        <w:suppressAutoHyphens/>
        <w:spacing w:before="0" w:after="0"/>
        <w:rPr>
          <w:bCs/>
        </w:rPr>
      </w:pPr>
    </w:p>
    <w:p w:rsidR="007E3148" w:rsidRPr="003D5C4E" w:rsidRDefault="007E3148" w:rsidP="00F21889">
      <w:pPr>
        <w:suppressAutoHyphens/>
        <w:spacing w:before="0" w:after="0"/>
        <w:rPr>
          <w:bCs/>
        </w:rPr>
      </w:pPr>
      <w:r w:rsidRPr="003D5C4E">
        <w:t>На 16 юни 2015 г. председателят на комисията по правни въпроси изпрати писмо до председателя на Комитета на постоянните представители (I част), в което посочи, че ако Съветът предаде официално на Европейския парламент своята позиция на първо четене в съответствие с горепосоченото споразумение след проверка от юрист-лингвистите, той ще препоръча на пленарната сесия на Европейския парламент да приеме позицията на Съвета без изменения на второ четене.</w:t>
      </w:r>
    </w:p>
    <w:p w:rsidR="007E3148" w:rsidRPr="003D5C4E" w:rsidRDefault="007E3148" w:rsidP="00F21889">
      <w:pPr>
        <w:suppressAutoHyphens/>
        <w:spacing w:before="0" w:after="0"/>
        <w:rPr>
          <w:bCs/>
        </w:rPr>
      </w:pPr>
    </w:p>
    <w:p w:rsidR="007E3148" w:rsidRPr="003D5C4E" w:rsidRDefault="007E3148" w:rsidP="00EE1DF9">
      <w:pPr>
        <w:widowControl w:val="0"/>
        <w:tabs>
          <w:tab w:val="left" w:pos="567"/>
          <w:tab w:val="left" w:pos="1134"/>
        </w:tabs>
        <w:suppressAutoHyphens/>
        <w:spacing w:before="0" w:after="0"/>
        <w:rPr>
          <w:bCs/>
        </w:rPr>
      </w:pPr>
      <w:r w:rsidRPr="003D5C4E">
        <w:t>Впоследствие Съветът одобри договорения текст чрез приемането на политическо споразумение на 13 юли 2015 г.</w:t>
      </w:r>
      <w:r w:rsidRPr="003D5C4E">
        <w:rPr>
          <w:rStyle w:val="FootnoteReference"/>
        </w:rPr>
        <w:footnoteReference w:id="3"/>
      </w:r>
    </w:p>
    <w:p w:rsidR="00C30DC2" w:rsidRPr="003D5C4E" w:rsidRDefault="007E3148" w:rsidP="002C75C4">
      <w:pPr>
        <w:pStyle w:val="HeadingIVX"/>
        <w:spacing w:before="0" w:after="0"/>
      </w:pPr>
      <w:r w:rsidRPr="003D5C4E">
        <w:br w:type="page"/>
      </w:r>
      <w:r w:rsidRPr="003D5C4E">
        <w:lastRenderedPageBreak/>
        <w:t>ЦЕЛ</w:t>
      </w:r>
    </w:p>
    <w:p w:rsidR="007E3148" w:rsidRPr="003D5C4E" w:rsidRDefault="007E3148" w:rsidP="007E3148">
      <w:pPr>
        <w:widowControl w:val="0"/>
        <w:suppressAutoHyphens/>
        <w:spacing w:before="0" w:after="0"/>
        <w:rPr>
          <w:b/>
          <w:color w:val="000000"/>
        </w:rPr>
      </w:pPr>
    </w:p>
    <w:p w:rsidR="007E3148" w:rsidRPr="003D5C4E" w:rsidRDefault="007E3148" w:rsidP="007E3148">
      <w:pPr>
        <w:suppressAutoHyphens/>
        <w:spacing w:before="0" w:after="0"/>
        <w:rPr>
          <w:bCs/>
        </w:rPr>
      </w:pPr>
      <w:r w:rsidRPr="003D5C4E">
        <w:t>Основната цел на настоящото предложение и на паралелното предложение за преработване на директивата</w:t>
      </w:r>
      <w:r w:rsidRPr="003D5C4E">
        <w:rPr>
          <w:vertAlign w:val="superscript"/>
        </w:rPr>
        <w:footnoteReference w:id="4"/>
      </w:r>
      <w:r w:rsidRPr="003D5C4E">
        <w:t xml:space="preserve"> е да се насърчат иновациите и икономическият растеж, като се направят системите за регистрация на марките на цялата територия на ЕС по-леснодостъпни и ефикасни за предприятията, което означава по-ниски разходи, по-малка степен на сложност, увеличена бързина, по-голяма предсказуемост и правна сигурност. Тези изменения се допълват от усилия за подсигуряване на съвместното съществуване и взаимното допълване на системата на марката на Съюза и националните системи на марките.</w:t>
      </w:r>
    </w:p>
    <w:p w:rsidR="007E3148" w:rsidRPr="003D5C4E" w:rsidRDefault="007E3148" w:rsidP="007E3148">
      <w:pPr>
        <w:suppressAutoHyphens/>
        <w:spacing w:before="0" w:after="0"/>
        <w:rPr>
          <w:bCs/>
        </w:rPr>
      </w:pPr>
    </w:p>
    <w:p w:rsidR="007E3148" w:rsidRPr="003D5C4E" w:rsidRDefault="007E3148" w:rsidP="007E3148">
      <w:pPr>
        <w:suppressAutoHyphens/>
        <w:spacing w:before="0" w:after="0"/>
        <w:rPr>
          <w:bCs/>
        </w:rPr>
      </w:pPr>
      <w:r w:rsidRPr="003D5C4E">
        <w:t>Във връзка с предложението за преразглеждане на регламента Комисията предлага целево модернизиране на действащите разпоредби в следните основни насоки:</w:t>
      </w:r>
    </w:p>
    <w:p w:rsidR="007E3148" w:rsidRPr="003D5C4E" w:rsidRDefault="007E3148" w:rsidP="007E3148">
      <w:pPr>
        <w:suppressAutoHyphens/>
        <w:spacing w:before="0" w:after="0"/>
        <w:rPr>
          <w:bCs/>
        </w:rPr>
      </w:pPr>
    </w:p>
    <w:p w:rsidR="007E3148" w:rsidRPr="003D5C4E" w:rsidRDefault="007E3148" w:rsidP="007822DB">
      <w:pPr>
        <w:pStyle w:val="Bullet1"/>
        <w:numPr>
          <w:ilvl w:val="0"/>
          <w:numId w:val="1"/>
        </w:numPr>
        <w:spacing w:before="0" w:after="0"/>
        <w:jc w:val="both"/>
        <w:outlineLvl w:val="9"/>
        <w:rPr>
          <w:noProof/>
        </w:rPr>
      </w:pPr>
      <w:r w:rsidRPr="003D5C4E">
        <w:t>адаптиране на терминологията към Договора от Лисабон, а на разпоредбите — към Общия подход относно децентрализираните агенции;</w:t>
      </w:r>
    </w:p>
    <w:p w:rsidR="007E3148" w:rsidRPr="003D5C4E" w:rsidRDefault="007E3148" w:rsidP="007822DB">
      <w:pPr>
        <w:pStyle w:val="Bullet1"/>
        <w:numPr>
          <w:ilvl w:val="0"/>
          <w:numId w:val="1"/>
        </w:numPr>
        <w:spacing w:before="0" w:after="0"/>
        <w:jc w:val="both"/>
        <w:outlineLvl w:val="9"/>
        <w:rPr>
          <w:noProof/>
        </w:rPr>
      </w:pPr>
      <w:r w:rsidRPr="003D5C4E">
        <w:t>рационализиране на процедурите за кандидатстване и регистрация на европейска марка;</w:t>
      </w:r>
    </w:p>
    <w:p w:rsidR="007E3148" w:rsidRPr="003D5C4E" w:rsidRDefault="007E3148" w:rsidP="007822DB">
      <w:pPr>
        <w:pStyle w:val="Bullet1"/>
        <w:numPr>
          <w:ilvl w:val="0"/>
          <w:numId w:val="1"/>
        </w:numPr>
        <w:spacing w:before="0" w:after="0"/>
        <w:jc w:val="both"/>
        <w:outlineLvl w:val="9"/>
        <w:rPr>
          <w:noProof/>
        </w:rPr>
      </w:pPr>
      <w:r w:rsidRPr="003D5C4E">
        <w:t>повишаване на правната сигурност чрез поясняване на определени разпоредби и отстраняване на известни неясноти;</w:t>
      </w:r>
    </w:p>
    <w:p w:rsidR="005F4B9C" w:rsidRPr="003D5C4E" w:rsidRDefault="007E3148" w:rsidP="007822DB">
      <w:pPr>
        <w:pStyle w:val="Bullet1"/>
        <w:numPr>
          <w:ilvl w:val="0"/>
          <w:numId w:val="1"/>
        </w:numPr>
        <w:spacing w:before="0" w:after="0"/>
        <w:jc w:val="both"/>
        <w:outlineLvl w:val="9"/>
        <w:rPr>
          <w:noProof/>
        </w:rPr>
      </w:pPr>
      <w:r w:rsidRPr="003D5C4E">
        <w:t>създаване на подходяща рамка за сътрудничество между Службата за хармонизация във вътрешния пазар (марки и дизайн) (наричана по-нататък „OHIM“) и националните ведомства с оглед насърчаване сближаването на практиките и разработване на общи инструменти;</w:t>
      </w:r>
    </w:p>
    <w:p w:rsidR="007E3148" w:rsidRPr="003D5C4E" w:rsidRDefault="005F4B9C" w:rsidP="007822DB">
      <w:pPr>
        <w:pStyle w:val="Bullet1"/>
        <w:numPr>
          <w:ilvl w:val="0"/>
          <w:numId w:val="1"/>
        </w:numPr>
        <w:spacing w:before="0" w:after="0"/>
        <w:jc w:val="both"/>
        <w:outlineLvl w:val="9"/>
        <w:rPr>
          <w:noProof/>
        </w:rPr>
      </w:pPr>
      <w:r w:rsidRPr="003D5C4E">
        <w:t>привеждане на тази рамка в съответствие с член 290 от Договора за функционирането на Европейския съюз (ДФЕС).</w:t>
      </w:r>
    </w:p>
    <w:p w:rsidR="00C30DC2" w:rsidRPr="003D5C4E" w:rsidRDefault="007E3148" w:rsidP="002C75C4">
      <w:pPr>
        <w:pStyle w:val="HeadingIVX"/>
        <w:spacing w:before="0" w:after="0"/>
      </w:pPr>
      <w:r w:rsidRPr="003D5C4E">
        <w:br w:type="page"/>
      </w:r>
      <w:r w:rsidRPr="003D5C4E">
        <w:lastRenderedPageBreak/>
        <w:t>АНАЛИЗ НА ПОЗИЦИЯТА НА СЪВЕТА НА ПЪРВО ЧЕТЕНЕ</w:t>
      </w:r>
    </w:p>
    <w:p w:rsidR="007E3148" w:rsidRPr="003D5C4E" w:rsidRDefault="007E3148" w:rsidP="007E3148">
      <w:pPr>
        <w:spacing w:before="0" w:after="0"/>
      </w:pPr>
    </w:p>
    <w:p w:rsidR="005F4B9C" w:rsidRPr="003D5C4E" w:rsidRDefault="005F4B9C" w:rsidP="007E3148">
      <w:pPr>
        <w:spacing w:before="0" w:after="0"/>
      </w:pPr>
      <w:r w:rsidRPr="003D5C4E">
        <w:t>Много голям брой от измененията на Европейския парламент на първо четене бяха възприети без промяна или с леко променена формулировка. Съвсем ограничен брой от измененията на Европейския парламент не бяха одобрени от Съвета.</w:t>
      </w:r>
    </w:p>
    <w:p w:rsidR="005F4B9C" w:rsidRPr="003D5C4E" w:rsidRDefault="005F4B9C" w:rsidP="007E3148">
      <w:pPr>
        <w:spacing w:before="0" w:after="0"/>
      </w:pPr>
    </w:p>
    <w:p w:rsidR="005F4B9C" w:rsidRPr="003D5C4E" w:rsidRDefault="005F4B9C" w:rsidP="007E3148">
      <w:pPr>
        <w:widowControl w:val="0"/>
        <w:tabs>
          <w:tab w:val="left" w:pos="567"/>
          <w:tab w:val="left" w:pos="1134"/>
        </w:tabs>
        <w:suppressAutoHyphens/>
        <w:spacing w:before="0" w:after="0"/>
        <w:rPr>
          <w:b/>
          <w:bCs/>
          <w:color w:val="000000"/>
        </w:rPr>
      </w:pPr>
      <w:r w:rsidRPr="003D5C4E">
        <w:rPr>
          <w:b/>
          <w:color w:val="000000"/>
        </w:rPr>
        <w:t>Основните елементи на споразумението между Съвета и Европейския парламент са изложени по-долу:</w:t>
      </w:r>
    </w:p>
    <w:p w:rsidR="005F4B9C" w:rsidRPr="003D5C4E" w:rsidRDefault="005F4B9C" w:rsidP="007E3148">
      <w:pPr>
        <w:widowControl w:val="0"/>
        <w:tabs>
          <w:tab w:val="left" w:pos="567"/>
          <w:tab w:val="left" w:pos="1134"/>
        </w:tabs>
        <w:suppressAutoHyphens/>
        <w:spacing w:before="0" w:after="0"/>
        <w:rPr>
          <w:color w:val="000000"/>
        </w:rPr>
      </w:pPr>
    </w:p>
    <w:p w:rsidR="005F4B9C" w:rsidRPr="003D5C4E" w:rsidRDefault="005F4B9C" w:rsidP="00DB4201">
      <w:pPr>
        <w:widowControl w:val="0"/>
        <w:tabs>
          <w:tab w:val="left" w:pos="567"/>
          <w:tab w:val="left" w:pos="1134"/>
        </w:tabs>
        <w:suppressAutoHyphens/>
        <w:spacing w:before="0" w:after="0"/>
        <w:ind w:left="567" w:hanging="567"/>
        <w:rPr>
          <w:color w:val="000000"/>
        </w:rPr>
      </w:pPr>
      <w:r w:rsidRPr="003D5C4E">
        <w:t>—</w:t>
      </w:r>
      <w:r w:rsidRPr="003D5C4E">
        <w:tab/>
      </w:r>
      <w:r w:rsidRPr="00DB4201">
        <w:t>изтъкване</w:t>
      </w:r>
      <w:r w:rsidRPr="003D5C4E">
        <w:rPr>
          <w:color w:val="000000"/>
        </w:rPr>
        <w:t xml:space="preserve"> на допълващия характер на защитата на търговските марки на национално и европейско равнище;</w:t>
      </w:r>
    </w:p>
    <w:p w:rsidR="005F4B9C" w:rsidRPr="003D5C4E" w:rsidRDefault="005F4B9C" w:rsidP="007E3148">
      <w:pPr>
        <w:widowControl w:val="0"/>
        <w:tabs>
          <w:tab w:val="left" w:pos="567"/>
          <w:tab w:val="left" w:pos="1134"/>
        </w:tabs>
        <w:suppressAutoHyphens/>
        <w:spacing w:before="0" w:after="0"/>
        <w:rPr>
          <w:color w:val="000000"/>
        </w:rPr>
      </w:pPr>
    </w:p>
    <w:p w:rsidR="007E3148" w:rsidRPr="003D5C4E" w:rsidRDefault="007E3148" w:rsidP="00F21889">
      <w:pPr>
        <w:widowControl w:val="0"/>
        <w:tabs>
          <w:tab w:val="left" w:pos="567"/>
          <w:tab w:val="left" w:pos="1134"/>
        </w:tabs>
        <w:suppressAutoHyphens/>
        <w:spacing w:before="0" w:after="0"/>
        <w:ind w:left="567" w:hanging="567"/>
        <w:rPr>
          <w:color w:val="000000"/>
        </w:rPr>
      </w:pPr>
      <w:r w:rsidRPr="003D5C4E">
        <w:t>—</w:t>
      </w:r>
      <w:r w:rsidRPr="003D5C4E">
        <w:tab/>
        <w:t>адаптиране на терминологията към изискванията на Договора от Лисабон (замяна на „марка на Общността„ с „марка на Европейския съюз“)</w:t>
      </w:r>
      <w:r w:rsidRPr="003D5C4E">
        <w:rPr>
          <w:color w:val="000000"/>
        </w:rPr>
        <w:t>;</w:t>
      </w:r>
    </w:p>
    <w:p w:rsidR="007E3148" w:rsidRPr="003D5C4E" w:rsidRDefault="007E3148" w:rsidP="007E3148">
      <w:pPr>
        <w:widowControl w:val="0"/>
        <w:tabs>
          <w:tab w:val="left" w:pos="567"/>
          <w:tab w:val="left" w:pos="1134"/>
        </w:tabs>
        <w:suppressAutoHyphens/>
        <w:spacing w:before="0" w:after="0"/>
        <w:rPr>
          <w:color w:val="000000"/>
        </w:rPr>
      </w:pPr>
    </w:p>
    <w:p w:rsidR="007E3148" w:rsidRPr="003D5C4E" w:rsidRDefault="007E3148" w:rsidP="00F21889">
      <w:pPr>
        <w:widowControl w:val="0"/>
        <w:tabs>
          <w:tab w:val="left" w:pos="567"/>
          <w:tab w:val="left" w:pos="1134"/>
        </w:tabs>
        <w:suppressAutoHyphens/>
        <w:spacing w:before="0" w:after="0"/>
        <w:ind w:left="567" w:hanging="567"/>
        <w:rPr>
          <w:color w:val="000000"/>
        </w:rPr>
      </w:pPr>
      <w:r w:rsidRPr="003D5C4E">
        <w:rPr>
          <w:color w:val="000000"/>
        </w:rPr>
        <w:t>—</w:t>
      </w:r>
      <w:r w:rsidRPr="003D5C4E">
        <w:tab/>
      </w:r>
      <w:r w:rsidRPr="003D5C4E">
        <w:rPr>
          <w:color w:val="000000"/>
        </w:rPr>
        <w:t>адаптиране на термините и управлението въз основа на общия подход относно децентрализираните агенции на Съюза, одобрен от Европейския парламент, Съвета и Комисията през юли 2012 г.;</w:t>
      </w:r>
    </w:p>
    <w:p w:rsidR="007E3148" w:rsidRPr="003D5C4E" w:rsidRDefault="007E3148" w:rsidP="007E3148">
      <w:pPr>
        <w:widowControl w:val="0"/>
        <w:tabs>
          <w:tab w:val="left" w:pos="567"/>
          <w:tab w:val="left" w:pos="1134"/>
        </w:tabs>
        <w:suppressAutoHyphens/>
        <w:spacing w:before="0" w:after="0"/>
        <w:rPr>
          <w:color w:val="000000"/>
        </w:rPr>
      </w:pPr>
    </w:p>
    <w:p w:rsidR="007E3148" w:rsidRPr="003D5C4E" w:rsidRDefault="007E3148" w:rsidP="00F21889">
      <w:pPr>
        <w:widowControl w:val="0"/>
        <w:tabs>
          <w:tab w:val="left" w:pos="567"/>
          <w:tab w:val="left" w:pos="1134"/>
        </w:tabs>
        <w:suppressAutoHyphens/>
        <w:spacing w:before="0" w:after="0"/>
        <w:ind w:left="567" w:hanging="567"/>
        <w:rPr>
          <w:color w:val="000000"/>
        </w:rPr>
      </w:pPr>
      <w:r w:rsidRPr="003D5C4E">
        <w:rPr>
          <w:color w:val="000000"/>
        </w:rPr>
        <w:t>—</w:t>
      </w:r>
      <w:r w:rsidRPr="003D5C4E">
        <w:tab/>
        <w:t>премахване на възможността за подаване на заявка за марка на Европейския съюз чрез централните ведомства за индустриална собственост на държавите членки;</w:t>
      </w:r>
    </w:p>
    <w:p w:rsidR="007E3148" w:rsidRPr="003D5C4E" w:rsidRDefault="007E3148" w:rsidP="007E3148">
      <w:pPr>
        <w:widowControl w:val="0"/>
        <w:suppressAutoHyphens/>
        <w:spacing w:before="0" w:after="0"/>
        <w:rPr>
          <w:color w:val="000000"/>
        </w:rPr>
      </w:pPr>
    </w:p>
    <w:p w:rsidR="007E3148" w:rsidRPr="003D5C4E" w:rsidRDefault="007E3148" w:rsidP="00F21889">
      <w:pPr>
        <w:widowControl w:val="0"/>
        <w:suppressAutoHyphens/>
        <w:spacing w:before="0" w:after="0"/>
        <w:ind w:left="567" w:hanging="567"/>
        <w:rPr>
          <w:color w:val="000000"/>
        </w:rPr>
      </w:pPr>
      <w:r w:rsidRPr="003D5C4E">
        <w:rPr>
          <w:color w:val="000000"/>
        </w:rPr>
        <w:t>—</w:t>
      </w:r>
      <w:r w:rsidRPr="003D5C4E">
        <w:tab/>
        <w:t>рационализиране на техническите разпоредби относно търсенето на марки, публикуването на заявката, бележките на трети лица, преразглеждането на решения inter partes, продължаването на производството, периода за представяне на възражение по отношение на международни регистрации</w:t>
      </w:r>
      <w:r w:rsidRPr="003D5C4E">
        <w:rPr>
          <w:color w:val="000000"/>
        </w:rPr>
        <w:t>;</w:t>
      </w:r>
    </w:p>
    <w:p w:rsidR="007E3148" w:rsidRPr="003D5C4E" w:rsidRDefault="00F21889" w:rsidP="00F21889">
      <w:pPr>
        <w:widowControl w:val="0"/>
        <w:suppressAutoHyphens/>
        <w:spacing w:before="0" w:after="0"/>
        <w:ind w:left="567" w:hanging="567"/>
        <w:rPr>
          <w:color w:val="000000"/>
        </w:rPr>
      </w:pPr>
      <w:r w:rsidRPr="003D5C4E">
        <w:br w:type="page"/>
      </w:r>
      <w:r w:rsidRPr="003D5C4E">
        <w:rPr>
          <w:color w:val="000000"/>
        </w:rPr>
        <w:t>—</w:t>
      </w:r>
      <w:r w:rsidRPr="003D5C4E">
        <w:tab/>
        <w:t>премахване на изискването за „графично изобразяване“ на даден знак, за да може да бъде регистриран като марка на Европейския съюз</w:t>
      </w:r>
      <w:r w:rsidRPr="003D5C4E">
        <w:rPr>
          <w:color w:val="000000"/>
        </w:rPr>
        <w:t>;</w:t>
      </w:r>
    </w:p>
    <w:p w:rsidR="007E3148" w:rsidRPr="003D5C4E" w:rsidRDefault="007E3148" w:rsidP="007E3148">
      <w:pPr>
        <w:widowControl w:val="0"/>
        <w:suppressAutoHyphens/>
        <w:spacing w:before="0" w:after="0"/>
        <w:rPr>
          <w:color w:val="000000"/>
        </w:rPr>
      </w:pPr>
    </w:p>
    <w:p w:rsidR="007E3148" w:rsidRPr="003D5C4E" w:rsidRDefault="007E3148" w:rsidP="00F21889">
      <w:pPr>
        <w:widowControl w:val="0"/>
        <w:suppressAutoHyphens/>
        <w:spacing w:before="0" w:after="0"/>
        <w:ind w:left="567" w:hanging="567"/>
        <w:rPr>
          <w:color w:val="000000"/>
        </w:rPr>
      </w:pPr>
      <w:r w:rsidRPr="003D5C4E">
        <w:t>—</w:t>
      </w:r>
      <w:r w:rsidRPr="003D5C4E">
        <w:tab/>
        <w:t>разширяване на обхвата на абсолютните основания за отказ, така че да се включат наименованията за произход, географските указания, традиционните наименования за вина и храни с традиционно специфичен характер и правната закрила на сортовете растения;</w:t>
      </w:r>
    </w:p>
    <w:p w:rsidR="00796161" w:rsidRPr="003D5C4E" w:rsidRDefault="00796161" w:rsidP="007E3148">
      <w:pPr>
        <w:widowControl w:val="0"/>
        <w:suppressAutoHyphens/>
        <w:spacing w:before="0" w:after="0"/>
        <w:rPr>
          <w:color w:val="000000"/>
        </w:rPr>
      </w:pPr>
    </w:p>
    <w:p w:rsidR="007E3148" w:rsidRPr="003D5C4E" w:rsidRDefault="0049403C" w:rsidP="00F21889">
      <w:pPr>
        <w:widowControl w:val="0"/>
        <w:suppressAutoHyphens/>
        <w:spacing w:before="0" w:after="0"/>
        <w:ind w:left="567" w:hanging="567"/>
        <w:rPr>
          <w:color w:val="000000"/>
        </w:rPr>
      </w:pPr>
      <w:r w:rsidRPr="003D5C4E">
        <w:t>—</w:t>
      </w:r>
      <w:r w:rsidRPr="003D5C4E">
        <w:tab/>
        <w:t>разширяване на обхвата на относителните основания за отказ, така че да се включат наименованията за произход и географските указания</w:t>
      </w:r>
      <w:r w:rsidRPr="003D5C4E">
        <w:rPr>
          <w:color w:val="000000"/>
        </w:rPr>
        <w:t>;</w:t>
      </w:r>
    </w:p>
    <w:p w:rsidR="00796161" w:rsidRPr="003D5C4E" w:rsidRDefault="00796161" w:rsidP="00796161">
      <w:pPr>
        <w:widowControl w:val="0"/>
        <w:suppressAutoHyphens/>
        <w:spacing w:before="0" w:after="0"/>
        <w:rPr>
          <w:color w:val="000000"/>
        </w:rPr>
      </w:pPr>
    </w:p>
    <w:p w:rsidR="001B18FE" w:rsidRPr="003D5C4E" w:rsidRDefault="007E3148" w:rsidP="00F21889">
      <w:pPr>
        <w:widowControl w:val="0"/>
        <w:suppressAutoHyphens/>
        <w:spacing w:before="0" w:after="0"/>
        <w:ind w:left="567" w:hanging="567"/>
        <w:rPr>
          <w:color w:val="000000"/>
        </w:rPr>
      </w:pPr>
      <w:r w:rsidRPr="003D5C4E">
        <w:rPr>
          <w:color w:val="000000"/>
        </w:rPr>
        <w:t>—</w:t>
      </w:r>
      <w:r w:rsidRPr="003D5C4E">
        <w:tab/>
        <w:t>право на притежателите на марка на Европейския съюз да попречат на разпространението и продажбата на етикети и опаковки и подобни предмети, които впоследствие могат да бъдат използвани и по отношение на други стоки или услуги — предмет на нарушение</w:t>
      </w:r>
      <w:r w:rsidRPr="003D5C4E">
        <w:rPr>
          <w:color w:val="000000"/>
        </w:rPr>
        <w:t>;</w:t>
      </w:r>
    </w:p>
    <w:p w:rsidR="001B18FE" w:rsidRPr="003D5C4E" w:rsidRDefault="001B18FE" w:rsidP="001B18FE">
      <w:pPr>
        <w:widowControl w:val="0"/>
        <w:suppressAutoHyphens/>
        <w:spacing w:before="0" w:after="0"/>
        <w:rPr>
          <w:color w:val="000000"/>
        </w:rPr>
      </w:pPr>
    </w:p>
    <w:p w:rsidR="007E3148" w:rsidRPr="003D5C4E" w:rsidRDefault="007E3148" w:rsidP="00F21889">
      <w:pPr>
        <w:widowControl w:val="0"/>
        <w:suppressAutoHyphens/>
        <w:spacing w:before="0" w:after="0"/>
        <w:ind w:left="567" w:hanging="567"/>
        <w:rPr>
          <w:color w:val="000000"/>
        </w:rPr>
      </w:pPr>
      <w:r w:rsidRPr="003D5C4E">
        <w:t>—</w:t>
      </w:r>
      <w:r w:rsidRPr="003D5C4E">
        <w:tab/>
        <w:t>изрична разпоредба, която да гарантира, че правата, свързани с марка на Европейския съюз, не могат да бъдат използвани като основание срещу по-ранни права върху марката</w:t>
      </w:r>
      <w:r w:rsidRPr="003D5C4E">
        <w:rPr>
          <w:color w:val="000000"/>
        </w:rPr>
        <w:t>;</w:t>
      </w:r>
    </w:p>
    <w:p w:rsidR="007E3148" w:rsidRPr="003D5C4E" w:rsidRDefault="007E3148" w:rsidP="007E3148">
      <w:pPr>
        <w:widowControl w:val="0"/>
        <w:suppressAutoHyphens/>
        <w:spacing w:before="0" w:after="0"/>
        <w:rPr>
          <w:color w:val="000000"/>
        </w:rPr>
      </w:pPr>
    </w:p>
    <w:p w:rsidR="007E3148" w:rsidRPr="003D5C4E" w:rsidRDefault="007E3148" w:rsidP="00F21889">
      <w:pPr>
        <w:widowControl w:val="0"/>
        <w:suppressAutoHyphens/>
        <w:spacing w:before="0" w:after="0"/>
        <w:ind w:left="567" w:hanging="567"/>
        <w:rPr>
          <w:color w:val="000000"/>
        </w:rPr>
      </w:pPr>
      <w:r w:rsidRPr="003D5C4E">
        <w:rPr>
          <w:color w:val="000000"/>
        </w:rPr>
        <w:t>—</w:t>
      </w:r>
      <w:r w:rsidR="00DB4201" w:rsidRPr="00DB4201">
        <w:rPr>
          <w:color w:val="000000"/>
        </w:rPr>
        <w:tab/>
      </w:r>
      <w:r w:rsidRPr="003D5C4E">
        <w:rPr>
          <w:color w:val="000000"/>
        </w:rPr>
        <w:t>разширяване на обхвата на защитата на марката на Европейския съюз, така че да се включи използването на марката в търговско или фирмено наименование;</w:t>
      </w:r>
    </w:p>
    <w:p w:rsidR="007E3148" w:rsidRPr="003D5C4E" w:rsidRDefault="007E3148" w:rsidP="007E3148">
      <w:pPr>
        <w:widowControl w:val="0"/>
        <w:suppressAutoHyphens/>
        <w:spacing w:before="0" w:after="0"/>
        <w:rPr>
          <w:color w:val="000000"/>
        </w:rPr>
      </w:pPr>
    </w:p>
    <w:p w:rsidR="007E3148" w:rsidRPr="003D5C4E" w:rsidRDefault="007E3148" w:rsidP="00F21889">
      <w:pPr>
        <w:widowControl w:val="0"/>
        <w:suppressAutoHyphens/>
        <w:spacing w:before="0" w:after="0"/>
        <w:ind w:left="567" w:hanging="567"/>
        <w:rPr>
          <w:color w:val="000000"/>
        </w:rPr>
      </w:pPr>
      <w:r w:rsidRPr="003D5C4E">
        <w:rPr>
          <w:color w:val="000000"/>
        </w:rPr>
        <w:t>—</w:t>
      </w:r>
      <w:r w:rsidR="00DB4201" w:rsidRPr="00DB4201">
        <w:rPr>
          <w:color w:val="000000"/>
        </w:rPr>
        <w:tab/>
      </w:r>
      <w:r w:rsidRPr="003D5C4E">
        <w:rPr>
          <w:color w:val="000000"/>
        </w:rPr>
        <w:t>цялостни разпоредби за определяне и класификация на стоките и услугите в съответствие с практиката на Съда на Европейския съюз;</w:t>
      </w:r>
    </w:p>
    <w:p w:rsidR="007E3148" w:rsidRPr="003D5C4E" w:rsidRDefault="007E3148" w:rsidP="007E3148">
      <w:pPr>
        <w:widowControl w:val="0"/>
        <w:suppressAutoHyphens/>
        <w:spacing w:before="0" w:after="0"/>
        <w:rPr>
          <w:color w:val="000000"/>
        </w:rPr>
      </w:pPr>
    </w:p>
    <w:p w:rsidR="007E3148" w:rsidRPr="003D5C4E" w:rsidRDefault="007E3148" w:rsidP="007E3148">
      <w:pPr>
        <w:widowControl w:val="0"/>
        <w:suppressAutoHyphens/>
        <w:spacing w:before="0" w:after="0"/>
        <w:rPr>
          <w:color w:val="000000"/>
        </w:rPr>
      </w:pPr>
      <w:r w:rsidRPr="003D5C4E">
        <w:rPr>
          <w:color w:val="000000"/>
        </w:rPr>
        <w:t>—</w:t>
      </w:r>
      <w:r w:rsidR="00DB4201" w:rsidRPr="00DB4201">
        <w:rPr>
          <w:color w:val="000000"/>
        </w:rPr>
        <w:tab/>
      </w:r>
      <w:r w:rsidRPr="003D5C4E">
        <w:rPr>
          <w:color w:val="000000"/>
        </w:rPr>
        <w:t>въвеждане на възможност за получаване на сертификатна марка на Европейския съюз;</w:t>
      </w:r>
    </w:p>
    <w:p w:rsidR="007E3148" w:rsidRPr="003D5C4E" w:rsidRDefault="007E3148" w:rsidP="007E3148">
      <w:pPr>
        <w:widowControl w:val="0"/>
        <w:suppressAutoHyphens/>
        <w:spacing w:before="0" w:after="0"/>
        <w:rPr>
          <w:color w:val="000000"/>
        </w:rPr>
      </w:pPr>
    </w:p>
    <w:p w:rsidR="00CE0704" w:rsidRPr="003D5C4E" w:rsidRDefault="00CE0704" w:rsidP="00DB4201">
      <w:pPr>
        <w:widowControl w:val="0"/>
        <w:tabs>
          <w:tab w:val="left" w:pos="567"/>
          <w:tab w:val="left" w:pos="1134"/>
        </w:tabs>
        <w:suppressAutoHyphens/>
        <w:spacing w:before="0" w:after="0"/>
        <w:ind w:left="567" w:hanging="567"/>
        <w:rPr>
          <w:color w:val="000000"/>
        </w:rPr>
      </w:pPr>
      <w:r w:rsidRPr="003D5C4E">
        <w:rPr>
          <w:color w:val="000000"/>
        </w:rPr>
        <w:t>—</w:t>
      </w:r>
      <w:r w:rsidRPr="003D5C4E">
        <w:tab/>
        <w:t>преименуване на OHIM на „Служба на Европейския съюз за интелектуална собственост“</w:t>
      </w:r>
      <w:r w:rsidRPr="003D5C4E">
        <w:rPr>
          <w:color w:val="000000"/>
        </w:rPr>
        <w:t>;</w:t>
      </w:r>
    </w:p>
    <w:p w:rsidR="00CE0704" w:rsidRPr="003D5C4E" w:rsidRDefault="00CE0704" w:rsidP="00CE0704">
      <w:pPr>
        <w:widowControl w:val="0"/>
        <w:suppressAutoHyphens/>
        <w:spacing w:before="0" w:after="0"/>
        <w:rPr>
          <w:color w:val="000000"/>
        </w:rPr>
      </w:pPr>
    </w:p>
    <w:p w:rsidR="007E3148" w:rsidRPr="003D5C4E" w:rsidRDefault="007E3148" w:rsidP="007E3148">
      <w:pPr>
        <w:widowControl w:val="0"/>
        <w:suppressAutoHyphens/>
        <w:spacing w:before="0" w:after="0"/>
        <w:rPr>
          <w:color w:val="000000"/>
        </w:rPr>
      </w:pPr>
      <w:r w:rsidRPr="003D5C4E">
        <w:rPr>
          <w:color w:val="000000"/>
        </w:rPr>
        <w:t>—</w:t>
      </w:r>
      <w:r w:rsidR="00DB4201" w:rsidRPr="00DB4201">
        <w:rPr>
          <w:color w:val="000000"/>
        </w:rPr>
        <w:tab/>
      </w:r>
      <w:r w:rsidRPr="003D5C4E">
        <w:rPr>
          <w:color w:val="000000"/>
        </w:rPr>
        <w:t>изчерпателно определяне на задачите на Службата;</w:t>
      </w:r>
    </w:p>
    <w:p w:rsidR="00094893" w:rsidRPr="003D5C4E" w:rsidRDefault="00F21889" w:rsidP="00DB4201">
      <w:pPr>
        <w:widowControl w:val="0"/>
        <w:tabs>
          <w:tab w:val="left" w:pos="567"/>
          <w:tab w:val="left" w:pos="1134"/>
        </w:tabs>
        <w:suppressAutoHyphens/>
        <w:spacing w:before="0" w:after="0"/>
        <w:ind w:left="567" w:hanging="567"/>
        <w:rPr>
          <w:color w:val="000000"/>
        </w:rPr>
      </w:pPr>
      <w:r w:rsidRPr="003D5C4E">
        <w:br w:type="page"/>
      </w:r>
      <w:r w:rsidRPr="003D5C4E">
        <w:rPr>
          <w:color w:val="000000"/>
        </w:rPr>
        <w:t>—</w:t>
      </w:r>
      <w:r w:rsidRPr="003D5C4E">
        <w:tab/>
        <w:t>предоставяне на необходимото правно основание на Службата, за да създаде център за медиация</w:t>
      </w:r>
      <w:r w:rsidRPr="003D5C4E">
        <w:rPr>
          <w:color w:val="000000"/>
        </w:rPr>
        <w:t>;</w:t>
      </w:r>
    </w:p>
    <w:p w:rsidR="007E3148" w:rsidRPr="003D5C4E" w:rsidRDefault="007E3148" w:rsidP="007E3148">
      <w:pPr>
        <w:widowControl w:val="0"/>
        <w:suppressAutoHyphens/>
        <w:spacing w:before="0" w:after="0"/>
        <w:rPr>
          <w:color w:val="000000"/>
        </w:rPr>
      </w:pPr>
    </w:p>
    <w:p w:rsidR="007E3148" w:rsidRPr="003D5C4E" w:rsidRDefault="007E3148" w:rsidP="00F21889">
      <w:pPr>
        <w:widowControl w:val="0"/>
        <w:suppressAutoHyphens/>
        <w:spacing w:before="0" w:after="0"/>
        <w:ind w:left="567" w:hanging="567"/>
        <w:rPr>
          <w:color w:val="000000"/>
        </w:rPr>
      </w:pPr>
      <w:r w:rsidRPr="003D5C4E">
        <w:rPr>
          <w:color w:val="000000"/>
        </w:rPr>
        <w:t>—</w:t>
      </w:r>
      <w:r w:rsidRPr="003D5C4E">
        <w:tab/>
        <w:t>осигуряване на правна рамка за сътрудничество между Службата и централните ведомства за индустриална собственост за насърчаване на сближаването на практиките и инструментите, включително предоставянето на правно основание за финансиране на проекти за сътрудничество от Службата</w:t>
      </w:r>
      <w:r w:rsidRPr="003D5C4E">
        <w:rPr>
          <w:color w:val="000000"/>
        </w:rPr>
        <w:t>;</w:t>
      </w:r>
    </w:p>
    <w:p w:rsidR="007E3148" w:rsidRPr="003D5C4E" w:rsidRDefault="007E3148" w:rsidP="007E3148">
      <w:pPr>
        <w:widowControl w:val="0"/>
        <w:suppressAutoHyphens/>
        <w:spacing w:before="0" w:after="0"/>
        <w:rPr>
          <w:color w:val="000000"/>
        </w:rPr>
      </w:pPr>
    </w:p>
    <w:p w:rsidR="007E3148" w:rsidRPr="003D5C4E" w:rsidRDefault="007E3148" w:rsidP="00F21889">
      <w:pPr>
        <w:spacing w:before="0" w:after="0"/>
        <w:ind w:left="567" w:hanging="567"/>
        <w:rPr>
          <w:color w:val="000000"/>
        </w:rPr>
      </w:pPr>
      <w:r w:rsidRPr="003D5C4E">
        <w:rPr>
          <w:color w:val="000000"/>
        </w:rPr>
        <w:t>—</w:t>
      </w:r>
      <w:r w:rsidR="00DB4201" w:rsidRPr="00DB4201">
        <w:rPr>
          <w:color w:val="000000"/>
        </w:rPr>
        <w:tab/>
      </w:r>
      <w:r w:rsidRPr="003D5C4E">
        <w:rPr>
          <w:color w:val="000000"/>
        </w:rPr>
        <w:t>привеждане на регламента в съответствие с член 290 от ДФЕС с предпочитание за включване в основния акт на колкото е възможно повече разпоредби, включително разпоредбите, определящи равнището на таксите.</w:t>
      </w:r>
    </w:p>
    <w:p w:rsidR="00094893" w:rsidRPr="003D5C4E" w:rsidRDefault="00094893" w:rsidP="007E3148">
      <w:pPr>
        <w:spacing w:before="0" w:after="0"/>
        <w:rPr>
          <w:b/>
          <w:bCs/>
          <w:color w:val="000000"/>
        </w:rPr>
      </w:pPr>
    </w:p>
    <w:p w:rsidR="005F4B9C" w:rsidRPr="003D5C4E" w:rsidRDefault="005F4B9C" w:rsidP="007E3148">
      <w:pPr>
        <w:spacing w:before="0" w:after="0"/>
        <w:rPr>
          <w:b/>
          <w:bCs/>
          <w:color w:val="000000"/>
        </w:rPr>
      </w:pPr>
      <w:r w:rsidRPr="003D5C4E">
        <w:rPr>
          <w:b/>
          <w:color w:val="000000"/>
        </w:rPr>
        <w:t>Основните елементи, по които позицията на Съвета на първо четене не следва позицията на Европейския парламент, са следните:</w:t>
      </w:r>
    </w:p>
    <w:p w:rsidR="005F4B9C" w:rsidRPr="003D5C4E" w:rsidRDefault="005F4B9C" w:rsidP="007E3148">
      <w:pPr>
        <w:spacing w:before="0" w:after="0"/>
        <w:rPr>
          <w:color w:val="000000"/>
        </w:rPr>
      </w:pPr>
    </w:p>
    <w:p w:rsidR="005F4B9C" w:rsidRPr="003D5C4E" w:rsidRDefault="005F4B9C" w:rsidP="00F21889">
      <w:pPr>
        <w:widowControl w:val="0"/>
        <w:tabs>
          <w:tab w:val="left" w:pos="567"/>
        </w:tabs>
        <w:suppressAutoHyphens/>
        <w:spacing w:before="0" w:after="0"/>
        <w:ind w:left="567" w:hanging="567"/>
      </w:pPr>
      <w:r w:rsidRPr="003D5C4E">
        <w:t>—</w:t>
      </w:r>
      <w:r w:rsidRPr="003D5C4E">
        <w:tab/>
        <w:t>включване на разпоредба, която да урежда въвеждането на фалшифицирани стоки, особено в контекста на продажбите по интернет, доставяни на малки пратки, в случаите, при които само изпращачът на фалшифицираните стоки осъществява търговската дейност;</w:t>
      </w:r>
    </w:p>
    <w:p w:rsidR="005F4B9C" w:rsidRPr="003D5C4E" w:rsidRDefault="005F4B9C" w:rsidP="005F4B9C">
      <w:pPr>
        <w:widowControl w:val="0"/>
        <w:tabs>
          <w:tab w:val="left" w:pos="567"/>
        </w:tabs>
        <w:suppressAutoHyphens/>
        <w:spacing w:before="0" w:after="0"/>
      </w:pPr>
    </w:p>
    <w:p w:rsidR="0049403C" w:rsidRPr="003D5C4E" w:rsidRDefault="0049403C" w:rsidP="00F21889">
      <w:pPr>
        <w:widowControl w:val="0"/>
        <w:tabs>
          <w:tab w:val="left" w:pos="567"/>
        </w:tabs>
        <w:suppressAutoHyphens/>
        <w:spacing w:before="0" w:after="0"/>
        <w:ind w:left="567" w:hanging="567"/>
      </w:pPr>
      <w:r w:rsidRPr="003D5C4E">
        <w:t>—</w:t>
      </w:r>
      <w:r w:rsidRPr="003D5C4E">
        <w:tab/>
        <w:t>въпреки съгласието си, че притежателите на марка на Европейския съюз следва да имат право да възпрепятстват трети лица да внасят на митническата територия на Съюза стоки от трети държави, върху които без разрешение е поставена марка, идентична по същество с марката на Европейския съюз, независимо дали са пуснати в свободно обращение, Съветът прави уговорката, че това право отпада, ако деклараторът или държателят на въпросните стоки докаже, че притежателят на марката на Европейския съюз няма право да забрани пускането на стоките на пазара в държавата на крайно местоназначение;</w:t>
      </w:r>
    </w:p>
    <w:p w:rsidR="00CE0704" w:rsidRPr="003D5C4E" w:rsidRDefault="00F21889" w:rsidP="00F21889">
      <w:pPr>
        <w:widowControl w:val="0"/>
        <w:tabs>
          <w:tab w:val="left" w:pos="567"/>
        </w:tabs>
        <w:suppressAutoHyphens/>
        <w:spacing w:before="0" w:after="0"/>
        <w:ind w:left="567" w:hanging="567"/>
      </w:pPr>
      <w:r w:rsidRPr="003D5C4E">
        <w:br w:type="page"/>
        <w:t>—</w:t>
      </w:r>
      <w:r w:rsidRPr="003D5C4E">
        <w:tab/>
        <w:t>въвеждане на общо изключение за правата, свързани с марка на Европейския съюз, когато трето лице използва марката за нетърговски цели, както и въвеждане на други изключения по отношение на правата, свързани с марка на Европейския съюз, например в случаи, когато марката на Европейския съюз е използвана от трето лице, за да се привлече вниманието на потребителите върху препродажбата на оригинални стоки, които първоначално са били продавани от или със съгласието на притежателя на марката, или с цел да се представи законна алтернатива на стоките или услугите на притежателя на марката на Европейския съюз, или с цел пародия, артистична изява, критика или коментар;</w:t>
      </w:r>
    </w:p>
    <w:p w:rsidR="00CE0704" w:rsidRPr="003D5C4E" w:rsidRDefault="00CE0704" w:rsidP="00CE0704">
      <w:pPr>
        <w:widowControl w:val="0"/>
        <w:tabs>
          <w:tab w:val="left" w:pos="567"/>
        </w:tabs>
        <w:suppressAutoHyphens/>
        <w:spacing w:before="0" w:after="0"/>
      </w:pPr>
    </w:p>
    <w:p w:rsidR="00624401" w:rsidRPr="003D5C4E" w:rsidRDefault="00CE0704" w:rsidP="00F21889">
      <w:pPr>
        <w:widowControl w:val="0"/>
        <w:tabs>
          <w:tab w:val="left" w:pos="567"/>
        </w:tabs>
        <w:suppressAutoHyphens/>
        <w:spacing w:before="0" w:after="0"/>
        <w:ind w:left="567" w:hanging="567"/>
      </w:pPr>
      <w:r w:rsidRPr="003D5C4E">
        <w:t>—</w:t>
      </w:r>
      <w:r w:rsidRPr="003D5C4E">
        <w:tab/>
        <w:t>избор и назначение на изпълнителния директор на OHIM от управителния съвет;</w:t>
      </w:r>
    </w:p>
    <w:p w:rsidR="00624401" w:rsidRPr="003D5C4E" w:rsidRDefault="00624401" w:rsidP="00CE0704">
      <w:pPr>
        <w:widowControl w:val="0"/>
        <w:tabs>
          <w:tab w:val="left" w:pos="567"/>
        </w:tabs>
        <w:suppressAutoHyphens/>
        <w:spacing w:before="0" w:after="0"/>
      </w:pPr>
    </w:p>
    <w:p w:rsidR="00831DD0" w:rsidRPr="003D5C4E" w:rsidRDefault="00D51B9D" w:rsidP="00831DD0">
      <w:pPr>
        <w:widowControl w:val="0"/>
        <w:tabs>
          <w:tab w:val="left" w:pos="567"/>
        </w:tabs>
        <w:suppressAutoHyphens/>
        <w:spacing w:before="0" w:after="0"/>
        <w:ind w:left="567" w:hanging="567"/>
      </w:pPr>
      <w:r w:rsidRPr="003D5C4E">
        <w:t>—</w:t>
      </w:r>
      <w:r w:rsidRPr="003D5C4E">
        <w:tab/>
        <w:t>разпоредба относно механизъм за компенсация, който позволява на държавите членки да възстановят разходите си, произтичащи от предоставянето на услуги и процедури, свързани с налагането на марката на Европейския съюз.</w:t>
      </w:r>
    </w:p>
    <w:p w:rsidR="00831DD0" w:rsidRPr="003D5C4E" w:rsidRDefault="00831DD0" w:rsidP="00831DD0">
      <w:pPr>
        <w:widowControl w:val="0"/>
        <w:tabs>
          <w:tab w:val="left" w:pos="567"/>
        </w:tabs>
        <w:suppressAutoHyphens/>
        <w:spacing w:before="0" w:after="0"/>
        <w:ind w:left="567" w:hanging="567"/>
      </w:pPr>
    </w:p>
    <w:p w:rsidR="00C30DC2" w:rsidRPr="003D5C4E" w:rsidRDefault="00F21889" w:rsidP="00831DD0">
      <w:pPr>
        <w:widowControl w:val="0"/>
        <w:tabs>
          <w:tab w:val="left" w:pos="567"/>
        </w:tabs>
        <w:suppressAutoHyphens/>
        <w:spacing w:before="0" w:after="0"/>
        <w:ind w:left="567" w:hanging="567"/>
        <w:rPr>
          <w:b/>
          <w:bCs/>
          <w:u w:val="single"/>
        </w:rPr>
      </w:pPr>
      <w:r w:rsidRPr="003D5C4E">
        <w:rPr>
          <w:b/>
        </w:rPr>
        <w:t>IV.</w:t>
      </w:r>
      <w:r w:rsidRPr="003D5C4E">
        <w:tab/>
      </w:r>
      <w:r w:rsidRPr="003D5C4E">
        <w:rPr>
          <w:b/>
          <w:u w:val="single"/>
        </w:rPr>
        <w:t>ЗАКЛЮЧЕНИЕ</w:t>
      </w:r>
    </w:p>
    <w:p w:rsidR="007E3148" w:rsidRPr="003D5C4E" w:rsidRDefault="007E3148" w:rsidP="00F21889">
      <w:pPr>
        <w:spacing w:before="0" w:after="0"/>
      </w:pPr>
    </w:p>
    <w:p w:rsidR="007E3148" w:rsidRPr="003D5C4E" w:rsidRDefault="007E3148" w:rsidP="00F21889">
      <w:pPr>
        <w:spacing w:before="0" w:after="0"/>
      </w:pPr>
      <w:r w:rsidRPr="003D5C4E">
        <w:rPr>
          <w:color w:val="000000"/>
        </w:rPr>
        <w:t>Позицията на Съвета на първо четене отразява изцяло споразумението, постигнато между двата законодателни органа, което бе потвърдено от гореспоменатото писмо на председателя на комисията по правни въпроси до председателя на Комитета на постоянните представители (I част) от 16 юни 2015 г.</w:t>
      </w:r>
    </w:p>
    <w:p w:rsidR="00FC4670" w:rsidRPr="002C75C4" w:rsidRDefault="00FC4670" w:rsidP="00C30DC2">
      <w:pPr>
        <w:pStyle w:val="FinalLine"/>
      </w:pPr>
    </w:p>
    <w:sectPr w:rsidR="00FC4670" w:rsidRPr="002C75C4" w:rsidSect="0083484B">
      <w:headerReference w:type="default" r:id="rId12"/>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C2" w:rsidRDefault="00C30DC2" w:rsidP="00C30DC2">
      <w:pPr>
        <w:spacing w:before="0" w:after="0" w:line="240" w:lineRule="auto"/>
      </w:pPr>
      <w:r>
        <w:separator/>
      </w:r>
    </w:p>
  </w:endnote>
  <w:endnote w:type="continuationSeparator" w:id="0">
    <w:p w:rsidR="00C30DC2" w:rsidRDefault="00C30DC2" w:rsidP="00C30D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3484B" w:rsidRPr="00D94637" w:rsidTr="0083484B">
      <w:trPr>
        <w:jc w:val="center"/>
      </w:trPr>
      <w:tc>
        <w:tcPr>
          <w:tcW w:w="5000" w:type="pct"/>
          <w:gridSpan w:val="7"/>
          <w:shd w:val="clear" w:color="auto" w:fill="auto"/>
          <w:tcMar>
            <w:top w:w="57" w:type="dxa"/>
          </w:tcMar>
        </w:tcPr>
        <w:p w:rsidR="0083484B" w:rsidRPr="00D94637" w:rsidRDefault="0083484B" w:rsidP="00D94637">
          <w:pPr>
            <w:pStyle w:val="FooterText"/>
            <w:pBdr>
              <w:top w:val="single" w:sz="4" w:space="1" w:color="auto"/>
            </w:pBdr>
            <w:spacing w:before="200"/>
            <w:rPr>
              <w:sz w:val="2"/>
              <w:szCs w:val="2"/>
            </w:rPr>
          </w:pPr>
          <w:bookmarkStart w:id="2" w:name="FOOTER_STANDARD"/>
        </w:p>
      </w:tc>
    </w:tr>
    <w:tr w:rsidR="0083484B" w:rsidRPr="00B310DC" w:rsidTr="0083484B">
      <w:trPr>
        <w:jc w:val="center"/>
      </w:trPr>
      <w:tc>
        <w:tcPr>
          <w:tcW w:w="2500" w:type="pct"/>
          <w:gridSpan w:val="2"/>
          <w:shd w:val="clear" w:color="auto" w:fill="auto"/>
          <w:tcMar>
            <w:top w:w="0" w:type="dxa"/>
          </w:tcMar>
        </w:tcPr>
        <w:p w:rsidR="0083484B" w:rsidRPr="00AD7BF2" w:rsidRDefault="0083484B" w:rsidP="004F54B2">
          <w:pPr>
            <w:pStyle w:val="FooterText"/>
          </w:pPr>
          <w:r>
            <w:t>10373/1/15</w:t>
          </w:r>
          <w:r w:rsidRPr="002511D8">
            <w:t xml:space="preserve"> </w:t>
          </w:r>
          <w:r>
            <w:t>REV 1 ADD 1</w:t>
          </w:r>
        </w:p>
      </w:tc>
      <w:tc>
        <w:tcPr>
          <w:tcW w:w="625" w:type="pct"/>
          <w:shd w:val="clear" w:color="auto" w:fill="auto"/>
          <w:tcMar>
            <w:top w:w="0" w:type="dxa"/>
          </w:tcMar>
        </w:tcPr>
        <w:p w:rsidR="0083484B" w:rsidRPr="00AD7BF2" w:rsidRDefault="0083484B" w:rsidP="00D94637">
          <w:pPr>
            <w:pStyle w:val="FooterText"/>
            <w:jc w:val="center"/>
          </w:pPr>
        </w:p>
      </w:tc>
      <w:tc>
        <w:tcPr>
          <w:tcW w:w="1287" w:type="pct"/>
          <w:gridSpan w:val="3"/>
          <w:shd w:val="clear" w:color="auto" w:fill="auto"/>
          <w:tcMar>
            <w:top w:w="0" w:type="dxa"/>
          </w:tcMar>
        </w:tcPr>
        <w:p w:rsidR="0083484B" w:rsidRPr="002511D8" w:rsidRDefault="0083484B" w:rsidP="00D94637">
          <w:pPr>
            <w:pStyle w:val="FooterText"/>
            <w:jc w:val="center"/>
          </w:pPr>
          <w:r>
            <w:t>vn/tg</w:t>
          </w:r>
        </w:p>
      </w:tc>
      <w:tc>
        <w:tcPr>
          <w:tcW w:w="588" w:type="pct"/>
          <w:shd w:val="clear" w:color="auto" w:fill="auto"/>
          <w:tcMar>
            <w:top w:w="0" w:type="dxa"/>
          </w:tcMar>
        </w:tcPr>
        <w:p w:rsidR="0083484B" w:rsidRPr="00B310DC" w:rsidRDefault="0083484B"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83484B" w:rsidRPr="00D94637" w:rsidTr="0083484B">
      <w:trPr>
        <w:jc w:val="center"/>
      </w:trPr>
      <w:tc>
        <w:tcPr>
          <w:tcW w:w="1774" w:type="pct"/>
          <w:shd w:val="clear" w:color="auto" w:fill="auto"/>
        </w:tcPr>
        <w:p w:rsidR="0083484B" w:rsidRPr="00AD7BF2" w:rsidRDefault="0083484B" w:rsidP="00D94637">
          <w:pPr>
            <w:pStyle w:val="FooterText"/>
            <w:spacing w:before="40"/>
          </w:pPr>
        </w:p>
      </w:tc>
      <w:tc>
        <w:tcPr>
          <w:tcW w:w="1455" w:type="pct"/>
          <w:gridSpan w:val="3"/>
          <w:shd w:val="clear" w:color="auto" w:fill="auto"/>
        </w:tcPr>
        <w:p w:rsidR="0083484B" w:rsidRPr="00AD7BF2" w:rsidRDefault="0083484B" w:rsidP="00D204D6">
          <w:pPr>
            <w:pStyle w:val="FooterText"/>
            <w:spacing w:before="40"/>
            <w:jc w:val="center"/>
          </w:pPr>
          <w:r>
            <w:t>DPG</w:t>
          </w:r>
        </w:p>
      </w:tc>
      <w:tc>
        <w:tcPr>
          <w:tcW w:w="1147" w:type="pct"/>
          <w:shd w:val="clear" w:color="auto" w:fill="auto"/>
        </w:tcPr>
        <w:p w:rsidR="0083484B" w:rsidRPr="00D94637" w:rsidRDefault="0083484B" w:rsidP="00D94637">
          <w:pPr>
            <w:pStyle w:val="FooterText"/>
            <w:jc w:val="right"/>
            <w:rPr>
              <w:b/>
              <w:position w:val="-4"/>
              <w:sz w:val="36"/>
            </w:rPr>
          </w:pPr>
        </w:p>
      </w:tc>
      <w:tc>
        <w:tcPr>
          <w:tcW w:w="625" w:type="pct"/>
          <w:gridSpan w:val="2"/>
          <w:shd w:val="clear" w:color="auto" w:fill="auto"/>
        </w:tcPr>
        <w:p w:rsidR="0083484B" w:rsidRPr="00D94637" w:rsidRDefault="0083484B" w:rsidP="00D94637">
          <w:pPr>
            <w:pStyle w:val="FooterText"/>
            <w:jc w:val="right"/>
            <w:rPr>
              <w:sz w:val="16"/>
            </w:rPr>
          </w:pPr>
          <w:r>
            <w:rPr>
              <w:b/>
              <w:position w:val="-4"/>
              <w:sz w:val="36"/>
            </w:rPr>
            <w:t>BG</w:t>
          </w:r>
        </w:p>
      </w:tc>
    </w:tr>
    <w:bookmarkEnd w:id="2"/>
  </w:tbl>
  <w:p w:rsidR="00C30DC2" w:rsidRPr="0083484B" w:rsidRDefault="00C30DC2" w:rsidP="0083484B">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3484B" w:rsidRPr="00D94637" w:rsidTr="0083484B">
      <w:trPr>
        <w:jc w:val="center"/>
      </w:trPr>
      <w:tc>
        <w:tcPr>
          <w:tcW w:w="5000" w:type="pct"/>
          <w:gridSpan w:val="7"/>
          <w:shd w:val="clear" w:color="auto" w:fill="auto"/>
          <w:tcMar>
            <w:top w:w="57" w:type="dxa"/>
          </w:tcMar>
        </w:tcPr>
        <w:p w:rsidR="0083484B" w:rsidRPr="00D94637" w:rsidRDefault="0083484B" w:rsidP="00D94637">
          <w:pPr>
            <w:pStyle w:val="FooterText"/>
            <w:pBdr>
              <w:top w:val="single" w:sz="4" w:space="1" w:color="auto"/>
            </w:pBdr>
            <w:spacing w:before="200"/>
            <w:rPr>
              <w:sz w:val="2"/>
              <w:szCs w:val="2"/>
            </w:rPr>
          </w:pPr>
        </w:p>
      </w:tc>
    </w:tr>
    <w:tr w:rsidR="0083484B" w:rsidRPr="00B310DC" w:rsidTr="0083484B">
      <w:trPr>
        <w:jc w:val="center"/>
      </w:trPr>
      <w:tc>
        <w:tcPr>
          <w:tcW w:w="2500" w:type="pct"/>
          <w:gridSpan w:val="2"/>
          <w:shd w:val="clear" w:color="auto" w:fill="auto"/>
          <w:tcMar>
            <w:top w:w="0" w:type="dxa"/>
          </w:tcMar>
        </w:tcPr>
        <w:p w:rsidR="0083484B" w:rsidRPr="00AD7BF2" w:rsidRDefault="0083484B" w:rsidP="004F54B2">
          <w:pPr>
            <w:pStyle w:val="FooterText"/>
          </w:pPr>
          <w:r>
            <w:t>10373/1/15</w:t>
          </w:r>
          <w:r w:rsidRPr="002511D8">
            <w:t xml:space="preserve"> </w:t>
          </w:r>
          <w:r>
            <w:t>REV 1 ADD 1</w:t>
          </w:r>
        </w:p>
      </w:tc>
      <w:tc>
        <w:tcPr>
          <w:tcW w:w="625" w:type="pct"/>
          <w:shd w:val="clear" w:color="auto" w:fill="auto"/>
          <w:tcMar>
            <w:top w:w="0" w:type="dxa"/>
          </w:tcMar>
        </w:tcPr>
        <w:p w:rsidR="0083484B" w:rsidRPr="00AD7BF2" w:rsidRDefault="0083484B" w:rsidP="00D94637">
          <w:pPr>
            <w:pStyle w:val="FooterText"/>
            <w:jc w:val="center"/>
          </w:pPr>
        </w:p>
      </w:tc>
      <w:tc>
        <w:tcPr>
          <w:tcW w:w="1287" w:type="pct"/>
          <w:gridSpan w:val="3"/>
          <w:shd w:val="clear" w:color="auto" w:fill="auto"/>
          <w:tcMar>
            <w:top w:w="0" w:type="dxa"/>
          </w:tcMar>
        </w:tcPr>
        <w:p w:rsidR="0083484B" w:rsidRPr="002511D8" w:rsidRDefault="0083484B" w:rsidP="00D94637">
          <w:pPr>
            <w:pStyle w:val="FooterText"/>
            <w:jc w:val="center"/>
          </w:pPr>
          <w:r>
            <w:t>vn/tg</w:t>
          </w:r>
        </w:p>
      </w:tc>
      <w:tc>
        <w:tcPr>
          <w:tcW w:w="588" w:type="pct"/>
          <w:shd w:val="clear" w:color="auto" w:fill="auto"/>
          <w:tcMar>
            <w:top w:w="0" w:type="dxa"/>
          </w:tcMar>
        </w:tcPr>
        <w:p w:rsidR="0083484B" w:rsidRPr="00B310DC" w:rsidRDefault="0083484B"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83484B" w:rsidRPr="00D94637" w:rsidTr="0083484B">
      <w:trPr>
        <w:jc w:val="center"/>
      </w:trPr>
      <w:tc>
        <w:tcPr>
          <w:tcW w:w="1774" w:type="pct"/>
          <w:shd w:val="clear" w:color="auto" w:fill="auto"/>
        </w:tcPr>
        <w:p w:rsidR="0083484B" w:rsidRPr="00AD7BF2" w:rsidRDefault="0083484B" w:rsidP="00D94637">
          <w:pPr>
            <w:pStyle w:val="FooterText"/>
            <w:spacing w:before="40"/>
          </w:pPr>
        </w:p>
      </w:tc>
      <w:tc>
        <w:tcPr>
          <w:tcW w:w="1455" w:type="pct"/>
          <w:gridSpan w:val="3"/>
          <w:shd w:val="clear" w:color="auto" w:fill="auto"/>
        </w:tcPr>
        <w:p w:rsidR="0083484B" w:rsidRPr="00AD7BF2" w:rsidRDefault="0083484B" w:rsidP="00D204D6">
          <w:pPr>
            <w:pStyle w:val="FooterText"/>
            <w:spacing w:before="40"/>
            <w:jc w:val="center"/>
          </w:pPr>
          <w:r>
            <w:t>DPG</w:t>
          </w:r>
        </w:p>
      </w:tc>
      <w:tc>
        <w:tcPr>
          <w:tcW w:w="1147" w:type="pct"/>
          <w:shd w:val="clear" w:color="auto" w:fill="auto"/>
        </w:tcPr>
        <w:p w:rsidR="0083484B" w:rsidRPr="00D94637" w:rsidRDefault="0083484B" w:rsidP="00D94637">
          <w:pPr>
            <w:pStyle w:val="FooterText"/>
            <w:jc w:val="right"/>
            <w:rPr>
              <w:b/>
              <w:position w:val="-4"/>
              <w:sz w:val="36"/>
            </w:rPr>
          </w:pPr>
        </w:p>
      </w:tc>
      <w:tc>
        <w:tcPr>
          <w:tcW w:w="625" w:type="pct"/>
          <w:gridSpan w:val="2"/>
          <w:shd w:val="clear" w:color="auto" w:fill="auto"/>
        </w:tcPr>
        <w:p w:rsidR="0083484B" w:rsidRPr="00D94637" w:rsidRDefault="0083484B" w:rsidP="00D94637">
          <w:pPr>
            <w:pStyle w:val="FooterText"/>
            <w:jc w:val="right"/>
            <w:rPr>
              <w:sz w:val="16"/>
            </w:rPr>
          </w:pPr>
          <w:r>
            <w:rPr>
              <w:b/>
              <w:position w:val="-4"/>
              <w:sz w:val="36"/>
            </w:rPr>
            <w:t>BG</w:t>
          </w:r>
        </w:p>
      </w:tc>
    </w:tr>
  </w:tbl>
  <w:p w:rsidR="00C30DC2" w:rsidRPr="0083484B" w:rsidRDefault="00C30DC2" w:rsidP="0083484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C2" w:rsidRDefault="00C30DC2" w:rsidP="00C30DC2">
      <w:pPr>
        <w:spacing w:before="0" w:after="0" w:line="240" w:lineRule="auto"/>
      </w:pPr>
      <w:r>
        <w:separator/>
      </w:r>
    </w:p>
  </w:footnote>
  <w:footnote w:type="continuationSeparator" w:id="0">
    <w:p w:rsidR="00C30DC2" w:rsidRDefault="00C30DC2" w:rsidP="00C30DC2">
      <w:pPr>
        <w:spacing w:before="0" w:after="0" w:line="240" w:lineRule="auto"/>
      </w:pPr>
      <w:r>
        <w:continuationSeparator/>
      </w:r>
    </w:p>
  </w:footnote>
  <w:footnote w:id="1">
    <w:p w:rsidR="007E3148" w:rsidRPr="002C75C4" w:rsidRDefault="007E3148" w:rsidP="00EE1DF9">
      <w:pPr>
        <w:pStyle w:val="FootnoteText"/>
        <w:ind w:left="567" w:hanging="567"/>
      </w:pPr>
      <w:r>
        <w:rPr>
          <w:rStyle w:val="FootnoteReference"/>
        </w:rPr>
        <w:footnoteRef/>
      </w:r>
      <w:r>
        <w:tab/>
        <w:t>8065/13.</w:t>
      </w:r>
    </w:p>
  </w:footnote>
  <w:footnote w:id="2">
    <w:p w:rsidR="007E3148" w:rsidRPr="002C75C4" w:rsidRDefault="007E3148" w:rsidP="00EE1DF9">
      <w:pPr>
        <w:pStyle w:val="FootnoteText"/>
        <w:ind w:left="567" w:hanging="567"/>
      </w:pPr>
      <w:r>
        <w:rPr>
          <w:rStyle w:val="FootnoteReference"/>
        </w:rPr>
        <w:footnoteRef/>
      </w:r>
      <w:r>
        <w:tab/>
        <w:t>6742/14.</w:t>
      </w:r>
    </w:p>
  </w:footnote>
  <w:footnote w:id="3">
    <w:p w:rsidR="007E3148" w:rsidRPr="002C75C4" w:rsidRDefault="007E3148" w:rsidP="00EE1DF9">
      <w:pPr>
        <w:pStyle w:val="FootnoteText"/>
        <w:ind w:left="567" w:hanging="567"/>
      </w:pPr>
      <w:r>
        <w:rPr>
          <w:rStyle w:val="FootnoteReference"/>
        </w:rPr>
        <w:footnoteRef/>
      </w:r>
      <w:r>
        <w:tab/>
        <w:t>9957/15 + ADD 1 + ADD 2</w:t>
      </w:r>
    </w:p>
  </w:footnote>
  <w:footnote w:id="4">
    <w:p w:rsidR="007E3148" w:rsidRPr="002C75C4" w:rsidRDefault="007E3148" w:rsidP="00EE1DF9">
      <w:pPr>
        <w:pStyle w:val="FootnoteText"/>
        <w:ind w:left="567" w:hanging="567"/>
      </w:pPr>
      <w:r>
        <w:rPr>
          <w:rStyle w:val="FootnoteReference"/>
        </w:rPr>
        <w:footnoteRef/>
      </w:r>
      <w:r>
        <w:tab/>
        <w:t>8066/13.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C2" w:rsidRPr="0083484B" w:rsidRDefault="00C30DC2" w:rsidP="00834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1">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2">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3">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5">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7">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8">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0"/>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9"/>
  </w:num>
  <w:num w:numId="6">
    <w:abstractNumId w:val="11"/>
  </w:num>
  <w:num w:numId="7">
    <w:abstractNumId w:val="7"/>
  </w:num>
  <w:num w:numId="8">
    <w:abstractNumId w:val="1"/>
  </w:num>
  <w:num w:numId="9">
    <w:abstractNumId w:val="6"/>
  </w:num>
  <w:num w:numId="10">
    <w:abstractNumId w:val="5"/>
  </w:num>
  <w:num w:numId="11">
    <w:abstractNumId w:val="3"/>
  </w:num>
  <w:num w:numId="12">
    <w:abstractNumId w:val="16"/>
  </w:num>
  <w:num w:numId="13">
    <w:abstractNumId w:val="17"/>
  </w:num>
  <w:num w:numId="14">
    <w:abstractNumId w:val="0"/>
  </w:num>
  <w:num w:numId="15">
    <w:abstractNumId w:val="19"/>
  </w:num>
  <w:num w:numId="16">
    <w:abstractNumId w:val="15"/>
  </w:num>
  <w:num w:numId="17">
    <w:abstractNumId w:val="12"/>
  </w:num>
  <w:num w:numId="18">
    <w:abstractNumId w:val="8"/>
  </w:num>
  <w:num w:numId="19">
    <w:abstractNumId w:val="13"/>
  </w:num>
  <w:num w:numId="20">
    <w:abstractNumId w:val="2"/>
  </w:num>
  <w:num w:numId="21">
    <w:abstractNumId w:val="18"/>
  </w:num>
  <w:num w:numId="22">
    <w:abstractNumId w:val="4"/>
  </w:num>
  <w:num w:numId="23">
    <w:abstractNumId w:val="14"/>
  </w:num>
  <w:num w:numId="24">
    <w:abstractNumId w:val="10"/>
  </w:num>
  <w:num w:numId="25">
    <w:abstractNumId w:val="9"/>
  </w:num>
  <w:num w:numId="26">
    <w:abstractNumId w:val="11"/>
  </w:num>
  <w:num w:numId="27">
    <w:abstractNumId w:val="7"/>
  </w:num>
  <w:num w:numId="28">
    <w:abstractNumId w:val="1"/>
  </w:num>
  <w:num w:numId="29">
    <w:abstractNumId w:val="6"/>
  </w:num>
  <w:num w:numId="30">
    <w:abstractNumId w:val="5"/>
  </w:num>
  <w:num w:numId="31">
    <w:abstractNumId w:val="3"/>
  </w:num>
  <w:num w:numId="32">
    <w:abstractNumId w:val="16"/>
  </w:num>
  <w:num w:numId="33">
    <w:abstractNumId w:val="17"/>
  </w:num>
  <w:num w:numId="34">
    <w:abstractNumId w:val="0"/>
  </w:num>
  <w:num w:numId="35">
    <w:abstractNumId w:val="19"/>
  </w:num>
  <w:num w:numId="36">
    <w:abstractNumId w:val="15"/>
  </w:num>
  <w:num w:numId="37">
    <w:abstractNumId w:val="12"/>
  </w:num>
  <w:num w:numId="38">
    <w:abstractNumId w:val="8"/>
  </w:num>
  <w:num w:numId="39">
    <w:abstractNumId w:val="13"/>
  </w:num>
  <w:num w:numId="40">
    <w:abstractNumId w:val="2"/>
  </w:num>
  <w:num w:numId="41">
    <w:abstractNumId w:val="18"/>
  </w:num>
  <w:num w:numId="4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02d311b2-dfa1-45a6-a3c9-60346d13cf43&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amp;#1048;&amp;#1047;&amp;#1051;&amp;#1054;&amp;#1046;&amp;#1045;&amp;#1053;&amp;#1048;&amp;#1045; &amp;#1053;&amp;#1040; &amp;#1052;&amp;#1054;&amp;#1058;&amp;#1048;&amp;#1042;&amp;#1048;&amp;#1058;&amp;#1045; &amp;#1053;&amp;#1040; &amp;#1057;&amp;#1066;&amp;#1042;&amp;#1045;&amp;#1058;&amp;#1040;&quot; /&gt;_x000d__x000a_    &lt;/basicdatatype&gt;_x000d__x000a_  &lt;/metadata&gt;_x000d__x000a_  &lt;metadata key=&quot;md_HeadingText&quot; translate=&quot;false&quot;&gt;_x000d__x000a_    &lt;headingtext text=&quot;&amp;#1048;&amp;#1047;&amp;#1051;&amp;#1054;&amp;#1046;&amp;#1045;&amp;#1053;&amp;#1048;&amp;#1045; &amp;#1053;&amp;#1040; &amp;#1052;&amp;#1054;&amp;#1058;&amp;#1048;&amp;#1042;&amp;#1048;&amp;#1058;&amp;#1045; &amp;#1053;&amp;#1040; &amp;#1057;&amp;#1066;&amp;#1042;&amp;#1045;&amp;#1058;&amp;#1040;&quot;&gt;_x000d__x000a_      &lt;formattedtext&gt;_x000d__x000a_        &lt;xaml text=&quot;&amp;#1048;&amp;#1047;&amp;#1051;&amp;#1054;&amp;#1046;&amp;#1045;&amp;#1053;&amp;#1048;&amp;#1045; &amp;#1053;&amp;#1040; &amp;#1052;&amp;#1054;&amp;#1058;&amp;#1048;&amp;#1042;&amp;#1048;&amp;#1058;&amp;#1045; &amp;#1053;&amp;#1040; &amp;#1057;&amp;#1066;&amp;#1042;&amp;#1045;&amp;#1058;&amp;#1040;&quot;&gt;&amp;lt;FlowDocument xmlns=&quot;http://schemas.microsoft.com/winfx/2006/xaml/presentation&quot;&amp;gt;&amp;lt;Paragraph&amp;gt;&amp;#1048;&amp;#1047;&amp;#1051;&amp;#1054;&amp;#1046;&amp;#1045;&amp;#1053;&amp;#1048;&amp;#1045; &amp;#1053;&amp;#1040; &amp;#1052;&amp;#1054;&amp;#1058;&amp;#1048;&amp;#1042;&amp;#1048;&amp;#1058;&amp;#1045; &amp;#1053;&amp;#1040; &amp;#1057;&amp;#1066;&amp;#1042;&amp;#1045;&amp;#1058;&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11-11&lt;/text&gt;_x000d__x000a_  &lt;/metadata&gt;_x000d__x000a_  &lt;metadata key=&quot;md_Prefix&quot; translate=&quot;false&quot;&gt;_x000d__x000a_    &lt;text&gt;&lt;/text&gt;_x000d__x000a_  &lt;/metadata&gt;_x000d__x000a_  &lt;metadata key=&quot;md_DocumentNumber&quot; translate=&quot;false&quot;&gt;_x000d__x000a_    &lt;text&gt;10373&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I 42&lt;/text&gt;_x000d__x000a_      &lt;text&gt;CODEC 949&lt;/text&gt;_x000d__x000a_      &lt;text&gt;PARLNAT 127&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3/0088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79;&amp;#1072; &amp;#1080;&amp;#1079;&amp;#1084;&amp;#1077;&amp;#1085;&amp;#1077;&amp;#1085;&amp;#1080;&amp;#1077; &amp;#1085;&amp;#1072; &amp;#1056;&amp;#1077;&amp;#1075;&amp;#1083;&amp;#1072;&amp;#1084;&amp;#1077;&amp;#1085;&amp;#1090; (&amp;#1045;&amp;#1054;) &amp;#8470; 207/2009 &amp;#1085;&amp;#1072; &amp;#1057;&amp;#1098;&amp;#1074;&amp;#1077;&amp;#1090;&amp;#1072; &amp;#1086;&amp;#1090;&amp;#1085;&amp;#1086;&amp;#1089;&amp;#1085;&amp;#1086; &amp;#1084;&amp;#1072;&amp;#1088;&amp;#1082;&amp;#1072;&amp;#1090;&amp;#1072; &amp;#1085;&amp;#1072; &amp;#1054;&amp;#1073;&amp;#1097;&amp;#1085;&amp;#1086;&amp;#1089;&amp;#1090;&amp;#1090;&amp;#1072; &amp;#1080; &amp;#1056;&amp;#1077;&amp;#1075;&amp;#1083;&amp;#1072;&amp;#1084;&amp;#1077;&amp;#1085;&amp;#1090; (&amp;#1045;&amp;#1054;) &amp;#8470; 2868/95 &amp;#1085;&amp;#1072; &amp;#1050;&amp;#1086;&amp;#1084;&amp;#1080;&amp;#1089;&amp;#1080;&amp;#1103;&amp;#1090;&amp;#1072; &amp;#1079;&amp;#1072; &amp;#1087;&amp;#1088;&amp;#1080;&amp;#1083;&amp;#1072;&amp;#1075;&amp;#1072;&amp;#1085;&amp;#1077; &amp;#1085;&amp;#1072; &amp;#1056;&amp;#1077;&amp;#1075;&amp;#1083;&amp;#1072;&amp;#1084;&amp;#1077;&amp;#1085;&amp;#1090; (&amp;#1045;&amp;#1054;) &amp;#8470; 40/94 &amp;#1085;&amp;#1072; &amp;#1057;&amp;#1098;&amp;#1074;&amp;#1077;&amp;#1090;&amp;#1072; &amp;#1086;&amp;#1090;&amp;#1085;&amp;#1086;&amp;#1089;&amp;#1085;&amp;#1086; &amp;#1084;&amp;#1072;&amp;#1088;&amp;#1082;&amp;#1072;&amp;#1090;&amp;#1072; &amp;#1085;&amp;#1072; &amp;#1054;&amp;#1073;&amp;#1097;&amp;#1085;&amp;#1086;&amp;#1089;&amp;#1090;&amp;#1090;&amp;#1072; &amp;#1080; &amp;#1079;&amp;#1072; &amp;#1086;&amp;#1090;&amp;#1084;&amp;#1103;&amp;#1085;&amp;#1072; &amp;#1085;&amp;#1072; &amp;#1056;&amp;#1077;&amp;#1075;&amp;#1083;&amp;#1072;&amp;#1084;&amp;#1077;&amp;#1085;&amp;#1090; (&amp;#1045;&amp;#1054;) &amp;#8470; 2869/95 &amp;#1085;&amp;#1072; &amp;#1050;&amp;#1086;&amp;#1084;&amp;#1080;&amp;#1089;&amp;#1080;&amp;#1103;&amp;#1090;&amp;#1072; &amp;#1086;&amp;#1090;&amp;#1085;&amp;#1086;&amp;#1089;&amp;#1085;&amp;#1086; &amp;#1090;&amp;#1072;&amp;#1082;&amp;#1089;&amp;#1080;&amp;#1090;&amp;#1077;, &amp;#1089;&amp;#1098;&amp;#1073;&amp;#1080;&amp;#1088;&amp;#1072;&amp;#1085;&amp;#1080; &amp;#1086;&amp;#1090; &amp;#1057;&amp;#1083;&amp;#1091;&amp;#1078;&amp;#1073;&amp;#1072;&amp;#1090;&amp;#1072; &amp;#1079;&amp;#1072; &amp;#1093;&amp;#1072;&amp;#1088;&amp;#1084;&amp;#1086;&amp;#1085;&amp;#1080;&amp;#1079;&amp;#1072;&amp;#1094;&amp;#1080;&amp;#1103; &amp;#1074;&amp;#1098;&amp;#1074; &amp;#1074;&amp;#1098;&amp;#1090;&amp;#1088;&amp;#1077;&amp;#1096;&amp;#1085;&amp;#1080;&amp;#1103; &amp;#1087;&amp;#1072;&amp;#1079;&amp;#1072;&amp;#1088; (&amp;#1084;&amp;#1072;&amp;#1088;&amp;#1082;&amp;#1080; &amp;#1080; &amp;#1076;&amp;#1080;&amp;#1079;&amp;#1072;&amp;#1081;&amp;#1085;) &amp;#8212; &amp;#1048;&amp;#1079;&amp;#1083;&amp;#1086;&amp;#1078;&amp;#1077;&amp;#1085;&amp;#1080;&amp;#1077; &amp;#1085;&amp;#1072; &amp;#1084;&amp;#1086;&amp;#1090;&amp;#1080;&amp;#1074;&amp;#1080;&amp;#1090;&amp;#1077; &amp;#1085;&amp;#1072; &amp;#1057;&amp;#1098;&amp;#1074;&amp;#1077;&amp;#1090;&amp;#1072; &amp;#8212; &amp;#1055;&amp;#1088;&amp;#1080;&amp;#1077;&amp;#1090;&amp;#1086; &amp;#1086;&amp;#1090; &amp;#1057;&amp;#1098;&amp;#1074;&amp;#1077;&amp;#1090;&amp;#1072; &amp;#1085;&amp;#1072; 10 &amp;#1085;&amp;#1086;&amp;#1077;&amp;#1084;&amp;#1074;&amp;#1088;&amp;#1080; 2015 &amp;#1075;.&quot;&gt;&amp;lt;FlowDocument FontFamily=&quot;Arial Unicode MS&quot; FontSize=&quot;12&quot; PageWidth=&quot;329&quot; PagePadding=&quot;5,0,5,0&quot; AllowDrop=&quot;False&quot; xmlns=&quot;http://schemas.microsoft.com/winfx/2006/xaml/presentation&quot;&amp;gt;&amp;lt;Paragraph&amp;g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79;&amp;#1072; &amp;#1080;&amp;#1079;&amp;#1084;&amp;#1077;&amp;#1085;&amp;#1077;&amp;#1085;&amp;#1080;&amp;#1077; &amp;#1085;&amp;#1072; &amp;#1056;&amp;#1077;&amp;#1075;&amp;#1083;&amp;#1072;&amp;#1084;&amp;#1077;&amp;#1085;&amp;#1090; (&amp;#1045;&amp;#1054;) &amp;#8470; 207/2009 &amp;#1085;&amp;#1072; &amp;#1057;&amp;#1098;&amp;#1074;&amp;#1077;&amp;#1090;&amp;#1072; &amp;#1086;&amp;#1090;&amp;#1085;&amp;#1086;&amp;#1089;&amp;#1085;&amp;#1086; &amp;#1084;&amp;#1072;&amp;#1088;&amp;#1082;&amp;#1072;&amp;#1090;&amp;#1072; &amp;#1085;&amp;#1072; &amp;#1054;&amp;#1073;&amp;#1097;&amp;#1085;&amp;#1086;&amp;#1089;&amp;#1090;&amp;#1090;&amp;#1072; &amp;#1080; &amp;#1056;&amp;#1077;&amp;#1075;&amp;#1083;&amp;#1072;&amp;#1084;&amp;#1077;&amp;#1085;&amp;#1090; (&amp;#1045;&amp;#1054;) &amp;#8470; 2868/95 &amp;#1085;&amp;#1072; &amp;#1050;&amp;#1086;&amp;#1084;&amp;#1080;&amp;#1089;&amp;#1080;&amp;#1103;&amp;#1090;&amp;#1072; &amp;#1079;&amp;#1072; &amp;#1087;&amp;#1088;&amp;#1080;&amp;#1083;&amp;#1072;&amp;#1075;&amp;#1072;&amp;#1085;&amp;#1077; &amp;#1085;&amp;#1072; &amp;#1056;&amp;#1077;&amp;#1075;&amp;#1083;&amp;#1072;&amp;#1084;&amp;#1077;&amp;#1085;&amp;#1090; (&amp;#1045;&amp;#1054;) &amp;#8470; 40/94 &amp;#1085;&amp;#1072; &amp;#1057;&amp;#1098;&amp;#1074;&amp;#1077;&amp;#1090;&amp;#1072; &amp;#1086;&amp;#1090;&amp;#1085;&amp;#1086;&amp;#1089;&amp;#1085;&amp;#1086; &amp;#1084;&amp;#1072;&amp;#1088;&amp;#1082;&amp;#1072;&amp;#1090;&amp;#1072; &amp;#1085;&amp;#1072; &amp;#1054;&amp;#1073;&amp;#1097;&amp;#1085;&amp;#1086;&amp;#1089;&amp;#1090;&amp;#1090;&amp;#1072; &amp;#1080; &amp;#1079;&amp;#1072; &amp;#1086;&amp;#1090;&amp;#1084;&amp;#1103;&amp;#1085;&amp;#1072; &amp;#1085;&amp;#1072; &amp;#1056;&amp;#1077;&amp;#1075;&amp;#1083;&amp;#1072;&amp;#1084;&amp;#1077;&amp;#1085;&amp;#1090; (&amp;#1045;&amp;#1054;) &amp;#8470; 2869/95 &amp;#1085;&amp;#1072; &amp;#1050;&amp;#1086;&amp;#1084;&amp;#1080;&amp;#1089;&amp;#1080;&amp;#1103;&amp;#1090;&amp;#1072; &amp;#1086;&amp;#1090;&amp;#1085;&amp;#1086;&amp;#1089;&amp;#1085;&amp;#1086; &amp;#1090;&amp;#1072;&amp;#1082;&amp;#1089;&amp;#1080;&amp;#1090;&amp;#1077;, &amp;#1089;&amp;#1098;&amp;#1073;&amp;#1080;&amp;#1088;&amp;#1072;&amp;#1085;&amp;#1080; &amp;#1086;&amp;#1090; &amp;#1057;&amp;#1083;&amp;#1091;&amp;#1078;&amp;#1073;&amp;#1072;&amp;#1090;&amp;#1072; &amp;#1079;&amp;#1072; &amp;#1093;&amp;#1072;&amp;#1088;&amp;#1084;&amp;#1086;&amp;#1085;&amp;#1080;&amp;#1079;&amp;#1072;&amp;#1094;&amp;#1080;&amp;#1103; &amp;#1074;&amp;#1098;&amp;#1074; &amp;#1074;&amp;#1098;&amp;#1090;&amp;#1088;&amp;#1077;&amp;#1096;&amp;#1085;&amp;#1080;&amp;#1103; &amp;#1087;&amp;#1072;&amp;#1079;&amp;#1072;&amp;#1088; (&amp;#1084;&amp;#1072;&amp;#1088;&amp;#1082;&amp;#1080; &amp;#1080; &amp;#1076;&amp;#1080;&amp;#1079;&amp;#1072;&amp;#1081;&amp;#1085;)&amp;lt;/Paragraph&amp;gt;&amp;lt;Paragraph&amp;gt;&amp;#8212; &amp;#1048;&amp;#1079;&amp;#1083;&amp;#1086;&amp;#1078;&amp;#1077;&amp;#1085;&amp;#1080;&amp;#1077; &amp;#1085;&amp;#1072; &amp;#1084;&amp;#1086;&amp;#1090;&amp;#1080;&amp;#1074;&amp;#1080;&amp;#1090;&amp;#1077; &amp;#1085;&amp;#1072; &amp;#1057;&amp;#1098;&amp;#1074;&amp;#1077;&amp;#1090;&amp;#1072;&amp;lt;LineBreak /&amp;gt;&amp;#8212; &amp;#1055;&amp;#1088;&amp;#1080;&amp;#1077;&amp;#1090;&amp;#1086; &amp;#1086;&amp;#1090; &amp;#1057;&amp;#1098;&amp;#1074;&amp;#1077;&amp;#1090;&amp;#1072; &amp;#1085;&amp;#1072; &amp;lt;Run xml:lang=&quot;fr-be&quot;&amp;gt;10 &amp;#1085;&amp;#1086;&amp;#1077;&amp;#1084;&amp;#1074;&amp;#1088;&amp;#1080; 2015 &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vn/tg&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ec938654-d55d-4494-933a-d60575a8261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0-28&lt;/text&gt;_x000d__x000a_  &lt;/metadata&gt;_x000d__x000a_  &lt;metadata key=&quot;md_Prefix&quot;&gt;_x000d__x000a_    &lt;text&gt;&lt;/text&gt;_x000d__x000a_  &lt;/metadata&gt;_x000d__x000a_  &lt;metadata key=&quot;md_DocumentNumber&quot;&gt;_x000d__x000a_    &lt;text&gt;10373&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2&lt;/text&gt;_x000d__x000a_      &lt;text&gt;CODEC 94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88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amending Council Regulation (EC) No 207/2009 on the Community trade mark and Commission Regulation (EC) No 2868/95 implementing Council Regulation (EC) No 40/94 on the Community trade mark, and repealing Commission Regulation (EC) No 2869/95 on the fees payable to the Office for Harmonization in the Internal Market (Trade Marks and Designs) &amp;#8211; Draft Statement of the Council's reason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Calibri&quot; FontSize=&quot;14.6666666666667&quot; Foreground=&quot;#FF1F497D&quot; xml:lang=&quot;fr-be&quot; xml:space=&quot;preserve&quot;&amp;gt;Position of the Council at first reading with a view to the adoption of a REGULATION OF THE EUROPEAN PARLIAMENT AND OF THE COUNCIL &amp;lt;/Run&amp;gt;&amp;lt;Run FontFamily=&quot;Calibri&quot; FontSize=&quot;14.6666666666667&quot; Foreground=&quot;#FF1F497D&quot; xml:lang=&quot;en-gb&quot;&amp;gt;amending Council Regulation (EC) No 207/2009 on the Community trade mark and Commission Regulation (EC) No 2868/95 implementing Council Regulation (EC) No 40/94 on the Community trade mark, and repealing Commission Regulation (EC) No 2869/95 on the fees payable to the Office for Harmonization in the Internal Market (Trade Marks and Designs)&amp;lt;/Run&amp;g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 G 3B&lt;/text&gt;_x000d__x000a_  &lt;/metadata&gt;_x000d__x000a_  &lt;metadata key=&quot;md_Initials&quot;&gt;_x000d__x000a_    &lt;text&gt;LK/vp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C30DC2"/>
    <w:rsid w:val="000019FF"/>
    <w:rsid w:val="00094893"/>
    <w:rsid w:val="00096B04"/>
    <w:rsid w:val="00114C34"/>
    <w:rsid w:val="00130CD9"/>
    <w:rsid w:val="00182F2F"/>
    <w:rsid w:val="001A6342"/>
    <w:rsid w:val="001B18FE"/>
    <w:rsid w:val="001B4EE5"/>
    <w:rsid w:val="001F1D59"/>
    <w:rsid w:val="002345D5"/>
    <w:rsid w:val="002C0DA3"/>
    <w:rsid w:val="002C75C4"/>
    <w:rsid w:val="002E2A56"/>
    <w:rsid w:val="00356F5F"/>
    <w:rsid w:val="003B7ED1"/>
    <w:rsid w:val="003D5C4E"/>
    <w:rsid w:val="00406368"/>
    <w:rsid w:val="00414945"/>
    <w:rsid w:val="0049403C"/>
    <w:rsid w:val="004A5161"/>
    <w:rsid w:val="004A5CE6"/>
    <w:rsid w:val="00583F8D"/>
    <w:rsid w:val="00595ADB"/>
    <w:rsid w:val="005C6401"/>
    <w:rsid w:val="005E6533"/>
    <w:rsid w:val="005F4B9C"/>
    <w:rsid w:val="00624401"/>
    <w:rsid w:val="00625999"/>
    <w:rsid w:val="006351BB"/>
    <w:rsid w:val="007161AD"/>
    <w:rsid w:val="007822DB"/>
    <w:rsid w:val="00796161"/>
    <w:rsid w:val="007E3148"/>
    <w:rsid w:val="0080221C"/>
    <w:rsid w:val="00804D9C"/>
    <w:rsid w:val="00806FBE"/>
    <w:rsid w:val="008308D8"/>
    <w:rsid w:val="00831DD0"/>
    <w:rsid w:val="0083484B"/>
    <w:rsid w:val="008C6E9F"/>
    <w:rsid w:val="008E6135"/>
    <w:rsid w:val="00901450"/>
    <w:rsid w:val="009915D6"/>
    <w:rsid w:val="009B07D1"/>
    <w:rsid w:val="009B3E5A"/>
    <w:rsid w:val="009C3675"/>
    <w:rsid w:val="00A14779"/>
    <w:rsid w:val="00A21144"/>
    <w:rsid w:val="00A30641"/>
    <w:rsid w:val="00A417A6"/>
    <w:rsid w:val="00A93207"/>
    <w:rsid w:val="00AE477C"/>
    <w:rsid w:val="00AF3113"/>
    <w:rsid w:val="00B122FD"/>
    <w:rsid w:val="00B51348"/>
    <w:rsid w:val="00B54F86"/>
    <w:rsid w:val="00B73B9E"/>
    <w:rsid w:val="00B8427D"/>
    <w:rsid w:val="00B850C2"/>
    <w:rsid w:val="00BE6E3D"/>
    <w:rsid w:val="00BF4AED"/>
    <w:rsid w:val="00C144B2"/>
    <w:rsid w:val="00C30DC2"/>
    <w:rsid w:val="00C65EF1"/>
    <w:rsid w:val="00C846D7"/>
    <w:rsid w:val="00CA125A"/>
    <w:rsid w:val="00CC4045"/>
    <w:rsid w:val="00CE0704"/>
    <w:rsid w:val="00D13316"/>
    <w:rsid w:val="00D51B9D"/>
    <w:rsid w:val="00D829DC"/>
    <w:rsid w:val="00D9433B"/>
    <w:rsid w:val="00DB4201"/>
    <w:rsid w:val="00DC5EF5"/>
    <w:rsid w:val="00DD3F75"/>
    <w:rsid w:val="00DF0122"/>
    <w:rsid w:val="00E5767B"/>
    <w:rsid w:val="00E80814"/>
    <w:rsid w:val="00ED6302"/>
    <w:rsid w:val="00EE1DF9"/>
    <w:rsid w:val="00EF5721"/>
    <w:rsid w:val="00F132CF"/>
    <w:rsid w:val="00F21889"/>
    <w:rsid w:val="00F86DEA"/>
    <w:rsid w:val="00F95726"/>
    <w:rsid w:val="00FC4670"/>
    <w:rsid w:val="00FD5392"/>
    <w:rsid w:val="00FF639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30DC2"/>
    <w:pPr>
      <w:spacing w:before="0" w:after="440"/>
      <w:ind w:left="-1134" w:right="-1134"/>
    </w:pPr>
    <w:rPr>
      <w:sz w:val="2"/>
    </w:rPr>
  </w:style>
  <w:style w:type="character" w:customStyle="1" w:styleId="TechnicalBlockChar">
    <w:name w:val="Technical Block Char"/>
    <w:basedOn w:val="DefaultParagraphFont"/>
    <w:rsid w:val="00C30DC2"/>
    <w:rPr>
      <w:sz w:val="24"/>
      <w:szCs w:val="24"/>
      <w:lang w:val="bg-BG" w:eastAsia="bg-BG"/>
    </w:rPr>
  </w:style>
  <w:style w:type="character" w:customStyle="1" w:styleId="HeaderCouncilLargeChar">
    <w:name w:val="Header Council Large Char"/>
    <w:basedOn w:val="TechnicalBlockChar"/>
    <w:link w:val="HeaderCouncilLarge"/>
    <w:rsid w:val="00C30DC2"/>
    <w:rPr>
      <w:sz w:val="2"/>
      <w:szCs w:val="24"/>
      <w:lang w:val="bg-BG" w:eastAsia="bg-BG"/>
    </w:rPr>
  </w:style>
  <w:style w:type="paragraph" w:customStyle="1" w:styleId="FooterText">
    <w:name w:val="Footer Text"/>
    <w:basedOn w:val="Normal"/>
    <w:rsid w:val="00C30DC2"/>
    <w:pPr>
      <w:spacing w:before="0" w:after="0" w:line="240" w:lineRule="auto"/>
    </w:pPr>
  </w:style>
  <w:style w:type="paragraph" w:customStyle="1" w:styleId="EntRefer">
    <w:name w:val="EntRefer"/>
    <w:basedOn w:val="Normal"/>
    <w:rsid w:val="007E3148"/>
    <w:pPr>
      <w:widowControl w:val="0"/>
      <w:spacing w:before="0" w:after="0" w:line="240" w:lineRule="auto"/>
    </w:pPr>
    <w:rPr>
      <w:b/>
      <w:szCs w:val="20"/>
    </w:rPr>
  </w:style>
  <w:style w:type="paragraph" w:customStyle="1" w:styleId="CharCharChar">
    <w:name w:val="Char Char Char"/>
    <w:basedOn w:val="Normal"/>
    <w:rsid w:val="007E3148"/>
    <w:pPr>
      <w:spacing w:before="0" w:after="160" w:line="240" w:lineRule="exact"/>
    </w:pPr>
    <w:rPr>
      <w:rFonts w:ascii="Tahoma" w:hAnsi="Tahoma"/>
      <w:sz w:val="20"/>
      <w:szCs w:val="20"/>
    </w:rPr>
  </w:style>
  <w:style w:type="character" w:customStyle="1" w:styleId="FootnoteTextChar">
    <w:name w:val="Footnote Text Char"/>
    <w:aliases w:val="Fußnotentextf Char,fn Char,Schriftart: 9 pt Char,Schriftart: 10 pt Char,Schriftart: 8 pt Char,WB-Fußnotentext Char,o Char,Podrozdział Char,Schriftart: 8 p Char,Char Char,Tekst przypisu Char,WB-Fuﬂnotentext Char,Voetnoottekst Char Char"/>
    <w:rsid w:val="007E3148"/>
    <w:rPr>
      <w:sz w:val="24"/>
      <w:lang w:val="bg-BG" w:eastAsia="bg-BG"/>
    </w:rPr>
  </w:style>
  <w:style w:type="paragraph" w:styleId="BalloonText">
    <w:name w:val="Balloon Text"/>
    <w:basedOn w:val="Normal"/>
    <w:link w:val="BalloonTextChar"/>
    <w:uiPriority w:val="99"/>
    <w:semiHidden/>
    <w:unhideWhenUsed/>
    <w:rsid w:val="00B8427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7D"/>
    <w:rPr>
      <w:rFonts w:ascii="Tahoma" w:hAnsi="Tahoma" w:cs="Tahoma"/>
      <w:sz w:val="16"/>
      <w:szCs w:val="16"/>
      <w:lang w:val="bg-BG" w:eastAsia="bg-BG"/>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DB4201"/>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8"/>
      </w:numPr>
    </w:pPr>
  </w:style>
  <w:style w:type="paragraph" w:customStyle="1" w:styleId="Pointabc1">
    <w:name w:val="Point abc (1)"/>
    <w:basedOn w:val="Normal"/>
    <w:rsid w:val="00F86DEA"/>
    <w:pPr>
      <w:numPr>
        <w:ilvl w:val="3"/>
        <w:numId w:val="38"/>
      </w:numPr>
      <w:outlineLvl w:val="0"/>
    </w:pPr>
  </w:style>
  <w:style w:type="paragraph" w:customStyle="1" w:styleId="Pointabc2">
    <w:name w:val="Point abc (2)"/>
    <w:basedOn w:val="Normal"/>
    <w:rsid w:val="00F86DEA"/>
    <w:pPr>
      <w:numPr>
        <w:ilvl w:val="5"/>
        <w:numId w:val="38"/>
      </w:numPr>
      <w:outlineLvl w:val="1"/>
    </w:pPr>
  </w:style>
  <w:style w:type="paragraph" w:customStyle="1" w:styleId="Pointabc3">
    <w:name w:val="Point abc (3)"/>
    <w:basedOn w:val="Normal"/>
    <w:rsid w:val="00F86DEA"/>
    <w:pPr>
      <w:numPr>
        <w:ilvl w:val="7"/>
        <w:numId w:val="38"/>
      </w:numPr>
      <w:outlineLvl w:val="2"/>
    </w:pPr>
  </w:style>
  <w:style w:type="paragraph" w:customStyle="1" w:styleId="Pointabc4">
    <w:name w:val="Point abc (4)"/>
    <w:basedOn w:val="Normal"/>
    <w:rsid w:val="00F86DEA"/>
    <w:pPr>
      <w:numPr>
        <w:ilvl w:val="8"/>
        <w:numId w:val="38"/>
      </w:numPr>
      <w:outlineLvl w:val="3"/>
    </w:pPr>
  </w:style>
  <w:style w:type="paragraph" w:customStyle="1" w:styleId="Point123">
    <w:name w:val="Point 123"/>
    <w:basedOn w:val="Normal"/>
    <w:rsid w:val="00F86DEA"/>
    <w:pPr>
      <w:numPr>
        <w:numId w:val="38"/>
      </w:numPr>
    </w:pPr>
  </w:style>
  <w:style w:type="paragraph" w:customStyle="1" w:styleId="Point1231">
    <w:name w:val="Point 123 (1)"/>
    <w:basedOn w:val="Normal"/>
    <w:rsid w:val="00F86DEA"/>
    <w:pPr>
      <w:numPr>
        <w:ilvl w:val="2"/>
        <w:numId w:val="38"/>
      </w:numPr>
      <w:outlineLvl w:val="0"/>
    </w:pPr>
  </w:style>
  <w:style w:type="paragraph" w:customStyle="1" w:styleId="Point1232">
    <w:name w:val="Point 123 (2)"/>
    <w:basedOn w:val="Normal"/>
    <w:rsid w:val="00F86DEA"/>
    <w:pPr>
      <w:numPr>
        <w:ilvl w:val="4"/>
        <w:numId w:val="38"/>
      </w:numPr>
      <w:outlineLvl w:val="1"/>
    </w:pPr>
  </w:style>
  <w:style w:type="paragraph" w:customStyle="1" w:styleId="Point1233">
    <w:name w:val="Point 123 (3)"/>
    <w:basedOn w:val="Normal"/>
    <w:rsid w:val="00F86DEA"/>
    <w:pPr>
      <w:numPr>
        <w:ilvl w:val="6"/>
        <w:numId w:val="38"/>
      </w:numPr>
      <w:outlineLvl w:val="2"/>
    </w:pPr>
  </w:style>
  <w:style w:type="paragraph" w:customStyle="1" w:styleId="Pointivx">
    <w:name w:val="Point ivx"/>
    <w:basedOn w:val="Normal"/>
    <w:rsid w:val="00F86DEA"/>
    <w:pPr>
      <w:numPr>
        <w:numId w:val="39"/>
      </w:numPr>
    </w:pPr>
  </w:style>
  <w:style w:type="paragraph" w:customStyle="1" w:styleId="Pointivx1">
    <w:name w:val="Point ivx (1)"/>
    <w:basedOn w:val="Normal"/>
    <w:rsid w:val="00F86DEA"/>
    <w:pPr>
      <w:numPr>
        <w:ilvl w:val="1"/>
        <w:numId w:val="39"/>
      </w:numPr>
      <w:outlineLvl w:val="0"/>
    </w:pPr>
  </w:style>
  <w:style w:type="paragraph" w:customStyle="1" w:styleId="Pointivx2">
    <w:name w:val="Point ivx (2)"/>
    <w:basedOn w:val="Normal"/>
    <w:rsid w:val="00F86DEA"/>
    <w:pPr>
      <w:numPr>
        <w:ilvl w:val="2"/>
        <w:numId w:val="39"/>
      </w:numPr>
      <w:outlineLvl w:val="1"/>
    </w:pPr>
  </w:style>
  <w:style w:type="paragraph" w:customStyle="1" w:styleId="Pointivx3">
    <w:name w:val="Point ivx (3)"/>
    <w:basedOn w:val="Normal"/>
    <w:rsid w:val="00F86DEA"/>
    <w:pPr>
      <w:numPr>
        <w:ilvl w:val="3"/>
        <w:numId w:val="39"/>
      </w:numPr>
      <w:outlineLvl w:val="2"/>
    </w:pPr>
  </w:style>
  <w:style w:type="paragraph" w:customStyle="1" w:styleId="Pointivx4">
    <w:name w:val="Point ivx (4)"/>
    <w:basedOn w:val="Normal"/>
    <w:rsid w:val="00F86DEA"/>
    <w:pPr>
      <w:numPr>
        <w:ilvl w:val="4"/>
        <w:numId w:val="39"/>
      </w:numPr>
      <w:outlineLvl w:val="3"/>
    </w:pPr>
  </w:style>
  <w:style w:type="paragraph" w:customStyle="1" w:styleId="Bullet">
    <w:name w:val="Bullet"/>
    <w:basedOn w:val="Normal"/>
    <w:rsid w:val="00F86DEA"/>
    <w:pPr>
      <w:numPr>
        <w:numId w:val="33"/>
      </w:numPr>
    </w:pPr>
  </w:style>
  <w:style w:type="paragraph" w:customStyle="1" w:styleId="Bullet1">
    <w:name w:val="Bullet 1"/>
    <w:basedOn w:val="Normal"/>
    <w:rsid w:val="00F86DEA"/>
    <w:pPr>
      <w:numPr>
        <w:numId w:val="34"/>
      </w:numPr>
      <w:outlineLvl w:val="0"/>
    </w:pPr>
  </w:style>
  <w:style w:type="paragraph" w:customStyle="1" w:styleId="Bullet2">
    <w:name w:val="Bullet 2"/>
    <w:basedOn w:val="Normal"/>
    <w:rsid w:val="00F86DEA"/>
    <w:pPr>
      <w:numPr>
        <w:numId w:val="35"/>
      </w:numPr>
      <w:outlineLvl w:val="1"/>
    </w:pPr>
  </w:style>
  <w:style w:type="paragraph" w:customStyle="1" w:styleId="Bullet3">
    <w:name w:val="Bullet 3"/>
    <w:basedOn w:val="Normal"/>
    <w:rsid w:val="00F86DEA"/>
    <w:pPr>
      <w:numPr>
        <w:numId w:val="36"/>
      </w:numPr>
      <w:outlineLvl w:val="2"/>
    </w:pPr>
  </w:style>
  <w:style w:type="paragraph" w:customStyle="1" w:styleId="Bullet4">
    <w:name w:val="Bullet 4"/>
    <w:basedOn w:val="Normal"/>
    <w:rsid w:val="00F86DEA"/>
    <w:pPr>
      <w:numPr>
        <w:numId w:val="37"/>
      </w:numPr>
      <w:outlineLvl w:val="3"/>
    </w:pPr>
  </w:style>
  <w:style w:type="paragraph" w:customStyle="1" w:styleId="Dash">
    <w:name w:val="Dash"/>
    <w:basedOn w:val="Normal"/>
    <w:rsid w:val="00F86DEA"/>
    <w:pPr>
      <w:numPr>
        <w:numId w:val="23"/>
      </w:numPr>
    </w:pPr>
  </w:style>
  <w:style w:type="paragraph" w:customStyle="1" w:styleId="Dash1">
    <w:name w:val="Dash 1"/>
    <w:basedOn w:val="Normal"/>
    <w:rsid w:val="00F86DEA"/>
    <w:pPr>
      <w:numPr>
        <w:numId w:val="24"/>
      </w:numPr>
      <w:outlineLvl w:val="0"/>
    </w:pPr>
  </w:style>
  <w:style w:type="paragraph" w:customStyle="1" w:styleId="Dash2">
    <w:name w:val="Dash 2"/>
    <w:basedOn w:val="Normal"/>
    <w:rsid w:val="00F86DEA"/>
    <w:pPr>
      <w:numPr>
        <w:numId w:val="25"/>
      </w:numPr>
      <w:outlineLvl w:val="1"/>
    </w:pPr>
  </w:style>
  <w:style w:type="paragraph" w:customStyle="1" w:styleId="Dash3">
    <w:name w:val="Dash 3"/>
    <w:basedOn w:val="Normal"/>
    <w:rsid w:val="00F86DEA"/>
    <w:pPr>
      <w:numPr>
        <w:numId w:val="26"/>
      </w:numPr>
      <w:outlineLvl w:val="2"/>
    </w:pPr>
  </w:style>
  <w:style w:type="paragraph" w:customStyle="1" w:styleId="Dash4">
    <w:name w:val="Dash 4"/>
    <w:basedOn w:val="Normal"/>
    <w:rsid w:val="00F86DEA"/>
    <w:pPr>
      <w:numPr>
        <w:numId w:val="27"/>
      </w:numPr>
      <w:outlineLvl w:val="3"/>
    </w:pPr>
  </w:style>
  <w:style w:type="paragraph" w:customStyle="1" w:styleId="DashEqual">
    <w:name w:val="Dash Equal"/>
    <w:basedOn w:val="Dash"/>
    <w:rsid w:val="00F86DEA"/>
    <w:pPr>
      <w:numPr>
        <w:numId w:val="28"/>
      </w:numPr>
    </w:pPr>
  </w:style>
  <w:style w:type="paragraph" w:customStyle="1" w:styleId="DashEqual1">
    <w:name w:val="Dash Equal 1"/>
    <w:basedOn w:val="Dash1"/>
    <w:rsid w:val="00F86DEA"/>
    <w:pPr>
      <w:numPr>
        <w:numId w:val="29"/>
      </w:numPr>
    </w:pPr>
  </w:style>
  <w:style w:type="paragraph" w:customStyle="1" w:styleId="DashEqual2">
    <w:name w:val="Dash Equal 2"/>
    <w:basedOn w:val="Dash2"/>
    <w:rsid w:val="00F86DEA"/>
    <w:pPr>
      <w:numPr>
        <w:numId w:val="30"/>
      </w:numPr>
    </w:pPr>
  </w:style>
  <w:style w:type="paragraph" w:customStyle="1" w:styleId="DashEqual3">
    <w:name w:val="Dash Equal 3"/>
    <w:basedOn w:val="Dash3"/>
    <w:rsid w:val="00F86DEA"/>
    <w:pPr>
      <w:numPr>
        <w:numId w:val="31"/>
      </w:numPr>
    </w:pPr>
  </w:style>
  <w:style w:type="paragraph" w:customStyle="1" w:styleId="DashEqual4">
    <w:name w:val="Dash Equal 4"/>
    <w:basedOn w:val="Dash4"/>
    <w:rsid w:val="00F86DEA"/>
    <w:pPr>
      <w:numPr>
        <w:numId w:val="32"/>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2"/>
      </w:numPr>
    </w:pPr>
  </w:style>
  <w:style w:type="paragraph" w:customStyle="1" w:styleId="Heading123">
    <w:name w:val="Heading 123"/>
    <w:basedOn w:val="HeadingLeft"/>
    <w:next w:val="Normal"/>
    <w:rsid w:val="00F86DEA"/>
    <w:pPr>
      <w:numPr>
        <w:numId w:val="41"/>
      </w:numPr>
    </w:pPr>
  </w:style>
  <w:style w:type="paragraph" w:customStyle="1" w:styleId="HeadingABC">
    <w:name w:val="Heading ABC"/>
    <w:basedOn w:val="HeadingLeft"/>
    <w:next w:val="Normal"/>
    <w:rsid w:val="00F86DEA"/>
    <w:pPr>
      <w:numPr>
        <w:numId w:val="40"/>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30DC2"/>
    <w:pPr>
      <w:spacing w:before="0" w:after="440"/>
      <w:ind w:left="-1134" w:right="-1134"/>
    </w:pPr>
    <w:rPr>
      <w:sz w:val="2"/>
    </w:rPr>
  </w:style>
  <w:style w:type="character" w:customStyle="1" w:styleId="TechnicalBlockChar">
    <w:name w:val="Technical Block Char"/>
    <w:basedOn w:val="DefaultParagraphFont"/>
    <w:rsid w:val="00C30DC2"/>
    <w:rPr>
      <w:sz w:val="24"/>
      <w:szCs w:val="24"/>
      <w:lang w:val="bg-BG" w:eastAsia="bg-BG"/>
    </w:rPr>
  </w:style>
  <w:style w:type="character" w:customStyle="1" w:styleId="HeaderCouncilLargeChar">
    <w:name w:val="Header Council Large Char"/>
    <w:basedOn w:val="TechnicalBlockChar"/>
    <w:link w:val="HeaderCouncilLarge"/>
    <w:rsid w:val="00C30DC2"/>
    <w:rPr>
      <w:sz w:val="2"/>
      <w:szCs w:val="24"/>
      <w:lang w:val="bg-BG" w:eastAsia="bg-BG"/>
    </w:rPr>
  </w:style>
  <w:style w:type="paragraph" w:customStyle="1" w:styleId="FooterText">
    <w:name w:val="Footer Text"/>
    <w:basedOn w:val="Normal"/>
    <w:rsid w:val="00C30DC2"/>
    <w:pPr>
      <w:spacing w:before="0" w:after="0" w:line="240" w:lineRule="auto"/>
    </w:pPr>
  </w:style>
  <w:style w:type="paragraph" w:customStyle="1" w:styleId="EntRefer">
    <w:name w:val="EntRefer"/>
    <w:basedOn w:val="Normal"/>
    <w:rsid w:val="007E3148"/>
    <w:pPr>
      <w:widowControl w:val="0"/>
      <w:spacing w:before="0" w:after="0" w:line="240" w:lineRule="auto"/>
    </w:pPr>
    <w:rPr>
      <w:b/>
      <w:szCs w:val="20"/>
    </w:rPr>
  </w:style>
  <w:style w:type="paragraph" w:customStyle="1" w:styleId="CharCharChar">
    <w:name w:val="Char Char Char"/>
    <w:basedOn w:val="Normal"/>
    <w:rsid w:val="007E3148"/>
    <w:pPr>
      <w:spacing w:before="0" w:after="160" w:line="240" w:lineRule="exact"/>
    </w:pPr>
    <w:rPr>
      <w:rFonts w:ascii="Tahoma" w:hAnsi="Tahoma"/>
      <w:sz w:val="20"/>
      <w:szCs w:val="20"/>
    </w:rPr>
  </w:style>
  <w:style w:type="character" w:customStyle="1" w:styleId="FootnoteTextChar">
    <w:name w:val="Footnote Text Char"/>
    <w:aliases w:val="Fußnotentextf Char,fn Char,Schriftart: 9 pt Char,Schriftart: 10 pt Char,Schriftart: 8 pt Char,WB-Fußnotentext Char,o Char,Podrozdział Char,Schriftart: 8 p Char,Char Char,Tekst przypisu Char,WB-Fuﬂnotentext Char,Voetnoottekst Char Char"/>
    <w:rsid w:val="007E3148"/>
    <w:rPr>
      <w:sz w:val="24"/>
      <w:lang w:val="bg-BG" w:eastAsia="bg-BG"/>
    </w:rPr>
  </w:style>
  <w:style w:type="paragraph" w:styleId="BalloonText">
    <w:name w:val="Balloon Text"/>
    <w:basedOn w:val="Normal"/>
    <w:link w:val="BalloonTextChar"/>
    <w:uiPriority w:val="99"/>
    <w:semiHidden/>
    <w:unhideWhenUsed/>
    <w:rsid w:val="00B8427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7D"/>
    <w:rPr>
      <w:rFonts w:ascii="Tahoma" w:hAnsi="Tahoma" w:cs="Tahoma"/>
      <w:sz w:val="16"/>
      <w:szCs w:val="16"/>
      <w:lang w:val="bg-BG" w:eastAsia="bg-BG"/>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DB4201"/>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8"/>
      </w:numPr>
    </w:pPr>
  </w:style>
  <w:style w:type="paragraph" w:customStyle="1" w:styleId="Pointabc1">
    <w:name w:val="Point abc (1)"/>
    <w:basedOn w:val="Normal"/>
    <w:rsid w:val="00F86DEA"/>
    <w:pPr>
      <w:numPr>
        <w:ilvl w:val="3"/>
        <w:numId w:val="38"/>
      </w:numPr>
      <w:outlineLvl w:val="0"/>
    </w:pPr>
  </w:style>
  <w:style w:type="paragraph" w:customStyle="1" w:styleId="Pointabc2">
    <w:name w:val="Point abc (2)"/>
    <w:basedOn w:val="Normal"/>
    <w:rsid w:val="00F86DEA"/>
    <w:pPr>
      <w:numPr>
        <w:ilvl w:val="5"/>
        <w:numId w:val="38"/>
      </w:numPr>
      <w:outlineLvl w:val="1"/>
    </w:pPr>
  </w:style>
  <w:style w:type="paragraph" w:customStyle="1" w:styleId="Pointabc3">
    <w:name w:val="Point abc (3)"/>
    <w:basedOn w:val="Normal"/>
    <w:rsid w:val="00F86DEA"/>
    <w:pPr>
      <w:numPr>
        <w:ilvl w:val="7"/>
        <w:numId w:val="38"/>
      </w:numPr>
      <w:outlineLvl w:val="2"/>
    </w:pPr>
  </w:style>
  <w:style w:type="paragraph" w:customStyle="1" w:styleId="Pointabc4">
    <w:name w:val="Point abc (4)"/>
    <w:basedOn w:val="Normal"/>
    <w:rsid w:val="00F86DEA"/>
    <w:pPr>
      <w:numPr>
        <w:ilvl w:val="8"/>
        <w:numId w:val="38"/>
      </w:numPr>
      <w:outlineLvl w:val="3"/>
    </w:pPr>
  </w:style>
  <w:style w:type="paragraph" w:customStyle="1" w:styleId="Point123">
    <w:name w:val="Point 123"/>
    <w:basedOn w:val="Normal"/>
    <w:rsid w:val="00F86DEA"/>
    <w:pPr>
      <w:numPr>
        <w:numId w:val="38"/>
      </w:numPr>
    </w:pPr>
  </w:style>
  <w:style w:type="paragraph" w:customStyle="1" w:styleId="Point1231">
    <w:name w:val="Point 123 (1)"/>
    <w:basedOn w:val="Normal"/>
    <w:rsid w:val="00F86DEA"/>
    <w:pPr>
      <w:numPr>
        <w:ilvl w:val="2"/>
        <w:numId w:val="38"/>
      </w:numPr>
      <w:outlineLvl w:val="0"/>
    </w:pPr>
  </w:style>
  <w:style w:type="paragraph" w:customStyle="1" w:styleId="Point1232">
    <w:name w:val="Point 123 (2)"/>
    <w:basedOn w:val="Normal"/>
    <w:rsid w:val="00F86DEA"/>
    <w:pPr>
      <w:numPr>
        <w:ilvl w:val="4"/>
        <w:numId w:val="38"/>
      </w:numPr>
      <w:outlineLvl w:val="1"/>
    </w:pPr>
  </w:style>
  <w:style w:type="paragraph" w:customStyle="1" w:styleId="Point1233">
    <w:name w:val="Point 123 (3)"/>
    <w:basedOn w:val="Normal"/>
    <w:rsid w:val="00F86DEA"/>
    <w:pPr>
      <w:numPr>
        <w:ilvl w:val="6"/>
        <w:numId w:val="38"/>
      </w:numPr>
      <w:outlineLvl w:val="2"/>
    </w:pPr>
  </w:style>
  <w:style w:type="paragraph" w:customStyle="1" w:styleId="Pointivx">
    <w:name w:val="Point ivx"/>
    <w:basedOn w:val="Normal"/>
    <w:rsid w:val="00F86DEA"/>
    <w:pPr>
      <w:numPr>
        <w:numId w:val="39"/>
      </w:numPr>
    </w:pPr>
  </w:style>
  <w:style w:type="paragraph" w:customStyle="1" w:styleId="Pointivx1">
    <w:name w:val="Point ivx (1)"/>
    <w:basedOn w:val="Normal"/>
    <w:rsid w:val="00F86DEA"/>
    <w:pPr>
      <w:numPr>
        <w:ilvl w:val="1"/>
        <w:numId w:val="39"/>
      </w:numPr>
      <w:outlineLvl w:val="0"/>
    </w:pPr>
  </w:style>
  <w:style w:type="paragraph" w:customStyle="1" w:styleId="Pointivx2">
    <w:name w:val="Point ivx (2)"/>
    <w:basedOn w:val="Normal"/>
    <w:rsid w:val="00F86DEA"/>
    <w:pPr>
      <w:numPr>
        <w:ilvl w:val="2"/>
        <w:numId w:val="39"/>
      </w:numPr>
      <w:outlineLvl w:val="1"/>
    </w:pPr>
  </w:style>
  <w:style w:type="paragraph" w:customStyle="1" w:styleId="Pointivx3">
    <w:name w:val="Point ivx (3)"/>
    <w:basedOn w:val="Normal"/>
    <w:rsid w:val="00F86DEA"/>
    <w:pPr>
      <w:numPr>
        <w:ilvl w:val="3"/>
        <w:numId w:val="39"/>
      </w:numPr>
      <w:outlineLvl w:val="2"/>
    </w:pPr>
  </w:style>
  <w:style w:type="paragraph" w:customStyle="1" w:styleId="Pointivx4">
    <w:name w:val="Point ivx (4)"/>
    <w:basedOn w:val="Normal"/>
    <w:rsid w:val="00F86DEA"/>
    <w:pPr>
      <w:numPr>
        <w:ilvl w:val="4"/>
        <w:numId w:val="39"/>
      </w:numPr>
      <w:outlineLvl w:val="3"/>
    </w:pPr>
  </w:style>
  <w:style w:type="paragraph" w:customStyle="1" w:styleId="Bullet">
    <w:name w:val="Bullet"/>
    <w:basedOn w:val="Normal"/>
    <w:rsid w:val="00F86DEA"/>
    <w:pPr>
      <w:numPr>
        <w:numId w:val="33"/>
      </w:numPr>
    </w:pPr>
  </w:style>
  <w:style w:type="paragraph" w:customStyle="1" w:styleId="Bullet1">
    <w:name w:val="Bullet 1"/>
    <w:basedOn w:val="Normal"/>
    <w:rsid w:val="00F86DEA"/>
    <w:pPr>
      <w:numPr>
        <w:numId w:val="34"/>
      </w:numPr>
      <w:outlineLvl w:val="0"/>
    </w:pPr>
  </w:style>
  <w:style w:type="paragraph" w:customStyle="1" w:styleId="Bullet2">
    <w:name w:val="Bullet 2"/>
    <w:basedOn w:val="Normal"/>
    <w:rsid w:val="00F86DEA"/>
    <w:pPr>
      <w:numPr>
        <w:numId w:val="35"/>
      </w:numPr>
      <w:outlineLvl w:val="1"/>
    </w:pPr>
  </w:style>
  <w:style w:type="paragraph" w:customStyle="1" w:styleId="Bullet3">
    <w:name w:val="Bullet 3"/>
    <w:basedOn w:val="Normal"/>
    <w:rsid w:val="00F86DEA"/>
    <w:pPr>
      <w:numPr>
        <w:numId w:val="36"/>
      </w:numPr>
      <w:outlineLvl w:val="2"/>
    </w:pPr>
  </w:style>
  <w:style w:type="paragraph" w:customStyle="1" w:styleId="Bullet4">
    <w:name w:val="Bullet 4"/>
    <w:basedOn w:val="Normal"/>
    <w:rsid w:val="00F86DEA"/>
    <w:pPr>
      <w:numPr>
        <w:numId w:val="37"/>
      </w:numPr>
      <w:outlineLvl w:val="3"/>
    </w:pPr>
  </w:style>
  <w:style w:type="paragraph" w:customStyle="1" w:styleId="Dash">
    <w:name w:val="Dash"/>
    <w:basedOn w:val="Normal"/>
    <w:rsid w:val="00F86DEA"/>
    <w:pPr>
      <w:numPr>
        <w:numId w:val="23"/>
      </w:numPr>
    </w:pPr>
  </w:style>
  <w:style w:type="paragraph" w:customStyle="1" w:styleId="Dash1">
    <w:name w:val="Dash 1"/>
    <w:basedOn w:val="Normal"/>
    <w:rsid w:val="00F86DEA"/>
    <w:pPr>
      <w:numPr>
        <w:numId w:val="24"/>
      </w:numPr>
      <w:outlineLvl w:val="0"/>
    </w:pPr>
  </w:style>
  <w:style w:type="paragraph" w:customStyle="1" w:styleId="Dash2">
    <w:name w:val="Dash 2"/>
    <w:basedOn w:val="Normal"/>
    <w:rsid w:val="00F86DEA"/>
    <w:pPr>
      <w:numPr>
        <w:numId w:val="25"/>
      </w:numPr>
      <w:outlineLvl w:val="1"/>
    </w:pPr>
  </w:style>
  <w:style w:type="paragraph" w:customStyle="1" w:styleId="Dash3">
    <w:name w:val="Dash 3"/>
    <w:basedOn w:val="Normal"/>
    <w:rsid w:val="00F86DEA"/>
    <w:pPr>
      <w:numPr>
        <w:numId w:val="26"/>
      </w:numPr>
      <w:outlineLvl w:val="2"/>
    </w:pPr>
  </w:style>
  <w:style w:type="paragraph" w:customStyle="1" w:styleId="Dash4">
    <w:name w:val="Dash 4"/>
    <w:basedOn w:val="Normal"/>
    <w:rsid w:val="00F86DEA"/>
    <w:pPr>
      <w:numPr>
        <w:numId w:val="27"/>
      </w:numPr>
      <w:outlineLvl w:val="3"/>
    </w:pPr>
  </w:style>
  <w:style w:type="paragraph" w:customStyle="1" w:styleId="DashEqual">
    <w:name w:val="Dash Equal"/>
    <w:basedOn w:val="Dash"/>
    <w:rsid w:val="00F86DEA"/>
    <w:pPr>
      <w:numPr>
        <w:numId w:val="28"/>
      </w:numPr>
    </w:pPr>
  </w:style>
  <w:style w:type="paragraph" w:customStyle="1" w:styleId="DashEqual1">
    <w:name w:val="Dash Equal 1"/>
    <w:basedOn w:val="Dash1"/>
    <w:rsid w:val="00F86DEA"/>
    <w:pPr>
      <w:numPr>
        <w:numId w:val="29"/>
      </w:numPr>
    </w:pPr>
  </w:style>
  <w:style w:type="paragraph" w:customStyle="1" w:styleId="DashEqual2">
    <w:name w:val="Dash Equal 2"/>
    <w:basedOn w:val="Dash2"/>
    <w:rsid w:val="00F86DEA"/>
    <w:pPr>
      <w:numPr>
        <w:numId w:val="30"/>
      </w:numPr>
    </w:pPr>
  </w:style>
  <w:style w:type="paragraph" w:customStyle="1" w:styleId="DashEqual3">
    <w:name w:val="Dash Equal 3"/>
    <w:basedOn w:val="Dash3"/>
    <w:rsid w:val="00F86DEA"/>
    <w:pPr>
      <w:numPr>
        <w:numId w:val="31"/>
      </w:numPr>
    </w:pPr>
  </w:style>
  <w:style w:type="paragraph" w:customStyle="1" w:styleId="DashEqual4">
    <w:name w:val="Dash Equal 4"/>
    <w:basedOn w:val="Dash4"/>
    <w:rsid w:val="00F86DEA"/>
    <w:pPr>
      <w:numPr>
        <w:numId w:val="32"/>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2"/>
      </w:numPr>
    </w:pPr>
  </w:style>
  <w:style w:type="paragraph" w:customStyle="1" w:styleId="Heading123">
    <w:name w:val="Heading 123"/>
    <w:basedOn w:val="HeadingLeft"/>
    <w:next w:val="Normal"/>
    <w:rsid w:val="00F86DEA"/>
    <w:pPr>
      <w:numPr>
        <w:numId w:val="41"/>
      </w:numPr>
    </w:pPr>
  </w:style>
  <w:style w:type="paragraph" w:customStyle="1" w:styleId="HeadingABC">
    <w:name w:val="Heading ABC"/>
    <w:basedOn w:val="HeadingLeft"/>
    <w:next w:val="Normal"/>
    <w:rsid w:val="00F86DEA"/>
    <w:pPr>
      <w:numPr>
        <w:numId w:val="40"/>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TE\AppData\Roaming\Microsoft\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CBC-A152-4E5A-ABEF-86A57440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6</TotalTime>
  <Pages>4</Pages>
  <Words>1173</Words>
  <Characters>7130</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PETRIC Nikolina</dc:creator>
  <cp:lastModifiedBy>GEORGIEVA Teodora</cp:lastModifiedBy>
  <cp:revision>8</cp:revision>
  <cp:lastPrinted>2015-11-11T12:07:00Z</cp:lastPrinted>
  <dcterms:created xsi:type="dcterms:W3CDTF">2015-11-11T14:42:00Z</dcterms:created>
  <dcterms:modified xsi:type="dcterms:W3CDTF">2015-11-13T12:48:00Z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3.6.3, Build 20150630</vt:lpwstr>
  </property>
  <property fmtid="{D5CDD505-2E9C-101B-9397-08002B2CF9AE}" pid="4" name="Last edited using">
    <vt:lpwstr>DocuWrite 3.6.7, Build 20150916</vt:lpwstr>
  </property>
  <property fmtid="{D5CDD505-2E9C-101B-9397-08002B2CF9AE}" pid="5" name="SkipControlLengthPage">
    <vt:lpwstr/>
  </property>
</Properties>
</file>