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91" w:rsidRPr="006A27CB" w:rsidRDefault="00F66CBD" w:rsidP="006A27C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068603c-955c-4135-b5c0-399ff0f24b94_0" style="width:568.5pt;height:516.75pt">
            <v:imagedata r:id="rId9" o:title=""/>
          </v:shape>
        </w:pict>
      </w:r>
      <w:bookmarkEnd w:id="0"/>
    </w:p>
    <w:p w:rsidR="00C94F91" w:rsidRPr="00485E51" w:rsidRDefault="00C94F91" w:rsidP="00C94F91"/>
    <w:p w:rsidR="008545FA" w:rsidRPr="00485E51" w:rsidRDefault="008545FA" w:rsidP="00237107">
      <w:pPr>
        <w:rPr>
          <w:b/>
          <w:bCs/>
          <w:u w:val="single"/>
        </w:rPr>
      </w:pPr>
      <w:r w:rsidRPr="00485E51">
        <w:rPr>
          <w:b/>
          <w:u w:val="single"/>
        </w:rPr>
        <w:t>ЗАСЕДАНИЕ В ПОНЕДЕЛНИК, 30 НОЕМВРИ 2015 г. (9,30 ч.)</w:t>
      </w:r>
    </w:p>
    <w:p w:rsidR="00593414" w:rsidRPr="00485E51" w:rsidRDefault="00593414" w:rsidP="00C94F91"/>
    <w:p w:rsidR="003F1CC8" w:rsidRPr="00485E51" w:rsidRDefault="003F1CC8" w:rsidP="00C94F91"/>
    <w:p w:rsidR="00593414" w:rsidRPr="00485E51" w:rsidRDefault="00593414" w:rsidP="00593414">
      <w:pPr>
        <w:pStyle w:val="PointManual"/>
        <w:spacing w:before="0"/>
      </w:pPr>
      <w:r w:rsidRPr="00485E51">
        <w:t>1.</w:t>
      </w:r>
      <w:r w:rsidRPr="00485E51">
        <w:tab/>
        <w:t>Приемане на предварителния дневен ред</w:t>
      </w:r>
    </w:p>
    <w:p w:rsidR="00593414" w:rsidRPr="00485E51" w:rsidRDefault="00593414" w:rsidP="00593414">
      <w:pPr>
        <w:rPr>
          <w:b/>
          <w:bCs/>
        </w:rPr>
      </w:pPr>
    </w:p>
    <w:p w:rsidR="00593414" w:rsidRPr="00485E51" w:rsidRDefault="00593414" w:rsidP="00593414">
      <w:pPr>
        <w:rPr>
          <w:b/>
          <w:bCs/>
        </w:rPr>
      </w:pPr>
      <w:r w:rsidRPr="00485E51">
        <w:rPr>
          <w:b/>
          <w:u w:val="single"/>
        </w:rPr>
        <w:t>Обсъждания на законодателни актове</w:t>
      </w:r>
    </w:p>
    <w:p w:rsidR="00593414" w:rsidRPr="00485E51" w:rsidRDefault="00593414" w:rsidP="00593414">
      <w:pPr>
        <w:rPr>
          <w:b/>
          <w:bCs/>
        </w:rPr>
      </w:pPr>
      <w:r w:rsidRPr="00485E51">
        <w:rPr>
          <w:b/>
        </w:rPr>
        <w:t>(открито обсъждане съгласно член 16, параграф 8 от Договора за Европейския съюз)</w:t>
      </w:r>
    </w:p>
    <w:p w:rsidR="00593414" w:rsidRPr="00485E51" w:rsidRDefault="00593414" w:rsidP="00593414">
      <w:pPr>
        <w:pStyle w:val="PointManual"/>
        <w:spacing w:before="0"/>
      </w:pPr>
    </w:p>
    <w:p w:rsidR="00593414" w:rsidRPr="00485E51" w:rsidRDefault="00593414" w:rsidP="00593414">
      <w:pPr>
        <w:pStyle w:val="PointManual"/>
        <w:spacing w:before="0"/>
      </w:pPr>
      <w:r w:rsidRPr="00485E51">
        <w:t>2.</w:t>
      </w:r>
      <w:r w:rsidRPr="00485E51">
        <w:tab/>
        <w:t xml:space="preserve">(евентуално) Одобряване на списъка на точки А </w:t>
      </w:r>
    </w:p>
    <w:p w:rsidR="00593414" w:rsidRPr="00485E51" w:rsidRDefault="003F1CC8" w:rsidP="00593414">
      <w:r w:rsidRPr="00485E51">
        <w:br w:type="page"/>
      </w:r>
    </w:p>
    <w:p w:rsidR="00593414" w:rsidRPr="00485E51" w:rsidRDefault="00593414" w:rsidP="00593414">
      <w:pPr>
        <w:rPr>
          <w:b/>
          <w:bCs/>
          <w:szCs w:val="32"/>
          <w:u w:val="single"/>
        </w:rPr>
      </w:pPr>
      <w:r w:rsidRPr="00485E51">
        <w:rPr>
          <w:b/>
          <w:u w:val="single"/>
        </w:rPr>
        <w:t>Незаконодателни дейности</w:t>
      </w:r>
    </w:p>
    <w:p w:rsidR="00593414" w:rsidRPr="00485E51" w:rsidRDefault="00593414" w:rsidP="00593414">
      <w:pPr>
        <w:rPr>
          <w:b/>
          <w:bCs/>
        </w:rPr>
      </w:pPr>
    </w:p>
    <w:p w:rsidR="00593414" w:rsidRPr="00485E51" w:rsidRDefault="00593414" w:rsidP="00593414">
      <w:pPr>
        <w:pStyle w:val="PointManual"/>
        <w:spacing w:before="0"/>
      </w:pPr>
      <w:r w:rsidRPr="00485E51">
        <w:t>3.</w:t>
      </w:r>
      <w:r w:rsidRPr="00485E51">
        <w:tab/>
        <w:t>(евентуално) Одобряване на списъка на точки А</w:t>
      </w:r>
    </w:p>
    <w:p w:rsidR="00593414" w:rsidRPr="00485E51" w:rsidRDefault="00593414" w:rsidP="00593414"/>
    <w:p w:rsidR="003F1CC8" w:rsidRPr="00485E51" w:rsidRDefault="003F1CC8" w:rsidP="00593414"/>
    <w:p w:rsidR="00593414" w:rsidRPr="00485E51" w:rsidRDefault="00593414" w:rsidP="00593414">
      <w:pPr>
        <w:rPr>
          <w:u w:val="single"/>
        </w:rPr>
      </w:pPr>
      <w:r w:rsidRPr="00485E51">
        <w:rPr>
          <w:u w:val="single"/>
        </w:rPr>
        <w:t>ВЪТРЕШЕН ПАЗАР И ПРОМИШЛЕНОСТ</w:t>
      </w:r>
    </w:p>
    <w:p w:rsidR="00593414" w:rsidRPr="00485E51" w:rsidRDefault="00593414" w:rsidP="000C46ED"/>
    <w:p w:rsidR="00593414" w:rsidRPr="00485E51" w:rsidRDefault="00593414" w:rsidP="000C46ED"/>
    <w:p w:rsidR="008545FA" w:rsidRPr="00485E51" w:rsidRDefault="00593414" w:rsidP="008545FA">
      <w:pPr>
        <w:pStyle w:val="PointManual"/>
        <w:spacing w:before="0"/>
      </w:pPr>
      <w:r w:rsidRPr="00485E51">
        <w:t>4.</w:t>
      </w:r>
      <w:r w:rsidRPr="00485E51">
        <w:tab/>
        <w:t>„Проверка“ на конкурентоспособността: Икономическо развитие и интеграция на конкурентоспособността във всички области на политиката</w:t>
      </w:r>
    </w:p>
    <w:p w:rsidR="008545FA" w:rsidRPr="00485E51" w:rsidRDefault="00593414" w:rsidP="00AB3D37">
      <w:pPr>
        <w:pStyle w:val="Dash1"/>
        <w:numPr>
          <w:ilvl w:val="0"/>
          <w:numId w:val="20"/>
        </w:numPr>
      </w:pPr>
      <w:r w:rsidRPr="00485E51">
        <w:t xml:space="preserve">Представяне от Комисията </w:t>
      </w:r>
    </w:p>
    <w:p w:rsidR="00593414" w:rsidRPr="00485E51" w:rsidRDefault="00593414" w:rsidP="008545FA">
      <w:pPr>
        <w:pStyle w:val="Dash1"/>
      </w:pPr>
      <w:r w:rsidRPr="00485E51">
        <w:t>Представяне на доклада на председателството относно интегрирането на конкурентоспособността в други области на политиката</w:t>
      </w:r>
    </w:p>
    <w:p w:rsidR="00593414" w:rsidRPr="00485E51" w:rsidRDefault="00593414" w:rsidP="00593414">
      <w:pPr>
        <w:pStyle w:val="Dash1"/>
      </w:pPr>
      <w:r w:rsidRPr="00485E51">
        <w:t>Обмен на мнения</w:t>
      </w:r>
    </w:p>
    <w:p w:rsidR="00E30C7A" w:rsidRPr="00485E51" w:rsidRDefault="00E30C7A" w:rsidP="00E30C7A"/>
    <w:p w:rsidR="00FC6917" w:rsidRPr="00485E51" w:rsidRDefault="00FC6917" w:rsidP="00E30C7A"/>
    <w:p w:rsidR="00593414" w:rsidRPr="00485E51" w:rsidRDefault="00593414" w:rsidP="00593414">
      <w:pPr>
        <w:pStyle w:val="PointManual"/>
        <w:spacing w:before="0"/>
      </w:pPr>
      <w:r w:rsidRPr="00485E51">
        <w:t>5.</w:t>
      </w:r>
      <w:r w:rsidRPr="00485E51">
        <w:tab/>
        <w:t>Стратегия за вътрешния пазар на стоки и услуги</w:t>
      </w:r>
    </w:p>
    <w:p w:rsidR="00593414" w:rsidRPr="00485E51" w:rsidRDefault="00593414" w:rsidP="008545FA">
      <w:pPr>
        <w:pStyle w:val="Dash1"/>
      </w:pPr>
      <w:r w:rsidRPr="00485E51">
        <w:t xml:space="preserve">Представяне от Комисията </w:t>
      </w:r>
    </w:p>
    <w:p w:rsidR="00593414" w:rsidRPr="00485E51" w:rsidRDefault="00593414" w:rsidP="008545FA">
      <w:pPr>
        <w:pStyle w:val="Dash1"/>
      </w:pPr>
      <w:r w:rsidRPr="00485E51">
        <w:t>Ориентационен дебат</w:t>
      </w:r>
    </w:p>
    <w:p w:rsidR="00E30C7A" w:rsidRPr="00485E51" w:rsidRDefault="000A5EA3" w:rsidP="000A5EA3">
      <w:pPr>
        <w:pStyle w:val="Text3"/>
      </w:pPr>
      <w:r w:rsidRPr="00485E51">
        <w:t>13370/15 COMPET 472 MI 664 CONSOM 180 PI 81 IND 158 ECOFIN 816</w:t>
      </w:r>
    </w:p>
    <w:p w:rsidR="00FC6917" w:rsidRPr="00485E51" w:rsidRDefault="00FC6917" w:rsidP="00E30C7A"/>
    <w:p w:rsidR="00593414" w:rsidRPr="00485E51" w:rsidRDefault="00593414" w:rsidP="00593414">
      <w:pPr>
        <w:pStyle w:val="PointManual"/>
        <w:spacing w:before="0"/>
      </w:pPr>
      <w:r w:rsidRPr="00485E51">
        <w:t>6.</w:t>
      </w:r>
      <w:r w:rsidRPr="00485E51">
        <w:tab/>
        <w:t>По-добро законотворчество</w:t>
      </w:r>
    </w:p>
    <w:p w:rsidR="00593414" w:rsidRPr="00485E51" w:rsidRDefault="00593414" w:rsidP="008545FA">
      <w:pPr>
        <w:pStyle w:val="Dash1"/>
      </w:pPr>
      <w:r w:rsidRPr="00485E51">
        <w:t>Обмен на мнения</w:t>
      </w:r>
    </w:p>
    <w:p w:rsidR="00E30C7A" w:rsidRPr="00485E51" w:rsidRDefault="00E30C7A" w:rsidP="00E30C7A"/>
    <w:p w:rsidR="00FC6917" w:rsidRPr="00485E51" w:rsidRDefault="00FC6917" w:rsidP="00E30C7A"/>
    <w:p w:rsidR="00593414" w:rsidRPr="00485E51" w:rsidRDefault="00593414" w:rsidP="00593414">
      <w:pPr>
        <w:pStyle w:val="PointManual"/>
        <w:spacing w:before="0"/>
      </w:pPr>
      <w:r w:rsidRPr="00485E51">
        <w:t>7.</w:t>
      </w:r>
      <w:r w:rsidRPr="00485E51">
        <w:tab/>
        <w:t>Препоръка на Комисията за препоръка на Съвета за създаване на национални съвети по конкурентоспособността в еврозоната</w:t>
      </w:r>
    </w:p>
    <w:p w:rsidR="00593414" w:rsidRPr="00485E51" w:rsidRDefault="00593414" w:rsidP="008545FA">
      <w:pPr>
        <w:pStyle w:val="Dash1"/>
      </w:pPr>
      <w:r w:rsidRPr="00485E51">
        <w:t xml:space="preserve">Представяне от Комисията </w:t>
      </w:r>
    </w:p>
    <w:p w:rsidR="00593414" w:rsidRPr="00485E51" w:rsidRDefault="00593414" w:rsidP="008545FA">
      <w:pPr>
        <w:pStyle w:val="Dash1"/>
      </w:pPr>
      <w:r w:rsidRPr="00485E51">
        <w:t>Обмен на мнения</w:t>
      </w:r>
    </w:p>
    <w:p w:rsidR="000A5EA3" w:rsidRPr="00485E51" w:rsidRDefault="000A5EA3" w:rsidP="000A5EA3">
      <w:pPr>
        <w:pStyle w:val="Text3"/>
      </w:pPr>
      <w:r w:rsidRPr="00485E51">
        <w:t>13348/15 ECOFIN 798 UEM 383 COMPET 514</w:t>
      </w:r>
    </w:p>
    <w:p w:rsidR="000A5EA3" w:rsidRPr="00485E51" w:rsidRDefault="000A5EA3" w:rsidP="000A5EA3">
      <w:pPr>
        <w:pStyle w:val="Text4"/>
      </w:pPr>
      <w:r w:rsidRPr="00485E51">
        <w:t>+ COR 1</w:t>
      </w:r>
    </w:p>
    <w:p w:rsidR="00593414" w:rsidRPr="00485E51" w:rsidRDefault="00593414" w:rsidP="000C46ED">
      <w:pPr>
        <w:rPr>
          <w:u w:val="single"/>
        </w:rPr>
      </w:pPr>
    </w:p>
    <w:p w:rsidR="00593414" w:rsidRPr="00485E51" w:rsidRDefault="00593414" w:rsidP="000C46ED">
      <w:pPr>
        <w:rPr>
          <w:u w:val="single"/>
        </w:rPr>
      </w:pPr>
    </w:p>
    <w:p w:rsidR="00593414" w:rsidRPr="00485E51" w:rsidRDefault="00593414" w:rsidP="000C46ED">
      <w:pPr>
        <w:rPr>
          <w:b/>
          <w:bCs/>
          <w:u w:val="single"/>
        </w:rPr>
      </w:pPr>
      <w:r w:rsidRPr="00485E51">
        <w:rPr>
          <w:b/>
          <w:u w:val="single"/>
        </w:rPr>
        <w:t>Други въпроси</w:t>
      </w:r>
    </w:p>
    <w:p w:rsidR="00593414" w:rsidRPr="00485E51" w:rsidRDefault="00593414" w:rsidP="000C46ED">
      <w:pPr>
        <w:rPr>
          <w:u w:val="single"/>
        </w:rPr>
      </w:pPr>
    </w:p>
    <w:p w:rsidR="00593414" w:rsidRPr="00485E51" w:rsidRDefault="00593414" w:rsidP="00593414">
      <w:pPr>
        <w:pStyle w:val="PointManual"/>
        <w:spacing w:before="0"/>
      </w:pPr>
      <w:r w:rsidRPr="00485E51">
        <w:t>8.</w:t>
      </w:r>
      <w:r w:rsidRPr="00485E51">
        <w:tab/>
        <w:t>а)</w:t>
      </w:r>
      <w:r w:rsidRPr="00485E51">
        <w:tab/>
        <w:t>Емисии при реални условия на шофиране и контрол на емисиите от автомобилите</w:t>
      </w:r>
    </w:p>
    <w:p w:rsidR="00593414" w:rsidRPr="00485E51" w:rsidRDefault="00593414" w:rsidP="00AB3D37">
      <w:pPr>
        <w:pStyle w:val="Dash2"/>
        <w:numPr>
          <w:ilvl w:val="0"/>
          <w:numId w:val="21"/>
        </w:numPr>
      </w:pPr>
      <w:r w:rsidRPr="00485E51">
        <w:t>Представяне от Комисията на актуалното състояние</w:t>
      </w:r>
    </w:p>
    <w:p w:rsidR="00593414" w:rsidRPr="00485E51" w:rsidRDefault="00593414" w:rsidP="000C46ED">
      <w:pPr>
        <w:outlineLvl w:val="0"/>
      </w:pPr>
    </w:p>
    <w:p w:rsidR="00593414" w:rsidRPr="00485E51" w:rsidRDefault="00E67E09" w:rsidP="00E67E09">
      <w:pPr>
        <w:ind w:left="1134" w:hanging="567"/>
      </w:pPr>
      <w:r>
        <w:t>а)</w:t>
      </w:r>
      <w:r>
        <w:tab/>
      </w:r>
      <w:r w:rsidR="00593414" w:rsidRPr="00E67E09">
        <w:t xml:space="preserve">Подписване </w:t>
      </w:r>
      <w:r w:rsidR="00593414" w:rsidRPr="00485E51">
        <w:t xml:space="preserve">на препоръката на Комитета на министрите на Бенелюкс относно териториално ограничение на предлагането в Бенелюкс </w:t>
      </w:r>
    </w:p>
    <w:p w:rsidR="00593414" w:rsidRPr="00485E51" w:rsidRDefault="00593414" w:rsidP="00E30C7A">
      <w:pPr>
        <w:pStyle w:val="Dash2"/>
      </w:pPr>
      <w:r w:rsidRPr="00485E51">
        <w:t>Информация от председателството</w:t>
      </w:r>
    </w:p>
    <w:p w:rsidR="00593414" w:rsidRPr="00485E51" w:rsidRDefault="00593414" w:rsidP="000C46ED"/>
    <w:p w:rsidR="00593414" w:rsidRPr="00485E51" w:rsidRDefault="00E67E09" w:rsidP="00E67E09">
      <w:pPr>
        <w:ind w:left="1134" w:hanging="567"/>
      </w:pPr>
      <w:r>
        <w:t>б)</w:t>
      </w:r>
      <w:r>
        <w:tab/>
      </w:r>
      <w:r w:rsidR="00593414" w:rsidRPr="00E67E09">
        <w:t xml:space="preserve">Резултати </w:t>
      </w:r>
      <w:r w:rsidR="00593414" w:rsidRPr="00485E51">
        <w:t>от неформалната среща на центровете SOLVIT (Лисабон, 18 септември 2015 г.)</w:t>
      </w:r>
    </w:p>
    <w:p w:rsidR="00593414" w:rsidRPr="00485E51" w:rsidRDefault="00593414" w:rsidP="00E30C7A">
      <w:pPr>
        <w:pStyle w:val="Dash2"/>
      </w:pPr>
      <w:r w:rsidRPr="00485E51">
        <w:t xml:space="preserve">Информация от делегацията на Португалия </w:t>
      </w:r>
    </w:p>
    <w:p w:rsidR="00593414" w:rsidRPr="00485E51" w:rsidRDefault="00593414" w:rsidP="000C46ED"/>
    <w:p w:rsidR="00593414" w:rsidRPr="00485E51" w:rsidRDefault="00E67E09" w:rsidP="00E67E09">
      <w:pPr>
        <w:pStyle w:val="PointManual1"/>
      </w:pPr>
      <w:r>
        <w:t>в</w:t>
      </w:r>
      <w:r w:rsidRPr="00E67E09">
        <w:t>)</w:t>
      </w:r>
      <w:r w:rsidRPr="00E67E09">
        <w:tab/>
      </w:r>
      <w:r w:rsidR="00593414" w:rsidRPr="00485E51">
        <w:t>Работна програма на предстоящото председателство</w:t>
      </w:r>
    </w:p>
    <w:p w:rsidR="00593414" w:rsidRPr="00485E51" w:rsidRDefault="00593414" w:rsidP="00E30C7A">
      <w:pPr>
        <w:pStyle w:val="Dash2"/>
      </w:pPr>
      <w:r w:rsidRPr="00485E51">
        <w:t>Информация от делегацията на Нидерландия</w:t>
      </w:r>
    </w:p>
    <w:p w:rsidR="00593414" w:rsidRPr="00485E51" w:rsidRDefault="00593414" w:rsidP="00593414">
      <w:pPr>
        <w:rPr>
          <w:u w:val="single"/>
        </w:rPr>
      </w:pPr>
    </w:p>
    <w:p w:rsidR="00FC6917" w:rsidRPr="00485E51" w:rsidRDefault="008545FA" w:rsidP="00E30C7A">
      <w:pPr>
        <w:rPr>
          <w:u w:val="single"/>
        </w:rPr>
      </w:pPr>
      <w:r w:rsidRPr="00485E51">
        <w:br w:type="page"/>
      </w:r>
    </w:p>
    <w:p w:rsidR="00593414" w:rsidRPr="00485E51" w:rsidRDefault="00593414" w:rsidP="00E30C7A">
      <w:pPr>
        <w:rPr>
          <w:b/>
          <w:bCs/>
          <w:u w:val="single"/>
        </w:rPr>
      </w:pPr>
      <w:r w:rsidRPr="00485E51">
        <w:rPr>
          <w:b/>
          <w:u w:val="single"/>
        </w:rPr>
        <w:t>ЗАСЕДАНИЕ ВЪВ ВТОРНИК, 1 ДЕКЕМВРИ 2015 г. (10,00 ч.)</w:t>
      </w:r>
    </w:p>
    <w:p w:rsidR="00593414" w:rsidRPr="00485E51" w:rsidRDefault="00593414" w:rsidP="00593414">
      <w:pPr>
        <w:rPr>
          <w:u w:val="single"/>
        </w:rPr>
      </w:pPr>
    </w:p>
    <w:p w:rsidR="003F1CC8" w:rsidRPr="00485E51" w:rsidRDefault="003F1CC8" w:rsidP="00593414">
      <w:pPr>
        <w:rPr>
          <w:u w:val="single"/>
        </w:rPr>
      </w:pPr>
    </w:p>
    <w:p w:rsidR="003D3A8C" w:rsidRPr="00485E51" w:rsidRDefault="003D3A8C" w:rsidP="003D3A8C">
      <w:pPr>
        <w:rPr>
          <w:u w:val="single"/>
        </w:rPr>
      </w:pPr>
      <w:r w:rsidRPr="00485E51">
        <w:rPr>
          <w:u w:val="single"/>
        </w:rPr>
        <w:t>НАУЧНИ ИЗСЛЕДВАНИЯ</w:t>
      </w:r>
    </w:p>
    <w:p w:rsidR="003D3A8C" w:rsidRPr="00485E51" w:rsidRDefault="003D3A8C" w:rsidP="003D3A8C">
      <w:pPr>
        <w:rPr>
          <w:szCs w:val="32"/>
          <w:u w:val="single"/>
        </w:rPr>
      </w:pPr>
    </w:p>
    <w:p w:rsidR="003D3A8C" w:rsidRPr="00485E51" w:rsidRDefault="003D3A8C" w:rsidP="00593414">
      <w:pPr>
        <w:rPr>
          <w:u w:val="single"/>
        </w:rPr>
      </w:pPr>
    </w:p>
    <w:p w:rsidR="00593414" w:rsidRPr="00485E51" w:rsidRDefault="00593414" w:rsidP="00593414">
      <w:pPr>
        <w:rPr>
          <w:b/>
          <w:bCs/>
          <w:u w:val="single"/>
        </w:rPr>
      </w:pPr>
      <w:r w:rsidRPr="00485E51">
        <w:rPr>
          <w:b/>
          <w:u w:val="single"/>
        </w:rPr>
        <w:t xml:space="preserve">Незаконодателни дейности </w:t>
      </w:r>
    </w:p>
    <w:p w:rsidR="00593414" w:rsidRPr="00485E51" w:rsidRDefault="00593414" w:rsidP="00593414">
      <w:pPr>
        <w:rPr>
          <w:u w:val="single"/>
        </w:rPr>
      </w:pPr>
    </w:p>
    <w:p w:rsidR="003F1CC8" w:rsidRPr="00485E51" w:rsidRDefault="003F1CC8" w:rsidP="00593414">
      <w:pPr>
        <w:rPr>
          <w:szCs w:val="32"/>
          <w:u w:val="single"/>
        </w:rPr>
      </w:pPr>
    </w:p>
    <w:p w:rsidR="00593414" w:rsidRPr="00485E51" w:rsidRDefault="00593414" w:rsidP="00593414">
      <w:pPr>
        <w:pStyle w:val="PointManual"/>
        <w:spacing w:before="0"/>
      </w:pPr>
      <w:r w:rsidRPr="00485E51">
        <w:t>9.</w:t>
      </w:r>
      <w:r w:rsidRPr="00485E51">
        <w:tab/>
        <w:t>Проект за заключения на Съвета относно интегритета на научните изследвания</w:t>
      </w:r>
    </w:p>
    <w:p w:rsidR="00593414" w:rsidRPr="00485E51" w:rsidRDefault="00593414" w:rsidP="008545FA">
      <w:pPr>
        <w:pStyle w:val="Dash1"/>
      </w:pPr>
      <w:r w:rsidRPr="00485E51">
        <w:t xml:space="preserve">Приемане </w:t>
      </w:r>
    </w:p>
    <w:p w:rsidR="00593414" w:rsidRPr="00485E51" w:rsidRDefault="00FC6917" w:rsidP="00FC6917">
      <w:pPr>
        <w:pStyle w:val="Text2"/>
      </w:pPr>
      <w:r w:rsidRPr="00485E51">
        <w:t>(открит дебат съгласно член 8, параграф 2 от Процедурния правилник на Съвета [по предложение на председателството])</w:t>
      </w:r>
    </w:p>
    <w:p w:rsidR="00FC6917" w:rsidRPr="00485E51" w:rsidRDefault="00FC6917" w:rsidP="00FC6917"/>
    <w:p w:rsidR="00FC6917" w:rsidRPr="00485E51" w:rsidRDefault="00FC6917" w:rsidP="00FC6917"/>
    <w:p w:rsidR="00593414" w:rsidRPr="00485E51" w:rsidRDefault="00593414" w:rsidP="00593414">
      <w:pPr>
        <w:pStyle w:val="PointManual"/>
        <w:spacing w:before="0"/>
      </w:pPr>
      <w:r w:rsidRPr="00485E51">
        <w:t>10.</w:t>
      </w:r>
      <w:r w:rsidRPr="00485E51">
        <w:tab/>
        <w:t>Проект за заключения на Съвета относно насърчаването на равенството между половете в рамките на европейското научноизследователско пространство</w:t>
      </w:r>
    </w:p>
    <w:p w:rsidR="00593414" w:rsidRPr="00485E51" w:rsidRDefault="00593414" w:rsidP="008545FA">
      <w:pPr>
        <w:pStyle w:val="Dash1"/>
      </w:pPr>
      <w:r w:rsidRPr="00485E51">
        <w:t>Приемане</w:t>
      </w:r>
    </w:p>
    <w:p w:rsidR="00593414" w:rsidRPr="00485E51" w:rsidRDefault="00FC6917" w:rsidP="00FC6917">
      <w:pPr>
        <w:pStyle w:val="Text2"/>
      </w:pPr>
      <w:r w:rsidRPr="00485E51">
        <w:t>(открит дебат съгласно член 8, параграф 2 от Процедурния правилник на Съвета [по предложение на председателството])</w:t>
      </w:r>
    </w:p>
    <w:p w:rsidR="00FC6917" w:rsidRPr="00485E51" w:rsidRDefault="00FC6917" w:rsidP="000C46ED">
      <w:pPr>
        <w:outlineLvl w:val="0"/>
      </w:pPr>
    </w:p>
    <w:p w:rsidR="00FC6917" w:rsidRPr="00485E51" w:rsidRDefault="00FC6917" w:rsidP="000C46ED">
      <w:pPr>
        <w:outlineLvl w:val="0"/>
      </w:pPr>
    </w:p>
    <w:p w:rsidR="00593414" w:rsidRPr="00485E51" w:rsidRDefault="00593414" w:rsidP="00593414">
      <w:pPr>
        <w:pStyle w:val="PointManual"/>
        <w:spacing w:before="0"/>
      </w:pPr>
      <w:r w:rsidRPr="00485E51">
        <w:t>11.</w:t>
      </w:r>
      <w:r w:rsidRPr="00485E51">
        <w:tab/>
        <w:t xml:space="preserve">Проект за заключения на Съвета относно консултативната структура на европейското научноизследователско пространство </w:t>
      </w:r>
    </w:p>
    <w:p w:rsidR="00593414" w:rsidRPr="00485E51" w:rsidRDefault="00593414" w:rsidP="008545FA">
      <w:pPr>
        <w:pStyle w:val="Dash1"/>
      </w:pPr>
      <w:r w:rsidRPr="00485E51">
        <w:t>Приемане</w:t>
      </w:r>
    </w:p>
    <w:p w:rsidR="00593414" w:rsidRPr="00485E51" w:rsidRDefault="00FC6917" w:rsidP="00FC6917">
      <w:pPr>
        <w:pStyle w:val="Text2"/>
      </w:pPr>
      <w:r w:rsidRPr="00485E51">
        <w:t>(открит дебат съгласно член 8, параграф 2 от Процедурния правилник на Съвета [по предложение на председателството])</w:t>
      </w:r>
    </w:p>
    <w:p w:rsidR="00FC6917" w:rsidRPr="00485E51" w:rsidRDefault="00FC6917" w:rsidP="000C46ED">
      <w:pPr>
        <w:outlineLvl w:val="0"/>
      </w:pPr>
    </w:p>
    <w:p w:rsidR="00FC6917" w:rsidRPr="00485E51" w:rsidRDefault="00FC6917" w:rsidP="000C46ED">
      <w:pPr>
        <w:outlineLvl w:val="0"/>
      </w:pPr>
    </w:p>
    <w:p w:rsidR="00593414" w:rsidRPr="00485E51" w:rsidRDefault="00593414" w:rsidP="00593414">
      <w:pPr>
        <w:pStyle w:val="PointManual"/>
        <w:spacing w:before="0"/>
      </w:pPr>
      <w:r w:rsidRPr="00485E51">
        <w:t>12.</w:t>
      </w:r>
      <w:r w:rsidRPr="00485E51">
        <w:tab/>
        <w:t>Европейският фонд за стратегически инвестиции за насърчаване на научните изследвания и иновациите в Европа</w:t>
      </w:r>
    </w:p>
    <w:p w:rsidR="00593414" w:rsidRPr="00485E51" w:rsidRDefault="00593414" w:rsidP="008545FA">
      <w:pPr>
        <w:pStyle w:val="Dash1"/>
      </w:pPr>
      <w:r w:rsidRPr="00485E51">
        <w:t>Обмен на мнения</w:t>
      </w:r>
    </w:p>
    <w:p w:rsidR="00E30C7A" w:rsidRPr="00485E51" w:rsidRDefault="00E30C7A" w:rsidP="00593414">
      <w:pPr>
        <w:rPr>
          <w:szCs w:val="32"/>
        </w:rPr>
      </w:pPr>
    </w:p>
    <w:p w:rsidR="00FC6917" w:rsidRPr="00485E51" w:rsidRDefault="00FC6917" w:rsidP="00593414">
      <w:pPr>
        <w:rPr>
          <w:szCs w:val="32"/>
        </w:rPr>
      </w:pPr>
      <w:r w:rsidRPr="00485E51">
        <w:br w:type="page"/>
      </w:r>
    </w:p>
    <w:p w:rsidR="00593414" w:rsidRPr="00485E51" w:rsidRDefault="00593414" w:rsidP="000C46ED">
      <w:pPr>
        <w:rPr>
          <w:b/>
          <w:bCs/>
          <w:u w:val="single"/>
        </w:rPr>
      </w:pPr>
      <w:r w:rsidRPr="00485E51">
        <w:rPr>
          <w:b/>
          <w:u w:val="single"/>
        </w:rPr>
        <w:t>Други въпроси</w:t>
      </w:r>
    </w:p>
    <w:p w:rsidR="00593414" w:rsidRPr="00485E51" w:rsidRDefault="00593414" w:rsidP="000C46ED">
      <w:pPr>
        <w:outlineLvl w:val="0"/>
      </w:pPr>
    </w:p>
    <w:p w:rsidR="003F1CC8" w:rsidRPr="00485E51" w:rsidRDefault="003F1CC8" w:rsidP="000C46ED">
      <w:pPr>
        <w:outlineLvl w:val="0"/>
      </w:pPr>
    </w:p>
    <w:p w:rsidR="00593414" w:rsidRPr="00485E51" w:rsidRDefault="00593414" w:rsidP="00E67E09">
      <w:pPr>
        <w:pStyle w:val="PointManual"/>
        <w:spacing w:before="0"/>
      </w:pPr>
      <w:r w:rsidRPr="00485E51">
        <w:t>13.</w:t>
      </w:r>
      <w:r w:rsidRPr="00485E51">
        <w:tab/>
        <w:t>а)</w:t>
      </w:r>
      <w:r w:rsidRPr="00485E51">
        <w:tab/>
        <w:t xml:space="preserve">Европейският инструмент за пенсионно осигуряване за институциите за научни </w:t>
      </w:r>
      <w:r w:rsidR="00E67E09">
        <w:tab/>
      </w:r>
      <w:r w:rsidRPr="00485E51">
        <w:t>изследвания на Съюза</w:t>
      </w:r>
      <w:r w:rsidR="00E67E09">
        <w:t xml:space="preserve"> </w:t>
      </w:r>
      <w:r w:rsidRPr="00485E51">
        <w:t xml:space="preserve">(RESAVER) </w:t>
      </w:r>
    </w:p>
    <w:p w:rsidR="00593414" w:rsidRPr="00485E51" w:rsidRDefault="00593414" w:rsidP="008545FA">
      <w:pPr>
        <w:pStyle w:val="Dash2"/>
      </w:pPr>
      <w:r w:rsidRPr="00485E51">
        <w:t>Информация от Комисията</w:t>
      </w:r>
    </w:p>
    <w:p w:rsidR="00593414" w:rsidRPr="00485E51" w:rsidRDefault="00593414" w:rsidP="00593414"/>
    <w:p w:rsidR="00593414" w:rsidRPr="00485E51" w:rsidRDefault="00593414" w:rsidP="000C46ED">
      <w:pPr>
        <w:pStyle w:val="Text1"/>
      </w:pPr>
      <w:r w:rsidRPr="00485E51">
        <w:t>б)</w:t>
      </w:r>
      <w:r w:rsidRPr="00485E51">
        <w:tab/>
        <w:t>Инициатива Science4Refugees</w:t>
      </w:r>
    </w:p>
    <w:p w:rsidR="00593414" w:rsidRPr="00485E51" w:rsidRDefault="00593414" w:rsidP="008545FA">
      <w:pPr>
        <w:pStyle w:val="Dash2"/>
      </w:pPr>
      <w:r w:rsidRPr="00485E51">
        <w:t>Информация от Комисията</w:t>
      </w:r>
    </w:p>
    <w:p w:rsidR="00593414" w:rsidRPr="00485E51" w:rsidRDefault="00593414" w:rsidP="00593414"/>
    <w:p w:rsidR="00593414" w:rsidRPr="00485E51" w:rsidRDefault="00593414" w:rsidP="00E67E09">
      <w:pPr>
        <w:pStyle w:val="Text1"/>
      </w:pPr>
      <w:r w:rsidRPr="00485E51">
        <w:t>в)</w:t>
      </w:r>
      <w:r w:rsidRPr="00485E51">
        <w:tab/>
        <w:t xml:space="preserve">Устойчиво селско стопанство, горско стопанство и рибарство в биоикономиката, </w:t>
      </w:r>
      <w:r w:rsidR="00E67E09">
        <w:tab/>
      </w:r>
      <w:r w:rsidRPr="00485E51">
        <w:t xml:space="preserve">предизвикателство за Европа —  </w:t>
      </w:r>
      <w:r w:rsidR="008545FA" w:rsidRPr="00485E51">
        <w:t xml:space="preserve">4-то прогнозно проучване на Постоянния </w:t>
      </w:r>
      <w:r w:rsidR="00E67E09">
        <w:tab/>
      </w:r>
      <w:bookmarkStart w:id="1" w:name="_GoBack"/>
      <w:bookmarkEnd w:id="1"/>
      <w:r w:rsidR="008545FA" w:rsidRPr="00485E51">
        <w:t xml:space="preserve">комитет за научни изследвания в селското стопанство (SCAR) </w:t>
      </w:r>
    </w:p>
    <w:p w:rsidR="00593414" w:rsidRPr="00485E51" w:rsidRDefault="00593414" w:rsidP="008545FA">
      <w:pPr>
        <w:pStyle w:val="Dash2"/>
      </w:pPr>
      <w:r w:rsidRPr="00485E51">
        <w:t>Информация от Комисията</w:t>
      </w:r>
    </w:p>
    <w:p w:rsidR="00593414" w:rsidRPr="00485E51" w:rsidRDefault="00593414" w:rsidP="00593414">
      <w:pPr>
        <w:tabs>
          <w:tab w:val="left" w:pos="567"/>
        </w:tabs>
      </w:pPr>
    </w:p>
    <w:p w:rsidR="00593414" w:rsidRPr="00485E51" w:rsidRDefault="00593414" w:rsidP="000C46ED">
      <w:pPr>
        <w:pStyle w:val="Text1"/>
      </w:pPr>
      <w:r w:rsidRPr="00485E51">
        <w:t>г)</w:t>
      </w:r>
      <w:r w:rsidRPr="00485E51">
        <w:tab/>
        <w:t>Доклад за състоянието на енергийния съюз</w:t>
      </w:r>
    </w:p>
    <w:p w:rsidR="00593414" w:rsidRPr="00485E51" w:rsidRDefault="00593414" w:rsidP="008545FA">
      <w:pPr>
        <w:pStyle w:val="Dash2"/>
      </w:pPr>
      <w:r w:rsidRPr="00485E51">
        <w:t>Информация от Комисията</w:t>
      </w:r>
    </w:p>
    <w:p w:rsidR="00593414" w:rsidRPr="00485E51" w:rsidRDefault="00593414" w:rsidP="00593414">
      <w:pPr>
        <w:tabs>
          <w:tab w:val="left" w:pos="567"/>
        </w:tabs>
      </w:pPr>
    </w:p>
    <w:p w:rsidR="00593414" w:rsidRPr="00485E51" w:rsidRDefault="00593414" w:rsidP="000C46ED">
      <w:pPr>
        <w:pStyle w:val="Text1"/>
      </w:pPr>
      <w:r w:rsidRPr="00485E51">
        <w:t>д)</w:t>
      </w:r>
      <w:r w:rsidRPr="00485E51">
        <w:tab/>
        <w:t>Работна програма на предстоящото председателство</w:t>
      </w:r>
    </w:p>
    <w:p w:rsidR="00593414" w:rsidRPr="00485E51" w:rsidRDefault="00593414" w:rsidP="008545FA">
      <w:pPr>
        <w:pStyle w:val="Dash2"/>
      </w:pPr>
      <w:r w:rsidRPr="00485E51">
        <w:t>Информация от делегацията на Нидерландия</w:t>
      </w:r>
    </w:p>
    <w:p w:rsidR="00593414" w:rsidRPr="00485E51" w:rsidRDefault="00593414" w:rsidP="00FC6917"/>
    <w:p w:rsidR="00FC6917" w:rsidRPr="00485E51" w:rsidRDefault="00FC6917" w:rsidP="00FC6917"/>
    <w:p w:rsidR="00FC6917" w:rsidRPr="00485E51" w:rsidRDefault="00FC6917" w:rsidP="00FC6917"/>
    <w:p w:rsidR="00FC6917" w:rsidRPr="00485E51" w:rsidRDefault="00FC6917" w:rsidP="00FC6917"/>
    <w:p w:rsidR="003F1CC8" w:rsidRPr="00485E51" w:rsidRDefault="003F1CC8" w:rsidP="00FC6917"/>
    <w:p w:rsidR="00FC6917" w:rsidRPr="00485E51" w:rsidRDefault="00FC6917" w:rsidP="00FC6917"/>
    <w:p w:rsidR="00FC6917" w:rsidRPr="00485E51" w:rsidRDefault="00FC6917" w:rsidP="00FC6917"/>
    <w:p w:rsidR="00C94F91" w:rsidRPr="00485E51" w:rsidRDefault="00C94F91" w:rsidP="00C94F91">
      <w:pPr>
        <w:pStyle w:val="FinalLine"/>
      </w:pPr>
    </w:p>
    <w:p w:rsidR="00C94F91" w:rsidRPr="00485E51" w:rsidRDefault="003F4FFE" w:rsidP="003F4FFE">
      <w:pPr>
        <w:pStyle w:val="NB"/>
      </w:pPr>
      <w:r w:rsidRPr="00485E51">
        <w:t>NB:</w:t>
      </w:r>
      <w:r w:rsidRPr="00485E51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3F4FFE" w:rsidRDefault="003F4FFE" w:rsidP="003F4FFE">
      <w:pPr>
        <w:pStyle w:val="NB"/>
      </w:pPr>
      <w:r w:rsidRPr="00485E51">
        <w:t>NB:</w:t>
      </w:r>
      <w:r w:rsidRPr="00485E51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3F4FFE" w:rsidSect="00485E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91" w:rsidRDefault="00C94F91" w:rsidP="00C94F91">
      <w:r>
        <w:separator/>
      </w:r>
    </w:p>
  </w:endnote>
  <w:endnote w:type="continuationSeparator" w:id="0">
    <w:p w:rsidR="00C94F91" w:rsidRDefault="00C94F91" w:rsidP="00C9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C" w:rsidRPr="00485E51" w:rsidRDefault="00764DEC" w:rsidP="00485E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85E51" w:rsidRPr="00D94637" w:rsidTr="00485E5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85E51" w:rsidRPr="00D94637" w:rsidRDefault="00485E5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85E51" w:rsidRPr="00B310DC" w:rsidTr="00485E5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85E51" w:rsidRPr="00AD7BF2" w:rsidRDefault="00485E51" w:rsidP="004F54B2">
          <w:pPr>
            <w:pStyle w:val="FooterText"/>
          </w:pPr>
          <w:r>
            <w:t>CM 4602/15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85E51" w:rsidRPr="00AD7BF2" w:rsidRDefault="00485E5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85E51" w:rsidRPr="002511D8" w:rsidRDefault="00485E5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85E51" w:rsidRPr="00B310DC" w:rsidRDefault="00485E5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67E09">
            <w:rPr>
              <w:noProof/>
            </w:rPr>
            <w:t>4</w:t>
          </w:r>
          <w:r>
            <w:fldChar w:fldCharType="end"/>
          </w:r>
        </w:p>
      </w:tc>
    </w:tr>
    <w:tr w:rsidR="00485E51" w:rsidRPr="00D94637" w:rsidTr="00485E51">
      <w:trPr>
        <w:jc w:val="center"/>
      </w:trPr>
      <w:tc>
        <w:tcPr>
          <w:tcW w:w="1774" w:type="pct"/>
          <w:shd w:val="clear" w:color="auto" w:fill="auto"/>
        </w:tcPr>
        <w:p w:rsidR="00485E51" w:rsidRPr="00AD7BF2" w:rsidRDefault="00485E5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85E51" w:rsidRPr="00AD7BF2" w:rsidRDefault="00485E5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85E51" w:rsidRPr="00D94637" w:rsidRDefault="00485E5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85E51" w:rsidRPr="00D94637" w:rsidRDefault="00485E5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C94F91" w:rsidRPr="00485E51" w:rsidRDefault="00C94F91" w:rsidP="00485E5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85E51" w:rsidRPr="00D94637" w:rsidTr="00485E5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85E51" w:rsidRPr="00D94637" w:rsidRDefault="00485E5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85E51" w:rsidRPr="00B310DC" w:rsidTr="00485E5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85E51" w:rsidRPr="00AD7BF2" w:rsidRDefault="00485E51" w:rsidP="004F54B2">
          <w:pPr>
            <w:pStyle w:val="FooterText"/>
          </w:pPr>
          <w:r>
            <w:t>CM 4602/15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85E51" w:rsidRPr="00AD7BF2" w:rsidRDefault="00485E5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85E51" w:rsidRPr="002511D8" w:rsidRDefault="00485E5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85E51" w:rsidRPr="00B310DC" w:rsidRDefault="00485E5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67E09">
            <w:rPr>
              <w:noProof/>
            </w:rPr>
            <w:t>1</w:t>
          </w:r>
          <w:r>
            <w:fldChar w:fldCharType="end"/>
          </w:r>
        </w:p>
      </w:tc>
    </w:tr>
    <w:tr w:rsidR="00485E51" w:rsidRPr="00D94637" w:rsidTr="00485E51">
      <w:trPr>
        <w:jc w:val="center"/>
      </w:trPr>
      <w:tc>
        <w:tcPr>
          <w:tcW w:w="1774" w:type="pct"/>
          <w:shd w:val="clear" w:color="auto" w:fill="auto"/>
        </w:tcPr>
        <w:p w:rsidR="00485E51" w:rsidRPr="00AD7BF2" w:rsidRDefault="00485E5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85E51" w:rsidRPr="00AD7BF2" w:rsidRDefault="00485E5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85E51" w:rsidRPr="00D94637" w:rsidRDefault="00485E5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85E51" w:rsidRPr="00D94637" w:rsidRDefault="00485E5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C94F91" w:rsidRPr="00485E51" w:rsidRDefault="00C94F91" w:rsidP="00485E5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91" w:rsidRDefault="00C94F91" w:rsidP="00C94F91">
      <w:r>
        <w:separator/>
      </w:r>
    </w:p>
  </w:footnote>
  <w:footnote w:type="continuationSeparator" w:id="0">
    <w:p w:rsidR="00C94F91" w:rsidRDefault="00C94F91" w:rsidP="00C9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C" w:rsidRPr="00485E51" w:rsidRDefault="00764DEC" w:rsidP="00485E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C" w:rsidRPr="00485E51" w:rsidRDefault="00764DEC" w:rsidP="00485E5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C" w:rsidRPr="00485E51" w:rsidRDefault="00764DEC" w:rsidP="00485E5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7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c068603c-955c-4135-b5c0-399ff0f24b9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1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60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COMPET&lt;/text&gt;_x000d__x000a_      &lt;text&gt;MI&lt;/text&gt;_x000d__x000a_      &lt;text&gt;IND&lt;/text&gt;_x000d__x000a_      &lt;text&gt;RECH&lt;/text&gt;_x000d__x000a_      &lt;text&gt;ESPACE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0;&amp;#1086;&amp;#1085;&amp;#1082;&amp;#1091;&amp;#1088;&amp;#1077;&amp;#1085;&amp;#1090;&amp;#1086;&amp;#1089;&amp;#1087;&amp;#1086;&amp;#1089;&amp;#1086;&amp;#1073;&amp;#1085;&amp;#1086;&amp;#1089;&amp;#1090;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31-&amp;#1074;&amp;#1086; &amp;#1079;&amp;#1072;&amp;#1089;&amp;#1077;&amp;#1076;&amp;#1072;&amp;#1085;&amp;#1080;&amp;#1077; &amp;#1085;&amp;#1072; &amp;lt;/Run&amp;gt;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0;&amp;#1086;&amp;#1085;&amp;#1082;&amp;#1091;&amp;#1088;&amp;#1077;&amp;#1085;&amp;#1090;&amp;#1086;&amp;#1089;&amp;#1087;&amp;#1086;&amp;#1089;&amp;#1086;&amp;#1073;&amp;#1085;&amp;#1086;&amp;#1089;&amp;#1090; (&amp;lt;Run FontWeight=&quot;Bold&quot;&amp;gt;&amp;lt;Run.TextDecorations&amp;gt;&amp;lt;TextDecoration Location=&quot;Underline&quot; /&amp;gt;&amp;lt;/Run.TextDecorations&amp;gt;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&amp;lt;/Run&amp;gt; &amp;#1082;&amp;#1086;&amp;#1089;&amp;#1084;&amp;#1080;&amp;#1095;&amp;#1077;&amp;#1089;&amp;#1082;&amp;#1086; &amp;#1087;&amp;#1088;&amp;#1086;&amp;#1089;&amp;#1090;&amp;#1088;&amp;#1072;&amp;#1085;&amp;#1089;&amp;#1090;&amp;#1074;&amp;#1086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30T09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  &lt;meeting date=&quot;2015-12-01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C94F91"/>
    <w:rsid w:val="00010C1D"/>
    <w:rsid w:val="000378EB"/>
    <w:rsid w:val="0009656C"/>
    <w:rsid w:val="000A5EA3"/>
    <w:rsid w:val="000C46ED"/>
    <w:rsid w:val="00165755"/>
    <w:rsid w:val="00171AD2"/>
    <w:rsid w:val="00182F2F"/>
    <w:rsid w:val="001C1958"/>
    <w:rsid w:val="001F3E83"/>
    <w:rsid w:val="00213F1F"/>
    <w:rsid w:val="00237107"/>
    <w:rsid w:val="002444CB"/>
    <w:rsid w:val="00244FA0"/>
    <w:rsid w:val="00254997"/>
    <w:rsid w:val="00293681"/>
    <w:rsid w:val="002A2AE8"/>
    <w:rsid w:val="002F20C9"/>
    <w:rsid w:val="0039434C"/>
    <w:rsid w:val="003C6E8B"/>
    <w:rsid w:val="003D3A8C"/>
    <w:rsid w:val="003F1CC8"/>
    <w:rsid w:val="003F4FFE"/>
    <w:rsid w:val="004364A8"/>
    <w:rsid w:val="00485E51"/>
    <w:rsid w:val="004C62FC"/>
    <w:rsid w:val="00510622"/>
    <w:rsid w:val="005157F5"/>
    <w:rsid w:val="00562079"/>
    <w:rsid w:val="005819D8"/>
    <w:rsid w:val="0058368F"/>
    <w:rsid w:val="00593414"/>
    <w:rsid w:val="00607DBC"/>
    <w:rsid w:val="0063379B"/>
    <w:rsid w:val="0067439D"/>
    <w:rsid w:val="006A27CB"/>
    <w:rsid w:val="006A38C5"/>
    <w:rsid w:val="006C1AD4"/>
    <w:rsid w:val="006E0DE0"/>
    <w:rsid w:val="006E30F1"/>
    <w:rsid w:val="006E33E2"/>
    <w:rsid w:val="006F4741"/>
    <w:rsid w:val="00701676"/>
    <w:rsid w:val="0075756A"/>
    <w:rsid w:val="00764DEC"/>
    <w:rsid w:val="007D7961"/>
    <w:rsid w:val="00825503"/>
    <w:rsid w:val="008545FA"/>
    <w:rsid w:val="008826F8"/>
    <w:rsid w:val="00903764"/>
    <w:rsid w:val="00910AE2"/>
    <w:rsid w:val="00A469D7"/>
    <w:rsid w:val="00AB3D37"/>
    <w:rsid w:val="00BE1373"/>
    <w:rsid w:val="00C94F91"/>
    <w:rsid w:val="00D451E4"/>
    <w:rsid w:val="00E30C7A"/>
    <w:rsid w:val="00E42BB4"/>
    <w:rsid w:val="00E67E09"/>
    <w:rsid w:val="00E94EA9"/>
    <w:rsid w:val="00E96EB4"/>
    <w:rsid w:val="00EE6BB7"/>
    <w:rsid w:val="00F66CBD"/>
    <w:rsid w:val="00FC4670"/>
    <w:rsid w:val="00F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D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D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D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94F9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94F91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C94F91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C94F91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6ED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6ED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0C46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ED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A27C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64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D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D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D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D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D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94F9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94F91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C94F91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C94F91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6ED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6ED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0C46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ED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A27C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64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D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D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A5BC-18C1-46BD-BBCF-64C8CD98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 Albena</dc:creator>
  <cp:lastModifiedBy>STANKOVA Albena</cp:lastModifiedBy>
  <cp:revision>2</cp:revision>
  <cp:lastPrinted>2015-11-13T16:10:00Z</cp:lastPrinted>
  <dcterms:created xsi:type="dcterms:W3CDTF">2015-11-16T15:31:00Z</dcterms:created>
  <dcterms:modified xsi:type="dcterms:W3CDTF">2015-11-16T15:31:00Z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