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BC3" w:rsidRPr="00283844" w:rsidRDefault="00172CD0" w:rsidP="00283844">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4a7144c-1c0c-4a2d-8a4f-9eda17a5e617_0" style="width:573.2pt;height:461pt">
            <v:imagedata r:id="rId8" o:title=""/>
          </v:shape>
        </w:pict>
      </w:r>
      <w:bookmarkEnd w:id="0"/>
    </w:p>
    <w:p w:rsidR="00F55163" w:rsidRDefault="00F55163" w:rsidP="00F55163">
      <w:pPr>
        <w:pStyle w:val="TechnicalBlock"/>
        <w:ind w:left="-1134" w:right="-1134"/>
        <w:sectPr w:rsidR="00F55163" w:rsidSect="00172CD0">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624" w:right="1134" w:bottom="1134" w:left="1134" w:header="567" w:footer="567" w:gutter="0"/>
          <w:pgNumType w:start="1"/>
          <w:cols w:space="708"/>
          <w:titlePg/>
          <w:docGrid w:linePitch="360"/>
        </w:sectPr>
      </w:pPr>
    </w:p>
    <w:p w:rsidR="00DD27DA" w:rsidRDefault="00A249FC" w:rsidP="00A249FC">
      <w:pPr>
        <w:pStyle w:val="TOCHeading"/>
      </w:pPr>
      <w:r>
        <w:lastRenderedPageBreak/>
        <w:t>CONTENTS</w:t>
      </w:r>
      <w:r w:rsidRPr="00A249FC">
        <w:rPr>
          <w:vertAlign w:val="superscript"/>
        </w:rPr>
        <w:t>1</w:t>
      </w:r>
    </w:p>
    <w:p w:rsidR="00A249FC" w:rsidRDefault="00A249FC" w:rsidP="00A249FC">
      <w:pPr>
        <w:pStyle w:val="TOC5"/>
      </w:pPr>
      <w:r>
        <w:t>ITEMS DEBATED</w:t>
      </w:r>
    </w:p>
    <w:p w:rsidR="00A249FC" w:rsidRDefault="00A249FC" w:rsidP="00A249FC">
      <w:pPr>
        <w:pStyle w:val="TOC6"/>
        <w:rPr>
          <w:rFonts w:asciiTheme="minorHAnsi" w:eastAsiaTheme="minorEastAsia" w:hAnsiTheme="minorHAnsi" w:cstheme="minorBidi"/>
          <w:noProof/>
          <w:sz w:val="22"/>
          <w:szCs w:val="22"/>
          <w:lang w:eastAsia="en-GB"/>
        </w:rPr>
      </w:pPr>
      <w:r>
        <w:rPr>
          <w:noProof/>
        </w:rPr>
        <w:t>Social governance</w:t>
      </w:r>
      <w:r>
        <w:rPr>
          <w:noProof/>
        </w:rPr>
        <w:tab/>
      </w:r>
      <w:r>
        <w:rPr>
          <w:noProof/>
        </w:rPr>
        <w:fldChar w:fldCharType="begin"/>
      </w:r>
      <w:r>
        <w:rPr>
          <w:noProof/>
        </w:rPr>
        <w:instrText xml:space="preserve"> PAGEREF \h _Toc435010588 \* MERGEFORMAT </w:instrText>
      </w:r>
      <w:r>
        <w:rPr>
          <w:noProof/>
        </w:rPr>
      </w:r>
      <w:r>
        <w:rPr>
          <w:noProof/>
        </w:rPr>
        <w:fldChar w:fldCharType="separate"/>
      </w:r>
      <w:r w:rsidR="00172CD0">
        <w:rPr>
          <w:noProof/>
        </w:rPr>
        <w:t>4</w:t>
      </w:r>
      <w:r>
        <w:rPr>
          <w:noProof/>
        </w:rPr>
        <w:fldChar w:fldCharType="end"/>
      </w:r>
    </w:p>
    <w:p w:rsidR="00A249FC" w:rsidRDefault="00A249FC" w:rsidP="00A249FC">
      <w:pPr>
        <w:pStyle w:val="TOC6"/>
        <w:rPr>
          <w:rFonts w:asciiTheme="minorHAnsi" w:eastAsiaTheme="minorEastAsia" w:hAnsiTheme="minorHAnsi" w:cstheme="minorBidi"/>
          <w:noProof/>
          <w:sz w:val="22"/>
          <w:szCs w:val="22"/>
          <w:lang w:eastAsia="en-GB"/>
        </w:rPr>
      </w:pPr>
      <w:r>
        <w:rPr>
          <w:noProof/>
        </w:rPr>
        <w:t>Integration of the long-term unemployed into the labour market</w:t>
      </w:r>
      <w:r>
        <w:rPr>
          <w:noProof/>
        </w:rPr>
        <w:tab/>
      </w:r>
      <w:r>
        <w:rPr>
          <w:noProof/>
        </w:rPr>
        <w:fldChar w:fldCharType="begin"/>
      </w:r>
      <w:r>
        <w:rPr>
          <w:noProof/>
        </w:rPr>
        <w:instrText xml:space="preserve"> PAGEREF \h _Toc435010589 \* MERGEFORMAT </w:instrText>
      </w:r>
      <w:r>
        <w:rPr>
          <w:noProof/>
        </w:rPr>
      </w:r>
      <w:r>
        <w:rPr>
          <w:noProof/>
        </w:rPr>
        <w:fldChar w:fldCharType="separate"/>
      </w:r>
      <w:r w:rsidR="00172CD0">
        <w:rPr>
          <w:noProof/>
        </w:rPr>
        <w:t>5</w:t>
      </w:r>
      <w:r>
        <w:rPr>
          <w:noProof/>
        </w:rPr>
        <w:fldChar w:fldCharType="end"/>
      </w:r>
    </w:p>
    <w:p w:rsidR="00A249FC" w:rsidRDefault="00A249FC" w:rsidP="00A249FC">
      <w:pPr>
        <w:pStyle w:val="TOC6"/>
        <w:rPr>
          <w:rFonts w:asciiTheme="minorHAnsi" w:eastAsiaTheme="minorEastAsia" w:hAnsiTheme="minorHAnsi" w:cstheme="minorBidi"/>
          <w:noProof/>
          <w:sz w:val="22"/>
          <w:szCs w:val="22"/>
          <w:lang w:eastAsia="en-GB"/>
        </w:rPr>
      </w:pPr>
      <w:r>
        <w:rPr>
          <w:noProof/>
        </w:rPr>
        <w:t>Adequate incomes for pensioners</w:t>
      </w:r>
      <w:r>
        <w:rPr>
          <w:noProof/>
        </w:rPr>
        <w:tab/>
      </w:r>
      <w:r>
        <w:rPr>
          <w:noProof/>
        </w:rPr>
        <w:fldChar w:fldCharType="begin"/>
      </w:r>
      <w:r>
        <w:rPr>
          <w:noProof/>
        </w:rPr>
        <w:instrText xml:space="preserve"> PAGEREF \h _Toc435010590 \* MERGEFORMAT </w:instrText>
      </w:r>
      <w:r>
        <w:rPr>
          <w:noProof/>
        </w:rPr>
      </w:r>
      <w:r>
        <w:rPr>
          <w:noProof/>
        </w:rPr>
        <w:fldChar w:fldCharType="separate"/>
      </w:r>
      <w:r w:rsidR="00172CD0">
        <w:rPr>
          <w:noProof/>
        </w:rPr>
        <w:t>5</w:t>
      </w:r>
      <w:r>
        <w:rPr>
          <w:noProof/>
        </w:rPr>
        <w:fldChar w:fldCharType="end"/>
      </w:r>
    </w:p>
    <w:p w:rsidR="00A249FC" w:rsidRDefault="00A249FC" w:rsidP="00A249FC">
      <w:pPr>
        <w:pStyle w:val="TOC6"/>
        <w:rPr>
          <w:rFonts w:asciiTheme="minorHAnsi" w:eastAsiaTheme="minorEastAsia" w:hAnsiTheme="minorHAnsi" w:cstheme="minorBidi"/>
          <w:noProof/>
          <w:sz w:val="22"/>
          <w:szCs w:val="22"/>
          <w:lang w:eastAsia="en-GB"/>
        </w:rPr>
      </w:pPr>
      <w:r>
        <w:rPr>
          <w:noProof/>
        </w:rPr>
        <w:t>Employment policies of the member states</w:t>
      </w:r>
      <w:r>
        <w:rPr>
          <w:noProof/>
        </w:rPr>
        <w:tab/>
      </w:r>
      <w:r>
        <w:rPr>
          <w:noProof/>
        </w:rPr>
        <w:fldChar w:fldCharType="begin"/>
      </w:r>
      <w:r>
        <w:rPr>
          <w:noProof/>
        </w:rPr>
        <w:instrText xml:space="preserve"> PAGEREF \h _Toc435010591 \* MERGEFORMAT </w:instrText>
      </w:r>
      <w:r>
        <w:rPr>
          <w:noProof/>
        </w:rPr>
      </w:r>
      <w:r>
        <w:rPr>
          <w:noProof/>
        </w:rPr>
        <w:fldChar w:fldCharType="separate"/>
      </w:r>
      <w:r w:rsidR="00172CD0">
        <w:rPr>
          <w:noProof/>
        </w:rPr>
        <w:t>6</w:t>
      </w:r>
      <w:r>
        <w:rPr>
          <w:noProof/>
        </w:rPr>
        <w:fldChar w:fldCharType="end"/>
      </w:r>
    </w:p>
    <w:p w:rsidR="00A249FC" w:rsidRDefault="00A249FC" w:rsidP="00A249FC">
      <w:pPr>
        <w:pStyle w:val="TOC6"/>
        <w:rPr>
          <w:rFonts w:asciiTheme="minorHAnsi" w:eastAsiaTheme="minorEastAsia" w:hAnsiTheme="minorHAnsi" w:cstheme="minorBidi"/>
          <w:noProof/>
          <w:sz w:val="22"/>
          <w:szCs w:val="22"/>
          <w:lang w:eastAsia="en-GB"/>
        </w:rPr>
      </w:pPr>
      <w:r>
        <w:rPr>
          <w:noProof/>
        </w:rPr>
        <w:t>Agenda for health and safety at work</w:t>
      </w:r>
      <w:r>
        <w:rPr>
          <w:noProof/>
        </w:rPr>
        <w:tab/>
      </w:r>
      <w:r>
        <w:rPr>
          <w:noProof/>
        </w:rPr>
        <w:fldChar w:fldCharType="begin"/>
      </w:r>
      <w:r>
        <w:rPr>
          <w:noProof/>
        </w:rPr>
        <w:instrText xml:space="preserve"> PAGEREF \h _Toc435010592 \* MERGEFORMAT </w:instrText>
      </w:r>
      <w:r>
        <w:rPr>
          <w:noProof/>
        </w:rPr>
      </w:r>
      <w:r>
        <w:rPr>
          <w:noProof/>
        </w:rPr>
        <w:fldChar w:fldCharType="separate"/>
      </w:r>
      <w:r w:rsidR="00172CD0">
        <w:rPr>
          <w:noProof/>
        </w:rPr>
        <w:t>7</w:t>
      </w:r>
      <w:r>
        <w:rPr>
          <w:noProof/>
        </w:rPr>
        <w:fldChar w:fldCharType="end"/>
      </w:r>
    </w:p>
    <w:p w:rsidR="00A249FC" w:rsidRDefault="00A249FC" w:rsidP="00A249FC">
      <w:pPr>
        <w:pStyle w:val="TOC6"/>
        <w:rPr>
          <w:rFonts w:asciiTheme="minorHAnsi" w:eastAsiaTheme="minorEastAsia" w:hAnsiTheme="minorHAnsi" w:cstheme="minorBidi"/>
          <w:noProof/>
          <w:sz w:val="22"/>
          <w:szCs w:val="22"/>
          <w:lang w:eastAsia="en-GB"/>
        </w:rPr>
      </w:pPr>
      <w:r>
        <w:rPr>
          <w:noProof/>
        </w:rPr>
        <w:t>Relaunching the social dialogue</w:t>
      </w:r>
      <w:r>
        <w:rPr>
          <w:noProof/>
        </w:rPr>
        <w:tab/>
      </w:r>
      <w:r>
        <w:rPr>
          <w:noProof/>
        </w:rPr>
        <w:fldChar w:fldCharType="begin"/>
      </w:r>
      <w:r>
        <w:rPr>
          <w:noProof/>
        </w:rPr>
        <w:instrText xml:space="preserve"> PAGEREF \h _Toc435010593 \* MERGEFORMAT </w:instrText>
      </w:r>
      <w:r>
        <w:rPr>
          <w:noProof/>
        </w:rPr>
      </w:r>
      <w:r>
        <w:rPr>
          <w:noProof/>
        </w:rPr>
        <w:fldChar w:fldCharType="separate"/>
      </w:r>
      <w:r w:rsidR="00172CD0">
        <w:rPr>
          <w:noProof/>
        </w:rPr>
        <w:t>7</w:t>
      </w:r>
      <w:r>
        <w:rPr>
          <w:noProof/>
        </w:rPr>
        <w:fldChar w:fldCharType="end"/>
      </w:r>
    </w:p>
    <w:p w:rsidR="00A249FC" w:rsidRPr="00A249FC" w:rsidRDefault="00A249FC" w:rsidP="00A249FC">
      <w:pPr>
        <w:pStyle w:val="TOC6"/>
      </w:pPr>
      <w:r>
        <w:rPr>
          <w:noProof/>
        </w:rPr>
        <w:t>Any other business</w:t>
      </w:r>
      <w:r>
        <w:rPr>
          <w:noProof/>
        </w:rPr>
        <w:tab/>
      </w:r>
      <w:r>
        <w:rPr>
          <w:noProof/>
        </w:rPr>
        <w:fldChar w:fldCharType="begin"/>
      </w:r>
      <w:r>
        <w:rPr>
          <w:noProof/>
        </w:rPr>
        <w:instrText xml:space="preserve"> PAGEREF \h _Toc435010594 \* MERGEFORMAT </w:instrText>
      </w:r>
      <w:r>
        <w:rPr>
          <w:noProof/>
        </w:rPr>
      </w:r>
      <w:r>
        <w:rPr>
          <w:noProof/>
        </w:rPr>
        <w:fldChar w:fldCharType="separate"/>
      </w:r>
      <w:r w:rsidR="00172CD0">
        <w:rPr>
          <w:noProof/>
        </w:rPr>
        <w:t>8</w:t>
      </w:r>
      <w:r>
        <w:rPr>
          <w:noProof/>
        </w:rPr>
        <w:fldChar w:fldCharType="end"/>
      </w:r>
    </w:p>
    <w:p w:rsidR="00A249FC" w:rsidRDefault="00A249FC" w:rsidP="00A249FC">
      <w:pPr>
        <w:pStyle w:val="TOC5"/>
      </w:pPr>
      <w:r>
        <w:t>OTHER ITEMS APPROVED</w:t>
      </w:r>
    </w:p>
    <w:p w:rsidR="00A249FC" w:rsidRDefault="00A249FC" w:rsidP="00A249FC">
      <w:pPr>
        <w:pStyle w:val="TOC8"/>
        <w:rPr>
          <w:rFonts w:asciiTheme="minorHAnsi" w:eastAsiaTheme="minorEastAsia" w:hAnsiTheme="minorHAnsi" w:cstheme="minorBidi"/>
          <w:i w:val="0"/>
          <w:noProof/>
          <w:sz w:val="22"/>
          <w:szCs w:val="22"/>
          <w:lang w:eastAsia="en-GB"/>
        </w:rPr>
      </w:pPr>
      <w:r>
        <w:rPr>
          <w:noProof/>
        </w:rPr>
        <w:t>EMPLOYMENT</w:t>
      </w:r>
    </w:p>
    <w:p w:rsidR="00A249FC" w:rsidRDefault="00A249FC" w:rsidP="00AF2EEB">
      <w:pPr>
        <w:pStyle w:val="TOC9"/>
        <w:numPr>
          <w:ilvl w:val="0"/>
          <w:numId w:val="17"/>
        </w:numPr>
        <w:rPr>
          <w:rFonts w:asciiTheme="minorHAnsi" w:eastAsiaTheme="minorEastAsia" w:hAnsiTheme="minorHAnsi" w:cstheme="minorBidi"/>
          <w:noProof/>
          <w:sz w:val="22"/>
          <w:szCs w:val="22"/>
          <w:lang w:eastAsia="en-GB"/>
        </w:rPr>
      </w:pPr>
      <w:r>
        <w:rPr>
          <w:noProof/>
        </w:rPr>
        <w:t>Mobilisation of the European Globalisation Adjustment Fund - Belgium, Germany and Italy</w:t>
      </w:r>
      <w:r>
        <w:rPr>
          <w:noProof/>
        </w:rPr>
        <w:tab/>
      </w:r>
      <w:r>
        <w:rPr>
          <w:noProof/>
        </w:rPr>
        <w:fldChar w:fldCharType="begin"/>
      </w:r>
      <w:r>
        <w:rPr>
          <w:noProof/>
        </w:rPr>
        <w:instrText xml:space="preserve"> PAGEREF \h _Toc435010596 \* MERGEFORMAT </w:instrText>
      </w:r>
      <w:r>
        <w:rPr>
          <w:noProof/>
        </w:rPr>
      </w:r>
      <w:r>
        <w:rPr>
          <w:noProof/>
        </w:rPr>
        <w:fldChar w:fldCharType="separate"/>
      </w:r>
      <w:r w:rsidR="00172CD0">
        <w:rPr>
          <w:noProof/>
        </w:rPr>
        <w:t>9</w:t>
      </w:r>
      <w:r>
        <w:rPr>
          <w:noProof/>
        </w:rPr>
        <w:fldChar w:fldCharType="end"/>
      </w:r>
    </w:p>
    <w:p w:rsidR="00A249FC" w:rsidRDefault="00A249FC" w:rsidP="00A249FC">
      <w:pPr>
        <w:pStyle w:val="TOC8"/>
        <w:rPr>
          <w:rFonts w:asciiTheme="minorHAnsi" w:eastAsiaTheme="minorEastAsia" w:hAnsiTheme="minorHAnsi" w:cstheme="minorBidi"/>
          <w:i w:val="0"/>
          <w:noProof/>
          <w:sz w:val="22"/>
          <w:szCs w:val="22"/>
          <w:lang w:eastAsia="en-GB"/>
        </w:rPr>
      </w:pPr>
      <w:r>
        <w:rPr>
          <w:noProof/>
        </w:rPr>
        <w:t>SOCIAL POLICY</w:t>
      </w:r>
    </w:p>
    <w:p w:rsidR="00A249FC" w:rsidRDefault="00A249FC" w:rsidP="00A249FC">
      <w:pPr>
        <w:pStyle w:val="TOC9"/>
        <w:rPr>
          <w:rFonts w:asciiTheme="minorHAnsi" w:eastAsiaTheme="minorEastAsia" w:hAnsiTheme="minorHAnsi" w:cstheme="minorBidi"/>
          <w:noProof/>
          <w:sz w:val="22"/>
          <w:szCs w:val="22"/>
          <w:lang w:eastAsia="en-GB"/>
        </w:rPr>
      </w:pPr>
      <w:r>
        <w:rPr>
          <w:noProof/>
        </w:rPr>
        <w:t>Community statistics on income and living conditions</w:t>
      </w:r>
      <w:r>
        <w:rPr>
          <w:noProof/>
        </w:rPr>
        <w:tab/>
      </w:r>
      <w:r>
        <w:rPr>
          <w:noProof/>
        </w:rPr>
        <w:fldChar w:fldCharType="begin"/>
      </w:r>
      <w:r>
        <w:rPr>
          <w:noProof/>
        </w:rPr>
        <w:instrText xml:space="preserve"> PAGEREF \h _Toc435010598 \* MERGEFORMAT </w:instrText>
      </w:r>
      <w:r>
        <w:rPr>
          <w:noProof/>
        </w:rPr>
      </w:r>
      <w:r>
        <w:rPr>
          <w:noProof/>
        </w:rPr>
        <w:fldChar w:fldCharType="separate"/>
      </w:r>
      <w:r w:rsidR="00172CD0">
        <w:rPr>
          <w:noProof/>
        </w:rPr>
        <w:t>10</w:t>
      </w:r>
      <w:r>
        <w:rPr>
          <w:noProof/>
        </w:rPr>
        <w:fldChar w:fldCharType="end"/>
      </w:r>
    </w:p>
    <w:p w:rsidR="00A249FC" w:rsidRDefault="00A249FC" w:rsidP="00A249FC">
      <w:pPr>
        <w:pStyle w:val="TOC8"/>
        <w:rPr>
          <w:rFonts w:asciiTheme="minorHAnsi" w:eastAsiaTheme="minorEastAsia" w:hAnsiTheme="minorHAnsi" w:cstheme="minorBidi"/>
          <w:i w:val="0"/>
          <w:noProof/>
          <w:sz w:val="22"/>
          <w:szCs w:val="22"/>
          <w:lang w:eastAsia="en-GB"/>
        </w:rPr>
      </w:pPr>
      <w:r>
        <w:rPr>
          <w:noProof/>
        </w:rPr>
        <w:t>HEALTH</w:t>
      </w:r>
    </w:p>
    <w:p w:rsidR="00A249FC" w:rsidRDefault="00A249FC" w:rsidP="00A249FC">
      <w:pPr>
        <w:pStyle w:val="TOC9"/>
        <w:rPr>
          <w:rFonts w:asciiTheme="minorHAnsi" w:eastAsiaTheme="minorEastAsia" w:hAnsiTheme="minorHAnsi" w:cstheme="minorBidi"/>
          <w:noProof/>
          <w:sz w:val="22"/>
          <w:szCs w:val="22"/>
          <w:lang w:eastAsia="en-GB"/>
        </w:rPr>
      </w:pPr>
      <w:r>
        <w:rPr>
          <w:noProof/>
        </w:rPr>
        <w:t>Medical devices and in vitro diagnostic medical devices</w:t>
      </w:r>
      <w:r>
        <w:rPr>
          <w:noProof/>
        </w:rPr>
        <w:tab/>
      </w:r>
      <w:r>
        <w:rPr>
          <w:noProof/>
        </w:rPr>
        <w:fldChar w:fldCharType="begin"/>
      </w:r>
      <w:r>
        <w:rPr>
          <w:noProof/>
        </w:rPr>
        <w:instrText xml:space="preserve"> PAGEREF \h _Toc435010600 \* MERGEFORMAT </w:instrText>
      </w:r>
      <w:r>
        <w:rPr>
          <w:noProof/>
        </w:rPr>
      </w:r>
      <w:r>
        <w:rPr>
          <w:noProof/>
        </w:rPr>
        <w:fldChar w:fldCharType="separate"/>
      </w:r>
      <w:r w:rsidR="00172CD0">
        <w:rPr>
          <w:noProof/>
        </w:rPr>
        <w:t>10</w:t>
      </w:r>
      <w:r>
        <w:rPr>
          <w:noProof/>
        </w:rPr>
        <w:fldChar w:fldCharType="end"/>
      </w:r>
    </w:p>
    <w:p w:rsidR="00A249FC" w:rsidRDefault="00A249FC" w:rsidP="00A249FC">
      <w:pPr>
        <w:pStyle w:val="TOC8"/>
        <w:rPr>
          <w:rFonts w:asciiTheme="minorHAnsi" w:eastAsiaTheme="minorEastAsia" w:hAnsiTheme="minorHAnsi" w:cstheme="minorBidi"/>
          <w:i w:val="0"/>
          <w:noProof/>
          <w:sz w:val="22"/>
          <w:szCs w:val="22"/>
          <w:lang w:eastAsia="en-GB"/>
        </w:rPr>
      </w:pPr>
      <w:r>
        <w:rPr>
          <w:noProof/>
        </w:rPr>
        <w:t>FOREIGN POLICY</w:t>
      </w:r>
    </w:p>
    <w:p w:rsidR="00A249FC" w:rsidRDefault="00A249FC" w:rsidP="00A249FC">
      <w:pPr>
        <w:pStyle w:val="TOC9"/>
        <w:keepNext/>
        <w:rPr>
          <w:rFonts w:asciiTheme="minorHAnsi" w:eastAsiaTheme="minorEastAsia" w:hAnsiTheme="minorHAnsi" w:cstheme="minorBidi"/>
          <w:noProof/>
          <w:sz w:val="22"/>
          <w:szCs w:val="22"/>
          <w:lang w:eastAsia="en-GB"/>
        </w:rPr>
      </w:pPr>
      <w:r>
        <w:rPr>
          <w:noProof/>
        </w:rPr>
        <w:t>Restrictive measures directed against certain persons, entities and bodies in view of the situation in Ukraine</w:t>
      </w:r>
      <w:r>
        <w:rPr>
          <w:noProof/>
        </w:rPr>
        <w:tab/>
      </w:r>
      <w:r>
        <w:rPr>
          <w:noProof/>
        </w:rPr>
        <w:fldChar w:fldCharType="begin"/>
      </w:r>
      <w:r>
        <w:rPr>
          <w:noProof/>
        </w:rPr>
        <w:instrText xml:space="preserve"> PAGEREF \h _Toc435010602 \* MERGEFORMAT </w:instrText>
      </w:r>
      <w:r>
        <w:rPr>
          <w:noProof/>
        </w:rPr>
      </w:r>
      <w:r>
        <w:rPr>
          <w:noProof/>
        </w:rPr>
        <w:fldChar w:fldCharType="separate"/>
      </w:r>
      <w:r w:rsidR="00172CD0">
        <w:rPr>
          <w:noProof/>
        </w:rPr>
        <w:t>10</w:t>
      </w:r>
      <w:r>
        <w:rPr>
          <w:noProof/>
        </w:rPr>
        <w:fldChar w:fldCharType="end"/>
      </w:r>
    </w:p>
    <w:p w:rsidR="004F2A6D" w:rsidRDefault="00A249FC" w:rsidP="00A249FC">
      <w:pPr>
        <w:pStyle w:val="TOC9"/>
        <w:rPr>
          <w:noProof/>
        </w:rPr>
      </w:pPr>
      <w:r>
        <w:rPr>
          <w:noProof/>
        </w:rPr>
        <w:t>Restrictive measures in view of the situation in Liberia</w:t>
      </w:r>
      <w:r>
        <w:rPr>
          <w:noProof/>
        </w:rPr>
        <w:tab/>
      </w:r>
      <w:r>
        <w:rPr>
          <w:noProof/>
        </w:rPr>
        <w:fldChar w:fldCharType="begin"/>
      </w:r>
      <w:r>
        <w:rPr>
          <w:noProof/>
        </w:rPr>
        <w:instrText xml:space="preserve"> PAGEREF \h _Toc435010603 \* MERGEFORMAT </w:instrText>
      </w:r>
      <w:r>
        <w:rPr>
          <w:noProof/>
        </w:rPr>
      </w:r>
      <w:r>
        <w:rPr>
          <w:noProof/>
        </w:rPr>
        <w:fldChar w:fldCharType="separate"/>
      </w:r>
      <w:r w:rsidR="00172CD0">
        <w:rPr>
          <w:noProof/>
        </w:rPr>
        <w:t>10</w:t>
      </w:r>
      <w:r>
        <w:rPr>
          <w:noProof/>
        </w:rPr>
        <w:fldChar w:fldCharType="end"/>
      </w:r>
      <w:bookmarkStart w:id="3" w:name="_GoBack"/>
      <w:bookmarkEnd w:id="3"/>
    </w:p>
    <w:p w:rsidR="00A249FC" w:rsidRDefault="004F2A6D" w:rsidP="004F2A6D">
      <w:pPr>
        <w:rPr>
          <w:rFonts w:asciiTheme="minorHAnsi" w:eastAsiaTheme="minorEastAsia" w:hAnsiTheme="minorHAnsi" w:cstheme="minorBidi"/>
          <w:noProof/>
          <w:sz w:val="22"/>
          <w:szCs w:val="22"/>
          <w:lang w:eastAsia="en-GB"/>
        </w:rPr>
      </w:pPr>
      <w:r>
        <w:rPr>
          <w:noProof/>
        </w:rPr>
        <w:br w:type="page"/>
      </w:r>
    </w:p>
    <w:p w:rsidR="00A249FC" w:rsidRDefault="00A249FC" w:rsidP="00A249FC">
      <w:pPr>
        <w:pStyle w:val="TOC8"/>
        <w:rPr>
          <w:rFonts w:asciiTheme="minorHAnsi" w:eastAsiaTheme="minorEastAsia" w:hAnsiTheme="minorHAnsi" w:cstheme="minorBidi"/>
          <w:i w:val="0"/>
          <w:noProof/>
          <w:sz w:val="22"/>
          <w:szCs w:val="22"/>
          <w:lang w:eastAsia="en-GB"/>
        </w:rPr>
      </w:pPr>
      <w:r>
        <w:rPr>
          <w:noProof/>
        </w:rPr>
        <w:t>COMMON SECURITY AND DEFENCE POLICY</w:t>
      </w:r>
    </w:p>
    <w:p w:rsidR="00A249FC" w:rsidRDefault="00A249FC" w:rsidP="00A249FC">
      <w:pPr>
        <w:pStyle w:val="TOC9"/>
        <w:rPr>
          <w:rFonts w:asciiTheme="minorHAnsi" w:eastAsiaTheme="minorEastAsia" w:hAnsiTheme="minorHAnsi" w:cstheme="minorBidi"/>
          <w:noProof/>
          <w:sz w:val="22"/>
          <w:szCs w:val="22"/>
          <w:lang w:eastAsia="en-GB"/>
        </w:rPr>
      </w:pPr>
      <w:r>
        <w:rPr>
          <w:noProof/>
        </w:rPr>
        <w:t>EUCAP Sahel Niger: Council nearly doubles mission's annual budget</w:t>
      </w:r>
      <w:r>
        <w:rPr>
          <w:noProof/>
        </w:rPr>
        <w:tab/>
      </w:r>
      <w:r>
        <w:rPr>
          <w:noProof/>
        </w:rPr>
        <w:fldChar w:fldCharType="begin"/>
      </w:r>
      <w:r>
        <w:rPr>
          <w:noProof/>
        </w:rPr>
        <w:instrText xml:space="preserve"> PAGEREF \h _Toc435010605 \* MERGEFORMAT </w:instrText>
      </w:r>
      <w:r>
        <w:rPr>
          <w:noProof/>
        </w:rPr>
      </w:r>
      <w:r>
        <w:rPr>
          <w:noProof/>
        </w:rPr>
        <w:fldChar w:fldCharType="separate"/>
      </w:r>
      <w:r w:rsidR="00172CD0">
        <w:rPr>
          <w:noProof/>
        </w:rPr>
        <w:t>11</w:t>
      </w:r>
      <w:r>
        <w:rPr>
          <w:noProof/>
        </w:rPr>
        <w:fldChar w:fldCharType="end"/>
      </w:r>
    </w:p>
    <w:p w:rsidR="00A249FC" w:rsidRDefault="00A249FC" w:rsidP="00A249FC">
      <w:pPr>
        <w:pStyle w:val="TOC8"/>
        <w:rPr>
          <w:rFonts w:asciiTheme="minorHAnsi" w:eastAsiaTheme="minorEastAsia" w:hAnsiTheme="minorHAnsi" w:cstheme="minorBidi"/>
          <w:i w:val="0"/>
          <w:noProof/>
          <w:sz w:val="22"/>
          <w:szCs w:val="22"/>
          <w:lang w:eastAsia="en-GB"/>
        </w:rPr>
      </w:pPr>
      <w:r>
        <w:rPr>
          <w:noProof/>
        </w:rPr>
        <w:t>ENLARGEMENT</w:t>
      </w:r>
    </w:p>
    <w:p w:rsidR="00A249FC" w:rsidRDefault="00A249FC" w:rsidP="00A249FC">
      <w:pPr>
        <w:pStyle w:val="TOC9"/>
        <w:rPr>
          <w:rFonts w:asciiTheme="minorHAnsi" w:eastAsiaTheme="minorEastAsia" w:hAnsiTheme="minorHAnsi" w:cstheme="minorBidi"/>
          <w:noProof/>
          <w:sz w:val="22"/>
          <w:szCs w:val="22"/>
          <w:lang w:eastAsia="en-GB"/>
        </w:rPr>
      </w:pPr>
      <w:r>
        <w:rPr>
          <w:noProof/>
        </w:rPr>
        <w:t>Stabilisation and Association Council with Bosnia and Herzegovina - Rules of procedure</w:t>
      </w:r>
      <w:r>
        <w:rPr>
          <w:noProof/>
        </w:rPr>
        <w:tab/>
      </w:r>
      <w:r>
        <w:rPr>
          <w:noProof/>
        </w:rPr>
        <w:fldChar w:fldCharType="begin"/>
      </w:r>
      <w:r>
        <w:rPr>
          <w:noProof/>
        </w:rPr>
        <w:instrText xml:space="preserve"> PAGEREF \h _Toc435010607 \* MERGEFORMAT </w:instrText>
      </w:r>
      <w:r>
        <w:rPr>
          <w:noProof/>
        </w:rPr>
      </w:r>
      <w:r>
        <w:rPr>
          <w:noProof/>
        </w:rPr>
        <w:fldChar w:fldCharType="separate"/>
      </w:r>
      <w:r w:rsidR="00172CD0">
        <w:rPr>
          <w:noProof/>
        </w:rPr>
        <w:t>11</w:t>
      </w:r>
      <w:r>
        <w:rPr>
          <w:noProof/>
        </w:rPr>
        <w:fldChar w:fldCharType="end"/>
      </w:r>
    </w:p>
    <w:p w:rsidR="00A249FC" w:rsidRDefault="00A249FC" w:rsidP="00A249FC">
      <w:pPr>
        <w:pStyle w:val="TOC8"/>
        <w:rPr>
          <w:rFonts w:asciiTheme="minorHAnsi" w:eastAsiaTheme="minorEastAsia" w:hAnsiTheme="minorHAnsi" w:cstheme="minorBidi"/>
          <w:i w:val="0"/>
          <w:noProof/>
          <w:sz w:val="22"/>
          <w:szCs w:val="22"/>
          <w:lang w:eastAsia="en-GB"/>
        </w:rPr>
      </w:pPr>
      <w:r>
        <w:rPr>
          <w:noProof/>
        </w:rPr>
        <w:t>FISHERIES</w:t>
      </w:r>
    </w:p>
    <w:p w:rsidR="00A249FC" w:rsidRDefault="00A249FC" w:rsidP="00A249FC">
      <w:pPr>
        <w:pStyle w:val="TOC9"/>
        <w:keepNext/>
        <w:rPr>
          <w:rFonts w:asciiTheme="minorHAnsi" w:eastAsiaTheme="minorEastAsia" w:hAnsiTheme="minorHAnsi" w:cstheme="minorBidi"/>
          <w:noProof/>
          <w:sz w:val="22"/>
          <w:szCs w:val="22"/>
          <w:lang w:eastAsia="en-GB"/>
        </w:rPr>
      </w:pPr>
      <w:r>
        <w:rPr>
          <w:noProof/>
        </w:rPr>
        <w:t>Partnership agreement between EU and Cape Verde - Conclusion of the protocol</w:t>
      </w:r>
      <w:r>
        <w:rPr>
          <w:noProof/>
        </w:rPr>
        <w:tab/>
      </w:r>
      <w:r>
        <w:rPr>
          <w:noProof/>
        </w:rPr>
        <w:fldChar w:fldCharType="begin"/>
      </w:r>
      <w:r>
        <w:rPr>
          <w:noProof/>
        </w:rPr>
        <w:instrText xml:space="preserve"> PAGEREF \h _Toc435010609 \* MERGEFORMAT </w:instrText>
      </w:r>
      <w:r>
        <w:rPr>
          <w:noProof/>
        </w:rPr>
      </w:r>
      <w:r>
        <w:rPr>
          <w:noProof/>
        </w:rPr>
        <w:fldChar w:fldCharType="separate"/>
      </w:r>
      <w:r w:rsidR="00172CD0">
        <w:rPr>
          <w:noProof/>
        </w:rPr>
        <w:t>11</w:t>
      </w:r>
      <w:r>
        <w:rPr>
          <w:noProof/>
        </w:rPr>
        <w:fldChar w:fldCharType="end"/>
      </w:r>
    </w:p>
    <w:p w:rsidR="00A249FC" w:rsidRDefault="00A249FC" w:rsidP="00A249FC">
      <w:pPr>
        <w:pStyle w:val="TOC9"/>
        <w:keepNext/>
        <w:rPr>
          <w:rFonts w:asciiTheme="minorHAnsi" w:eastAsiaTheme="minorEastAsia" w:hAnsiTheme="minorHAnsi" w:cstheme="minorBidi"/>
          <w:noProof/>
          <w:sz w:val="22"/>
          <w:szCs w:val="22"/>
          <w:lang w:eastAsia="en-GB"/>
        </w:rPr>
      </w:pPr>
      <w:r>
        <w:rPr>
          <w:noProof/>
        </w:rPr>
        <w:t>Partnership agreement between EU and Madagascar - Conclusion of the protocol</w:t>
      </w:r>
      <w:r>
        <w:rPr>
          <w:noProof/>
        </w:rPr>
        <w:tab/>
      </w:r>
      <w:r>
        <w:rPr>
          <w:noProof/>
        </w:rPr>
        <w:fldChar w:fldCharType="begin"/>
      </w:r>
      <w:r>
        <w:rPr>
          <w:noProof/>
        </w:rPr>
        <w:instrText xml:space="preserve"> PAGEREF \h _Toc435010610 \* MERGEFORMAT </w:instrText>
      </w:r>
      <w:r>
        <w:rPr>
          <w:noProof/>
        </w:rPr>
      </w:r>
      <w:r>
        <w:rPr>
          <w:noProof/>
        </w:rPr>
        <w:fldChar w:fldCharType="separate"/>
      </w:r>
      <w:r w:rsidR="00172CD0">
        <w:rPr>
          <w:noProof/>
        </w:rPr>
        <w:t>12</w:t>
      </w:r>
      <w:r>
        <w:rPr>
          <w:noProof/>
        </w:rPr>
        <w:fldChar w:fldCharType="end"/>
      </w:r>
    </w:p>
    <w:p w:rsidR="00A249FC" w:rsidRDefault="00A249FC" w:rsidP="00A249FC">
      <w:pPr>
        <w:pStyle w:val="TOC9"/>
        <w:rPr>
          <w:rFonts w:asciiTheme="minorHAnsi" w:eastAsiaTheme="minorEastAsia" w:hAnsiTheme="minorHAnsi" w:cstheme="minorBidi"/>
          <w:noProof/>
          <w:sz w:val="22"/>
          <w:szCs w:val="22"/>
          <w:lang w:eastAsia="en-GB"/>
        </w:rPr>
      </w:pPr>
      <w:r>
        <w:rPr>
          <w:noProof/>
        </w:rPr>
        <w:t>Partnership agreement between EU and Guinea Bissau - Conclusion of the protocol</w:t>
      </w:r>
      <w:r>
        <w:rPr>
          <w:noProof/>
        </w:rPr>
        <w:tab/>
      </w:r>
      <w:r>
        <w:rPr>
          <w:noProof/>
        </w:rPr>
        <w:fldChar w:fldCharType="begin"/>
      </w:r>
      <w:r>
        <w:rPr>
          <w:noProof/>
        </w:rPr>
        <w:instrText xml:space="preserve"> PAGEREF \h _Toc435010611 \* MERGEFORMAT </w:instrText>
      </w:r>
      <w:r>
        <w:rPr>
          <w:noProof/>
        </w:rPr>
      </w:r>
      <w:r>
        <w:rPr>
          <w:noProof/>
        </w:rPr>
        <w:fldChar w:fldCharType="separate"/>
      </w:r>
      <w:r w:rsidR="00172CD0">
        <w:rPr>
          <w:noProof/>
        </w:rPr>
        <w:t>12</w:t>
      </w:r>
      <w:r>
        <w:rPr>
          <w:noProof/>
        </w:rPr>
        <w:fldChar w:fldCharType="end"/>
      </w:r>
    </w:p>
    <w:p w:rsidR="00A249FC" w:rsidRDefault="00A249FC" w:rsidP="00A249FC">
      <w:pPr>
        <w:pStyle w:val="TOC8"/>
        <w:rPr>
          <w:rFonts w:asciiTheme="minorHAnsi" w:eastAsiaTheme="minorEastAsia" w:hAnsiTheme="minorHAnsi" w:cstheme="minorBidi"/>
          <w:i w:val="0"/>
          <w:noProof/>
          <w:sz w:val="22"/>
          <w:szCs w:val="22"/>
          <w:lang w:eastAsia="en-GB"/>
        </w:rPr>
      </w:pPr>
      <w:r>
        <w:rPr>
          <w:noProof/>
        </w:rPr>
        <w:t>TRANSPARENCY</w:t>
      </w:r>
    </w:p>
    <w:p w:rsidR="00A249FC" w:rsidRDefault="00A249FC" w:rsidP="00A249FC">
      <w:pPr>
        <w:pStyle w:val="TOC9"/>
      </w:pPr>
      <w:r>
        <w:rPr>
          <w:noProof/>
        </w:rPr>
        <w:t>Public access to documents</w:t>
      </w:r>
      <w:r>
        <w:rPr>
          <w:noProof/>
        </w:rPr>
        <w:tab/>
      </w:r>
      <w:r>
        <w:rPr>
          <w:noProof/>
        </w:rPr>
        <w:fldChar w:fldCharType="begin"/>
      </w:r>
      <w:r>
        <w:rPr>
          <w:noProof/>
        </w:rPr>
        <w:instrText xml:space="preserve"> PAGEREF \h _Toc435010613 \* MERGEFORMAT </w:instrText>
      </w:r>
      <w:r>
        <w:rPr>
          <w:noProof/>
        </w:rPr>
      </w:r>
      <w:r>
        <w:rPr>
          <w:noProof/>
        </w:rPr>
        <w:fldChar w:fldCharType="separate"/>
      </w:r>
      <w:r w:rsidR="00172CD0">
        <w:rPr>
          <w:noProof/>
        </w:rPr>
        <w:t>12</w:t>
      </w:r>
      <w:r>
        <w:rPr>
          <w:noProof/>
        </w:rPr>
        <w:fldChar w:fldCharType="end"/>
      </w:r>
    </w:p>
    <w:p w:rsidR="00A249FC" w:rsidRDefault="00A249FC" w:rsidP="00F55163">
      <w:pPr>
        <w:sectPr w:rsidR="00A249FC" w:rsidSect="00172CD0">
          <w:headerReference w:type="default" r:id="rId15"/>
          <w:headerReference w:type="first" r:id="rId16"/>
          <w:footerReference w:type="first" r:id="rId17"/>
          <w:footnotePr>
            <w:numRestart w:val="eachPage"/>
          </w:footnotePr>
          <w:pgSz w:w="11907" w:h="16840" w:code="9"/>
          <w:pgMar w:top="1134" w:right="1134" w:bottom="1134" w:left="1134" w:header="567" w:footer="567" w:gutter="0"/>
          <w:cols w:space="708"/>
          <w:titlePg/>
          <w:docGrid w:linePitch="360"/>
        </w:sectPr>
      </w:pPr>
    </w:p>
    <w:p w:rsidR="00F55163" w:rsidRDefault="00F55163" w:rsidP="00F55163">
      <w:pPr>
        <w:pStyle w:val="ItemsDebatedHeading"/>
      </w:pPr>
      <w:r w:rsidRPr="00F55163">
        <w:lastRenderedPageBreak/>
        <w:t>ITEMS DEBATED</w:t>
      </w:r>
    </w:p>
    <w:p w:rsidR="00DD27DA" w:rsidRPr="00DD27DA" w:rsidRDefault="00DD27DA" w:rsidP="00DD27DA">
      <w:pPr>
        <w:pStyle w:val="ItemDebated"/>
      </w:pPr>
      <w:bookmarkStart w:id="6" w:name="_Toc435010588"/>
      <w:r w:rsidRPr="00DD27DA">
        <w:t>Social governance</w:t>
      </w:r>
      <w:bookmarkEnd w:id="6"/>
    </w:p>
    <w:p w:rsidR="00DD27DA" w:rsidRDefault="00DD27DA" w:rsidP="00DD27DA">
      <w:r>
        <w:t>The Council held a policy debate on social governance in an inclusive Europe based on a Presidency note (</w:t>
      </w:r>
      <w:hyperlink r:id="rId18" w:history="1">
        <w:r w:rsidRPr="00DD27DA">
          <w:rPr>
            <w:rStyle w:val="InternetLink"/>
            <w:i/>
            <w:iCs/>
          </w:rPr>
          <w:t>12082/15</w:t>
        </w:r>
      </w:hyperlink>
      <w:r>
        <w:t>) and on the five Presidents' report.</w:t>
      </w:r>
    </w:p>
    <w:p w:rsidR="00DD27DA" w:rsidRDefault="00DD27DA" w:rsidP="00DD27DA">
      <w:r>
        <w:t>Ministers expressed their common will to reinforce and deepen the social dimension of the EU. They underlined the importance of aiming towards upward social convergence. The enhanced social dimension would create an inclusive space with a high degree of social and employment performance for its citizens, including the necessary modernisation and reform of social protection systems and labour market institutions.</w:t>
      </w:r>
    </w:p>
    <w:p w:rsidR="00DD27DA" w:rsidRDefault="00DD27DA" w:rsidP="00DD27DA">
      <w:r>
        <w:t xml:space="preserve">Ministers stressed that a deepened social dimension of the EMU should be built upon the existing instruments within the European Semester process, including indicators such as the social and employment scoreboard. Efforts made by the member states in line with their national competencies need to be accompanied by the sharing of best practices and peer reviews. The use of benchmarks, as well as the possible definition of standards and indicators, </w:t>
      </w:r>
      <w:r w:rsidR="004B554E">
        <w:t>was</w:t>
      </w:r>
      <w:r>
        <w:t xml:space="preserve"> discussed.</w:t>
      </w:r>
    </w:p>
    <w:p w:rsidR="00DD27DA" w:rsidRDefault="00DD27DA" w:rsidP="004B554E">
      <w:r>
        <w:t xml:space="preserve">Ministers broadly welcomed the revised and streamlined European Semester. They highlighted the importance of the role of the macroeconomic imbalances procedure and the need for it not </w:t>
      </w:r>
      <w:r w:rsidR="004B554E">
        <w:t xml:space="preserve">to </w:t>
      </w:r>
      <w:r>
        <w:t>be diluted and to remain centred on macroeconomic aspects and structural reforms. The role of EPSCO as regards all employment and social related matters was emphasi</w:t>
      </w:r>
      <w:r w:rsidR="00D657E3">
        <w:t>s</w:t>
      </w:r>
      <w:r>
        <w:t>ed.</w:t>
      </w:r>
    </w:p>
    <w:p w:rsidR="00DD27DA" w:rsidRDefault="00DD27DA" w:rsidP="00DD27DA">
      <w:r>
        <w:t xml:space="preserve">The Council endorsed the </w:t>
      </w:r>
      <w:r>
        <w:rPr>
          <w:b/>
          <w:bCs/>
        </w:rPr>
        <w:t>key messages</w:t>
      </w:r>
      <w:r>
        <w:t xml:space="preserve"> of the Social Protection Committee (SPC) report on the social policy reforms for growth and cohesion: contribution to the annual growth survey 2016 (</w:t>
      </w:r>
      <w:hyperlink r:id="rId19" w:tooltip="http://data.consilium.europa.eu/doc/document/ST-12079-2015-INIT/en/pdf" w:history="1">
        <w:r w:rsidRPr="00DD27DA">
          <w:rPr>
            <w:rStyle w:val="Hyperlink"/>
            <w:i/>
            <w:iCs/>
          </w:rPr>
          <w:t>12079/15</w:t>
        </w:r>
      </w:hyperlink>
      <w:r w:rsidRPr="00DD27DA">
        <w:rPr>
          <w:i/>
          <w:iCs/>
        </w:rPr>
        <w:t xml:space="preserve"> + ADD 1</w:t>
      </w:r>
      <w:r>
        <w:t>). This report reviews the areas of social inclusion, pensions, health and long-term care.</w:t>
      </w:r>
    </w:p>
    <w:p w:rsidR="00DD27DA" w:rsidRPr="00DD27DA" w:rsidRDefault="003B0447" w:rsidP="00DD27DA">
      <w:pPr>
        <w:pStyle w:val="ItemDebated"/>
      </w:pPr>
      <w:r>
        <w:br w:type="page"/>
      </w:r>
      <w:bookmarkStart w:id="7" w:name="_Toc435010589"/>
      <w:r w:rsidR="00DD27DA" w:rsidRPr="00DD27DA">
        <w:lastRenderedPageBreak/>
        <w:t>Integration of the long-term unemployed into the labour market</w:t>
      </w:r>
      <w:bookmarkEnd w:id="7"/>
    </w:p>
    <w:p w:rsidR="00DD27DA" w:rsidRDefault="00DD27DA" w:rsidP="00DD27DA">
      <w:pPr>
        <w:rPr>
          <w:iCs/>
        </w:rPr>
      </w:pPr>
      <w:r>
        <w:t xml:space="preserve">The Council held a policy debate on the recommendation concerning the integration of the long-term unemployed into the labour market which the Commission </w:t>
      </w:r>
      <w:r w:rsidR="00D657E3">
        <w:t xml:space="preserve">had </w:t>
      </w:r>
      <w:r>
        <w:t>presented to it.</w:t>
      </w:r>
    </w:p>
    <w:p w:rsidR="00DD27DA" w:rsidRDefault="00DD27DA" w:rsidP="00DD27DA">
      <w:r>
        <w:t>Ministers had the opportunity to discuss the major challenges, and to exchange national experience in combating long-term unemployment.</w:t>
      </w:r>
    </w:p>
    <w:p w:rsidR="002A59A7" w:rsidRPr="002A59A7" w:rsidRDefault="002A59A7" w:rsidP="002A59A7">
      <w:r w:rsidRPr="002A59A7">
        <w:t>Overall ministers concurred that long-term unemployment is a serious problem concerning a category of people requiring particular attention across the EU, and thus a political priority to avoid long-term social problems. They broadly welcomed the Commission's proposal as a common framework to guide national efforts and called for a flexible approach on implementation.</w:t>
      </w:r>
    </w:p>
    <w:p w:rsidR="00DD27DA" w:rsidRDefault="00DD27DA" w:rsidP="00DD27DA">
      <w:r>
        <w:t>The proposal for a recommendation, adopted by the Commission on 17 September 2015, is targeted towards a group that was hit especially hard by the economic crisis: long-term jobseekers (</w:t>
      </w:r>
      <w:hyperlink r:id="rId20" w:tooltip="http://data.consilium.europa.eu/doc/document/ST-12081-2015-INIT/en/pdf" w:history="1">
        <w:r w:rsidRPr="00DD27DA">
          <w:rPr>
            <w:rStyle w:val="Hyperlink"/>
            <w:i/>
            <w:iCs/>
          </w:rPr>
          <w:t>12081/15</w:t>
        </w:r>
      </w:hyperlink>
      <w:r w:rsidRPr="00DD27DA">
        <w:rPr>
          <w:i/>
          <w:iCs/>
        </w:rPr>
        <w:t xml:space="preserve"> + ADD 1)</w:t>
      </w:r>
      <w:r>
        <w:t>.</w:t>
      </w:r>
    </w:p>
    <w:p w:rsidR="00DD27DA" w:rsidRDefault="00DD27DA" w:rsidP="00DD27DA">
      <w:r>
        <w:t>Currently, 5% of the active population and half of the total number of unemployed are in long-term unemployment. However, long-term unemployment affects member states to different degrees depending on the impact of the crisis, the macroeconomic situation, the economic structure and the functioning of national labour markets.</w:t>
      </w:r>
    </w:p>
    <w:p w:rsidR="00DD27DA" w:rsidRDefault="00DD27DA" w:rsidP="00DD27DA">
      <w:r>
        <w:t>It affects a wide range of people, generally characterised by low employability and often coping with multiple disadvantages. Workers with low skills or qualifications as well as third-country nationals are twice as likely to experience long-term unemployment.</w:t>
      </w:r>
    </w:p>
    <w:p w:rsidR="00DD27DA" w:rsidRPr="00DD27DA" w:rsidRDefault="00DD27DA" w:rsidP="00DD27DA">
      <w:pPr>
        <w:pStyle w:val="ItemDebated"/>
      </w:pPr>
      <w:bookmarkStart w:id="8" w:name="_Toc435010590"/>
      <w:r w:rsidRPr="00DD27DA">
        <w:t>Adequate incomes for pensioners</w:t>
      </w:r>
      <w:bookmarkEnd w:id="8"/>
    </w:p>
    <w:p w:rsidR="00DD27DA" w:rsidRDefault="00DD27DA" w:rsidP="00DD27DA">
      <w:pPr>
        <w:rPr>
          <w:iCs/>
        </w:rPr>
      </w:pPr>
      <w:r>
        <w:t>The Council endorsed the key messages of the report 'Adequate retirement incomes in the context of ageing societies' (</w:t>
      </w:r>
      <w:hyperlink r:id="rId21" w:tooltip="http://data.consilium.europa.eu/doc/document/ST-12085-2015-INIT/en/pdf" w:history="1">
        <w:r w:rsidRPr="00DD27DA">
          <w:rPr>
            <w:rStyle w:val="Hyperlink"/>
            <w:i/>
            <w:iCs/>
          </w:rPr>
          <w:t>12085/15</w:t>
        </w:r>
      </w:hyperlink>
      <w:r>
        <w:t>) and adopted conclusions (</w:t>
      </w:r>
      <w:hyperlink r:id="rId22" w:tooltip="http://data.consilium.europa.eu/doc/document/ST-12352-2015-INIT/en/pdf" w:history="1">
        <w:r w:rsidRPr="00DD27DA">
          <w:rPr>
            <w:rStyle w:val="Hyperlink"/>
            <w:i/>
            <w:iCs/>
          </w:rPr>
          <w:t>12352/15</w:t>
        </w:r>
      </w:hyperlink>
      <w:r>
        <w:t>).</w:t>
      </w:r>
    </w:p>
    <w:p w:rsidR="00DD27DA" w:rsidRDefault="00DD27DA" w:rsidP="00DD27DA">
      <w:r>
        <w:t xml:space="preserve">The report highlights the issue of adequacy of income related to old age. Together with the sustainability perspective already examined by </w:t>
      </w:r>
      <w:proofErr w:type="spellStart"/>
      <w:r>
        <w:t>Ecofin</w:t>
      </w:r>
      <w:proofErr w:type="spellEnd"/>
      <w:r>
        <w:t>, it gives a comprehensive overview of the challenges faced.</w:t>
      </w:r>
    </w:p>
    <w:p w:rsidR="00DD27DA" w:rsidRDefault="003B0447" w:rsidP="00DD27DA">
      <w:r>
        <w:br w:type="page"/>
      </w:r>
      <w:r w:rsidR="00DD27DA">
        <w:lastRenderedPageBreak/>
        <w:t>Its key messages can be summarised as follows:</w:t>
      </w:r>
    </w:p>
    <w:p w:rsidR="00DD27DA" w:rsidRPr="00DD27DA" w:rsidRDefault="00DD27DA" w:rsidP="00AF2EEB">
      <w:pPr>
        <w:pStyle w:val="Tiret0"/>
        <w:numPr>
          <w:ilvl w:val="0"/>
          <w:numId w:val="1"/>
        </w:numPr>
        <w:rPr>
          <w:i/>
          <w:iCs/>
        </w:rPr>
      </w:pPr>
      <w:r w:rsidRPr="00DD27DA">
        <w:rPr>
          <w:i/>
          <w:iCs/>
        </w:rPr>
        <w:t>Current pensioners’ living standards have largely been maintained over the crisis, yet poverty problems persist in some countries and pension outcomes are generally marked by big gender differences.</w:t>
      </w:r>
    </w:p>
    <w:p w:rsidR="00DD27DA" w:rsidRDefault="00DD27DA" w:rsidP="00DD27DA">
      <w:pPr>
        <w:pStyle w:val="Tiret0"/>
        <w:rPr>
          <w:i/>
          <w:iCs/>
        </w:rPr>
      </w:pPr>
      <w:r>
        <w:rPr>
          <w:i/>
        </w:rPr>
        <w:t>Pension reforms with a strong focus on sustainability have been stepped up over recent years.</w:t>
      </w:r>
    </w:p>
    <w:p w:rsidR="00DD27DA" w:rsidRDefault="00DD27DA" w:rsidP="00DD27DA">
      <w:pPr>
        <w:pStyle w:val="Tiret0"/>
        <w:rPr>
          <w:i/>
          <w:iCs/>
        </w:rPr>
      </w:pPr>
      <w:r>
        <w:rPr>
          <w:i/>
        </w:rPr>
        <w:t xml:space="preserve">Overall, spending on </w:t>
      </w:r>
      <w:r w:rsidRPr="009D4576">
        <w:rPr>
          <w:i/>
          <w:iCs/>
        </w:rPr>
        <w:t>public</w:t>
      </w:r>
      <w:r>
        <w:rPr>
          <w:i/>
        </w:rPr>
        <w:t xml:space="preserve"> pensions is no longer expected to be higher in 2060 than presently.</w:t>
      </w:r>
    </w:p>
    <w:p w:rsidR="00DD27DA" w:rsidRDefault="00DD27DA" w:rsidP="00DD27DA">
      <w:pPr>
        <w:pStyle w:val="Tiret0"/>
        <w:rPr>
          <w:i/>
          <w:iCs/>
        </w:rPr>
      </w:pPr>
      <w:r>
        <w:rPr>
          <w:i/>
        </w:rPr>
        <w:t xml:space="preserve">Strong policies for </w:t>
      </w:r>
      <w:r w:rsidRPr="009D4576">
        <w:rPr>
          <w:i/>
          <w:iCs/>
        </w:rPr>
        <w:t>addressing</w:t>
      </w:r>
      <w:r>
        <w:rPr>
          <w:i/>
        </w:rPr>
        <w:t xml:space="preserve"> future adequacy risks are therefore essential.</w:t>
      </w:r>
    </w:p>
    <w:p w:rsidR="00DD27DA" w:rsidRDefault="00DD27DA" w:rsidP="00DD27DA">
      <w:pPr>
        <w:pStyle w:val="Tiret0"/>
        <w:rPr>
          <w:i/>
          <w:iCs/>
        </w:rPr>
      </w:pPr>
      <w:r>
        <w:rPr>
          <w:i/>
        </w:rPr>
        <w:t>EU cooperation to ensure adequate incomes in old age remains important.</w:t>
      </w:r>
    </w:p>
    <w:p w:rsidR="00DD27DA" w:rsidRDefault="001C1CCE" w:rsidP="004B554E">
      <w:r>
        <w:t xml:space="preserve">The report </w:t>
      </w:r>
      <w:r w:rsidR="004B554E">
        <w:t xml:space="preserve">on ageing </w:t>
      </w:r>
      <w:r>
        <w:t>states</w:t>
      </w:r>
      <w:r w:rsidR="00DD27DA">
        <w:t xml:space="preserve"> that</w:t>
      </w:r>
      <w:r>
        <w:t>,</w:t>
      </w:r>
      <w:r w:rsidR="00DD27DA">
        <w:t xml:space="preserve"> despite the very sharp increase in people aged 65 years or more, the average expenditure on pensions for the EU of 28 should not be higher in 2060 than it was in 2013.</w:t>
      </w:r>
    </w:p>
    <w:p w:rsidR="00DD27DA" w:rsidRDefault="00DD27DA" w:rsidP="00DD27DA">
      <w:r>
        <w:t>However, risks in terms of sustainability of public finances may result not only from the absence of reforms to reduce future expenditure but also from the converse situation, where reforms mean that an increasing number of older people do not receive an adequate income, i.e. an income which enables them to lead a decent life.</w:t>
      </w:r>
    </w:p>
    <w:p w:rsidR="00DD27DA" w:rsidRDefault="00DD27DA" w:rsidP="00DD27DA">
      <w:r>
        <w:t>It is therefore of the utmost importance to ensure that pension adequacy is monitored both from the point of view of constraints on public finances and from that of social objectives.</w:t>
      </w:r>
    </w:p>
    <w:p w:rsidR="00DD27DA" w:rsidRPr="00DD27DA" w:rsidRDefault="00DD27DA" w:rsidP="00DD27DA">
      <w:pPr>
        <w:pStyle w:val="ItemDebated"/>
      </w:pPr>
      <w:bookmarkStart w:id="9" w:name="_Toc435010591"/>
      <w:r w:rsidRPr="00DD27DA">
        <w:t>Employment policies of the member states</w:t>
      </w:r>
      <w:bookmarkEnd w:id="9"/>
    </w:p>
    <w:p w:rsidR="00DD27DA" w:rsidRDefault="00DD27DA" w:rsidP="00DD27DA">
      <w:r>
        <w:t>The Council adopted a decision on guidelines for the employment policies of the member states (</w:t>
      </w:r>
      <w:hyperlink r:id="rId23" w:tooltip="http://data.consilium.europa.eu/doc/document/ST-11360-2015-INIT/en/pdf" w:history="1">
        <w:r w:rsidRPr="00DD27DA">
          <w:rPr>
            <w:rStyle w:val="Hyperlink"/>
            <w:i/>
            <w:iCs/>
          </w:rPr>
          <w:t>11360/15</w:t>
        </w:r>
      </w:hyperlink>
      <w:r>
        <w:t>).</w:t>
      </w:r>
    </w:p>
    <w:p w:rsidR="00DD27DA" w:rsidRDefault="00DD27DA" w:rsidP="00DD27DA">
      <w:r>
        <w:t>The set of integrated guidelines for 2015 reflect the new approach to economic policy-making, built on investment, structural reform and fiscal responsibility.</w:t>
      </w:r>
    </w:p>
    <w:p w:rsidR="00DD27DA" w:rsidRDefault="003B0447" w:rsidP="00DD27DA">
      <w:r>
        <w:br w:type="page"/>
      </w:r>
      <w:r w:rsidR="00DD27DA">
        <w:lastRenderedPageBreak/>
        <w:t xml:space="preserve">The four employment guidelines are </w:t>
      </w:r>
      <w:r w:rsidR="0028351F">
        <w:t xml:space="preserve">as </w:t>
      </w:r>
      <w:r w:rsidR="00DD27DA">
        <w:t>follow</w:t>
      </w:r>
      <w:r w:rsidR="0028351F">
        <w:t>s</w:t>
      </w:r>
      <w:r w:rsidR="00DD27DA">
        <w:t>:</w:t>
      </w:r>
    </w:p>
    <w:p w:rsidR="00DD27DA" w:rsidRPr="00DD27DA" w:rsidRDefault="00DD27DA" w:rsidP="00DD27DA">
      <w:pPr>
        <w:pStyle w:val="Tiret0"/>
      </w:pPr>
      <w:r w:rsidRPr="00DD27DA">
        <w:t>Boosting demand for labour</w:t>
      </w:r>
    </w:p>
    <w:p w:rsidR="00DD27DA" w:rsidRDefault="00DD27DA" w:rsidP="00DD27DA">
      <w:pPr>
        <w:pStyle w:val="Tiret0"/>
        <w:rPr>
          <w:bCs/>
        </w:rPr>
      </w:pPr>
      <w:r>
        <w:rPr>
          <w:bCs/>
        </w:rPr>
        <w:t xml:space="preserve">Enhancing </w:t>
      </w:r>
      <w:r w:rsidRPr="00DD27DA">
        <w:t>labour</w:t>
      </w:r>
      <w:r>
        <w:rPr>
          <w:bCs/>
        </w:rPr>
        <w:t xml:space="preserve"> supply, skills and competences</w:t>
      </w:r>
    </w:p>
    <w:p w:rsidR="00DD27DA" w:rsidRDefault="00DD27DA" w:rsidP="00DD27DA">
      <w:pPr>
        <w:pStyle w:val="Tiret0"/>
        <w:rPr>
          <w:bCs/>
        </w:rPr>
      </w:pPr>
      <w:r>
        <w:rPr>
          <w:bCs/>
        </w:rPr>
        <w:t>Enhancing the functioning of labour markets</w:t>
      </w:r>
    </w:p>
    <w:p w:rsidR="00DD27DA" w:rsidRDefault="00DD27DA" w:rsidP="00DD27DA">
      <w:pPr>
        <w:pStyle w:val="Tiret0"/>
        <w:rPr>
          <w:bCs/>
        </w:rPr>
      </w:pPr>
      <w:r>
        <w:rPr>
          <w:bCs/>
        </w:rPr>
        <w:t>Fostering social inclusion, combating poverty and promoting equal opportunities.</w:t>
      </w:r>
    </w:p>
    <w:p w:rsidR="00DD27DA" w:rsidRPr="00DD27DA" w:rsidRDefault="00DD27DA" w:rsidP="00DD27DA">
      <w:pPr>
        <w:pStyle w:val="ItemDebated"/>
      </w:pPr>
      <w:bookmarkStart w:id="10" w:name="_Toc435010592"/>
      <w:r w:rsidRPr="00DD27DA">
        <w:t>Agenda for health and safety at work</w:t>
      </w:r>
      <w:bookmarkEnd w:id="10"/>
    </w:p>
    <w:p w:rsidR="00DD27DA" w:rsidRDefault="00DD27DA" w:rsidP="00DD27DA">
      <w:pPr>
        <w:rPr>
          <w:iCs/>
        </w:rPr>
      </w:pPr>
      <w:r>
        <w:t>The Council adopted conclusions on the new agenda for health and safety at work to foster better working conditions (</w:t>
      </w:r>
      <w:hyperlink r:id="rId24" w:tooltip="http://data.consilium.europa.eu/doc/document/ST-11606-2015-INIT/en/pdf" w:history="1">
        <w:r w:rsidR="003B0447">
          <w:rPr>
            <w:rStyle w:val="Hyperlink"/>
            <w:i/>
            <w:iCs/>
          </w:rPr>
          <w:t>11606/15</w:t>
        </w:r>
      </w:hyperlink>
      <w:r>
        <w:t>).</w:t>
      </w:r>
    </w:p>
    <w:p w:rsidR="00DD27DA" w:rsidRDefault="00DD27DA" w:rsidP="00DD27DA">
      <w:pPr>
        <w:rPr>
          <w:iCs/>
        </w:rPr>
      </w:pPr>
      <w:r>
        <w:t>These conclusions are prospective in nature, highlighting the resultant changes e.g. in terms of technology and demographic change. All such changes must also be reflected in EU legislation on health and safety at work in order to ensure decent working conditions for workers.</w:t>
      </w:r>
    </w:p>
    <w:p w:rsidR="00DD27DA" w:rsidRPr="00DD27DA" w:rsidRDefault="00DD27DA" w:rsidP="00DD27DA">
      <w:pPr>
        <w:pStyle w:val="ItemDebated"/>
      </w:pPr>
      <w:bookmarkStart w:id="11" w:name="_Toc435010593"/>
      <w:r w:rsidRPr="00DD27DA">
        <w:t>Re</w:t>
      </w:r>
      <w:r>
        <w:t>l</w:t>
      </w:r>
      <w:r w:rsidRPr="00DD27DA">
        <w:t>aunching the social dialogue</w:t>
      </w:r>
      <w:bookmarkEnd w:id="11"/>
    </w:p>
    <w:p w:rsidR="00DD27DA" w:rsidRDefault="00DD27DA" w:rsidP="00DD27DA">
      <w:r>
        <w:t>The Council took note of the state of play of the work on relaunching the social dialogue at European level, on the basis of information provided by the Commission.</w:t>
      </w:r>
    </w:p>
    <w:p w:rsidR="00DD27DA" w:rsidRDefault="00DD27DA" w:rsidP="00DD27DA">
      <w:r>
        <w:t>The Council was also informed about the tripartite social summit to be held in the margins of the European Council, on the morning of 15 October. The theme this year will be 'Fostering convergence, creating jobs and growth: strengthening the role of the social partners'.</w:t>
      </w:r>
    </w:p>
    <w:p w:rsidR="00DD27DA" w:rsidRPr="00DD27DA" w:rsidRDefault="003B0447" w:rsidP="00DD27DA">
      <w:pPr>
        <w:pStyle w:val="ItemDebated"/>
      </w:pPr>
      <w:r>
        <w:br w:type="page"/>
      </w:r>
      <w:bookmarkStart w:id="12" w:name="_Toc435010594"/>
      <w:r w:rsidR="00DD27DA" w:rsidRPr="00DD27DA">
        <w:lastRenderedPageBreak/>
        <w:t>Any other business</w:t>
      </w:r>
      <w:bookmarkEnd w:id="12"/>
    </w:p>
    <w:p w:rsidR="00DD27DA" w:rsidRPr="00DD27DA" w:rsidRDefault="00DD27DA" w:rsidP="00DD27DA">
      <w:pPr>
        <w:pStyle w:val="Tiret0"/>
      </w:pPr>
      <w:r w:rsidRPr="00DD27DA">
        <w:t xml:space="preserve">The Presidency </w:t>
      </w:r>
      <w:r w:rsidR="009749B1">
        <w:t>briefed</w:t>
      </w:r>
      <w:r w:rsidRPr="00DD27DA">
        <w:t xml:space="preserve"> the Council </w:t>
      </w:r>
      <w:r w:rsidR="009749B1">
        <w:t>on</w:t>
      </w:r>
      <w:r w:rsidRPr="00DD27DA">
        <w:t xml:space="preserve"> the informal meeting of the labour, employment and social affairs ministers of the member states of the euro area held before the formal meeting of the EPSCO Council.</w:t>
      </w:r>
    </w:p>
    <w:p w:rsidR="00DD27DA" w:rsidRDefault="00DD27DA" w:rsidP="00DD27DA">
      <w:pPr>
        <w:pStyle w:val="Tiret0"/>
        <w:rPr>
          <w:rFonts w:asciiTheme="majorBidi" w:hAnsiTheme="majorBidi" w:cstheme="majorBidi"/>
        </w:rPr>
      </w:pPr>
      <w:r>
        <w:rPr>
          <w:rFonts w:asciiTheme="majorBidi" w:hAnsiTheme="majorBidi" w:cstheme="majorBidi"/>
        </w:rPr>
        <w:t xml:space="preserve">The Commission informed the </w:t>
      </w:r>
      <w:r w:rsidRPr="00DD27DA">
        <w:t>Council</w:t>
      </w:r>
      <w:r>
        <w:rPr>
          <w:rFonts w:asciiTheme="majorBidi" w:hAnsiTheme="majorBidi" w:cstheme="majorBidi"/>
        </w:rPr>
        <w:t xml:space="preserve"> </w:t>
      </w:r>
      <w:r w:rsidR="009749B1">
        <w:rPr>
          <w:rFonts w:asciiTheme="majorBidi" w:hAnsiTheme="majorBidi" w:cstheme="majorBidi"/>
        </w:rPr>
        <w:t>of</w:t>
      </w:r>
      <w:r>
        <w:rPr>
          <w:rFonts w:asciiTheme="majorBidi" w:hAnsiTheme="majorBidi" w:cstheme="majorBidi"/>
        </w:rPr>
        <w:t xml:space="preserve"> facts, figures and issues concerning labour mobility.</w:t>
      </w:r>
    </w:p>
    <w:p w:rsidR="00DD27DA" w:rsidRDefault="00DD27DA" w:rsidP="00DD27DA">
      <w:pPr>
        <w:pStyle w:val="Tiret0"/>
        <w:rPr>
          <w:rFonts w:asciiTheme="majorBidi" w:hAnsiTheme="majorBidi" w:cstheme="majorBidi"/>
        </w:rPr>
      </w:pPr>
      <w:r>
        <w:rPr>
          <w:rFonts w:asciiTheme="majorBidi" w:hAnsiTheme="majorBidi" w:cstheme="majorBidi"/>
        </w:rPr>
        <w:t xml:space="preserve">The Presidency </w:t>
      </w:r>
      <w:r w:rsidR="009749B1">
        <w:rPr>
          <w:rFonts w:asciiTheme="majorBidi" w:hAnsiTheme="majorBidi" w:cstheme="majorBidi"/>
        </w:rPr>
        <w:t>briefed</w:t>
      </w:r>
      <w:r>
        <w:rPr>
          <w:rFonts w:asciiTheme="majorBidi" w:hAnsiTheme="majorBidi" w:cstheme="majorBidi"/>
        </w:rPr>
        <w:t xml:space="preserve"> </w:t>
      </w:r>
      <w:r w:rsidRPr="00DD27DA">
        <w:t>ministers</w:t>
      </w:r>
      <w:r>
        <w:rPr>
          <w:rFonts w:asciiTheme="majorBidi" w:hAnsiTheme="majorBidi" w:cstheme="majorBidi"/>
        </w:rPr>
        <w:t xml:space="preserve"> </w:t>
      </w:r>
      <w:r w:rsidR="009749B1">
        <w:rPr>
          <w:rFonts w:asciiTheme="majorBidi" w:hAnsiTheme="majorBidi" w:cstheme="majorBidi"/>
        </w:rPr>
        <w:t>on</w:t>
      </w:r>
      <w:r>
        <w:rPr>
          <w:rFonts w:asciiTheme="majorBidi" w:hAnsiTheme="majorBidi" w:cstheme="majorBidi"/>
        </w:rPr>
        <w:t xml:space="preserve"> the conference 'Working conditions for tomorrow' held in Luxembourg on 10</w:t>
      </w:r>
      <w:r w:rsidR="009A4809">
        <w:rPr>
          <w:rFonts w:asciiTheme="majorBidi" w:hAnsiTheme="majorBidi" w:cstheme="majorBidi"/>
        </w:rPr>
        <w:t xml:space="preserve"> and </w:t>
      </w:r>
      <w:r>
        <w:rPr>
          <w:rFonts w:asciiTheme="majorBidi" w:hAnsiTheme="majorBidi" w:cstheme="majorBidi"/>
        </w:rPr>
        <w:t>11 September 2015.</w:t>
      </w:r>
    </w:p>
    <w:p w:rsidR="00F55163" w:rsidRDefault="00F55163" w:rsidP="00F55163">
      <w:pPr>
        <w:sectPr w:rsidR="00F55163" w:rsidSect="00172CD0">
          <w:footnotePr>
            <w:numRestart w:val="eachPage"/>
          </w:footnotePr>
          <w:pgSz w:w="11907" w:h="16840" w:code="9"/>
          <w:pgMar w:top="1134" w:right="1134" w:bottom="1134" w:left="1134" w:header="567" w:footer="567" w:gutter="0"/>
          <w:cols w:space="708"/>
          <w:docGrid w:linePitch="360"/>
        </w:sectPr>
      </w:pPr>
    </w:p>
    <w:p w:rsidR="00F55163" w:rsidRDefault="00F55163" w:rsidP="00F55163">
      <w:pPr>
        <w:pStyle w:val="ItemsApprovedHeading"/>
      </w:pPr>
      <w:r w:rsidRPr="00F55163">
        <w:lastRenderedPageBreak/>
        <w:t>OTHER ITEMS APPROVED</w:t>
      </w:r>
    </w:p>
    <w:p w:rsidR="00F259B0" w:rsidRPr="002C328B" w:rsidRDefault="00F259B0" w:rsidP="002C328B">
      <w:pPr>
        <w:pStyle w:val="ItemApproved"/>
      </w:pPr>
      <w:r w:rsidRPr="002C328B">
        <w:t>EMPLOYMENT</w:t>
      </w:r>
    </w:p>
    <w:p w:rsidR="00F259B0" w:rsidRPr="002C328B" w:rsidRDefault="00F259B0" w:rsidP="002C328B">
      <w:pPr>
        <w:pStyle w:val="Sub-itemApproved"/>
      </w:pPr>
      <w:bookmarkStart w:id="13" w:name="_Toc435010596"/>
      <w:r w:rsidRPr="002C328B">
        <w:t>Mobilisation of the European Globalisation Adjustment Fund - Belgium, Germany and Italy</w:t>
      </w:r>
      <w:bookmarkEnd w:id="13"/>
    </w:p>
    <w:p w:rsidR="00F259B0" w:rsidRPr="002C328B" w:rsidRDefault="00F259B0" w:rsidP="00F259B0">
      <w:pPr>
        <w:rPr>
          <w:rFonts w:asciiTheme="majorBidi" w:hAnsiTheme="majorBidi" w:cstheme="majorBidi"/>
        </w:rPr>
      </w:pPr>
      <w:r w:rsidRPr="002C328B">
        <w:rPr>
          <w:rFonts w:asciiTheme="majorBidi" w:hAnsiTheme="majorBidi" w:cstheme="majorBidi"/>
        </w:rPr>
        <w:t>The Council adopted the three following decisions mobilising €14.6 million under the European Globalisation Adjustment Fund (EGF), providing support for workers made redundant in Belgium, Germany and Italy:</w:t>
      </w:r>
    </w:p>
    <w:p w:rsidR="00F259B0" w:rsidRPr="002C328B" w:rsidRDefault="00F259B0" w:rsidP="003D7905">
      <w:pPr>
        <w:pStyle w:val="Tiret0"/>
      </w:pPr>
      <w:r w:rsidRPr="002C328B">
        <w:t xml:space="preserve">€6.96 million are </w:t>
      </w:r>
      <w:r w:rsidR="003D7905">
        <w:t xml:space="preserve">being </w:t>
      </w:r>
      <w:r w:rsidRPr="002C328B">
        <w:t xml:space="preserve">paid out of the EGF following the dismissal of 2 881 workers in two German enterprises operating in the motor vehicle, trailer and semi-trailer </w:t>
      </w:r>
      <w:r w:rsidR="003D7905">
        <w:t>manufacturing</w:t>
      </w:r>
      <w:r w:rsidR="003D7905" w:rsidRPr="002C328B">
        <w:t xml:space="preserve"> </w:t>
      </w:r>
      <w:r w:rsidRPr="002C328B">
        <w:t>sector; the redundancies are the result of the continued global financial and economic crisis</w:t>
      </w:r>
    </w:p>
    <w:p w:rsidR="00F259B0" w:rsidRPr="002C328B" w:rsidRDefault="00F259B0" w:rsidP="003D7905">
      <w:pPr>
        <w:pStyle w:val="Tiret0"/>
        <w:rPr>
          <w:rFonts w:asciiTheme="majorBidi" w:hAnsiTheme="majorBidi" w:cstheme="majorBidi"/>
        </w:rPr>
      </w:pPr>
      <w:r w:rsidRPr="002C328B">
        <w:rPr>
          <w:rFonts w:asciiTheme="majorBidi" w:hAnsiTheme="majorBidi" w:cstheme="majorBidi"/>
        </w:rPr>
        <w:t xml:space="preserve">an amount of €6.27 million is </w:t>
      </w:r>
      <w:r w:rsidR="003D7905">
        <w:rPr>
          <w:rFonts w:asciiTheme="majorBidi" w:hAnsiTheme="majorBidi" w:cstheme="majorBidi"/>
        </w:rPr>
        <w:t xml:space="preserve">being </w:t>
      </w:r>
      <w:r w:rsidRPr="002C328B">
        <w:rPr>
          <w:rFonts w:asciiTheme="majorBidi" w:hAnsiTheme="majorBidi" w:cstheme="majorBidi"/>
        </w:rPr>
        <w:t xml:space="preserve">mobilised </w:t>
      </w:r>
      <w:r w:rsidRPr="004C2ED4">
        <w:rPr>
          <w:rFonts w:asciiTheme="majorBidi" w:hAnsiTheme="majorBidi" w:cstheme="majorBidi"/>
        </w:rPr>
        <w:t xml:space="preserve">after </w:t>
      </w:r>
      <w:r w:rsidR="009A4809" w:rsidRPr="004C2ED4">
        <w:rPr>
          <w:rFonts w:asciiTheme="majorBidi" w:hAnsiTheme="majorBidi" w:cstheme="majorBidi"/>
        </w:rPr>
        <w:t xml:space="preserve">the dismissal of </w:t>
      </w:r>
      <w:r w:rsidRPr="004C2ED4">
        <w:rPr>
          <w:rFonts w:asciiTheme="majorBidi" w:hAnsiTheme="majorBidi" w:cstheme="majorBidi"/>
        </w:rPr>
        <w:t>5</w:t>
      </w:r>
      <w:r w:rsidR="003D7905" w:rsidRPr="004C2ED4">
        <w:rPr>
          <w:rFonts w:asciiTheme="majorBidi" w:hAnsiTheme="majorBidi" w:cstheme="majorBidi"/>
        </w:rPr>
        <w:t> </w:t>
      </w:r>
      <w:r w:rsidRPr="004C2ED4">
        <w:rPr>
          <w:rFonts w:asciiTheme="majorBidi" w:hAnsiTheme="majorBidi" w:cstheme="majorBidi"/>
        </w:rPr>
        <w:t>111</w:t>
      </w:r>
      <w:r w:rsidRPr="002C328B">
        <w:rPr>
          <w:rFonts w:asciiTheme="majorBidi" w:hAnsiTheme="majorBidi" w:cstheme="majorBidi"/>
        </w:rPr>
        <w:t xml:space="preserve"> workers of </w:t>
      </w:r>
      <w:r w:rsidR="003D7905">
        <w:rPr>
          <w:rFonts w:asciiTheme="majorBidi" w:hAnsiTheme="majorBidi" w:cstheme="majorBidi"/>
        </w:rPr>
        <w:t>12</w:t>
      </w:r>
      <w:r w:rsidRPr="002C328B">
        <w:rPr>
          <w:rFonts w:asciiTheme="majorBidi" w:hAnsiTheme="majorBidi" w:cstheme="majorBidi"/>
        </w:rPr>
        <w:t xml:space="preserve"> Belgian enterprises operating in the motor </w:t>
      </w:r>
      <w:r w:rsidRPr="002C328B">
        <w:t>vehicle</w:t>
      </w:r>
      <w:r w:rsidRPr="002C328B">
        <w:rPr>
          <w:rFonts w:asciiTheme="majorBidi" w:hAnsiTheme="majorBidi" w:cstheme="majorBidi"/>
        </w:rPr>
        <w:t xml:space="preserve">, trailer and semi-trailer </w:t>
      </w:r>
      <w:r w:rsidR="003D7905">
        <w:rPr>
          <w:rFonts w:asciiTheme="majorBidi" w:hAnsiTheme="majorBidi" w:cstheme="majorBidi"/>
        </w:rPr>
        <w:t>manufacturing</w:t>
      </w:r>
      <w:r w:rsidR="003D7905" w:rsidRPr="002C328B">
        <w:rPr>
          <w:rFonts w:asciiTheme="majorBidi" w:hAnsiTheme="majorBidi" w:cstheme="majorBidi"/>
        </w:rPr>
        <w:t xml:space="preserve"> </w:t>
      </w:r>
      <w:r w:rsidRPr="002C328B">
        <w:rPr>
          <w:rFonts w:asciiTheme="majorBidi" w:hAnsiTheme="majorBidi" w:cstheme="majorBidi"/>
        </w:rPr>
        <w:t xml:space="preserve">sector; the redundancies are the result </w:t>
      </w:r>
      <w:r w:rsidRPr="002C328B">
        <w:rPr>
          <w:rFonts w:asciiTheme="majorBidi" w:hAnsiTheme="majorBidi" w:cstheme="majorBidi"/>
          <w:noProof/>
        </w:rPr>
        <w:t>of continued major structural changes in world trade patterns due to globalisation</w:t>
      </w:r>
    </w:p>
    <w:p w:rsidR="00F259B0" w:rsidRPr="002C328B" w:rsidRDefault="00F259B0" w:rsidP="002C328B">
      <w:pPr>
        <w:pStyle w:val="Tiret0"/>
        <w:rPr>
          <w:rFonts w:asciiTheme="majorBidi" w:hAnsiTheme="majorBidi" w:cstheme="majorBidi"/>
        </w:rPr>
      </w:pPr>
      <w:r w:rsidRPr="002C328B">
        <w:rPr>
          <w:rFonts w:asciiTheme="majorBidi" w:hAnsiTheme="majorBidi" w:cstheme="majorBidi"/>
        </w:rPr>
        <w:t xml:space="preserve">€1.41 million are </w:t>
      </w:r>
      <w:r w:rsidR="00C06347">
        <w:rPr>
          <w:rFonts w:asciiTheme="majorBidi" w:hAnsiTheme="majorBidi" w:cstheme="majorBidi"/>
        </w:rPr>
        <w:t xml:space="preserve">being </w:t>
      </w:r>
      <w:r w:rsidRPr="002C328B">
        <w:rPr>
          <w:rFonts w:asciiTheme="majorBidi" w:hAnsiTheme="majorBidi" w:cstheme="majorBidi"/>
        </w:rPr>
        <w:t xml:space="preserve">deployed </w:t>
      </w:r>
      <w:r w:rsidRPr="002C328B">
        <w:t>following</w:t>
      </w:r>
      <w:r w:rsidRPr="002C328B">
        <w:rPr>
          <w:rFonts w:asciiTheme="majorBidi" w:hAnsiTheme="majorBidi" w:cstheme="majorBidi"/>
        </w:rPr>
        <w:t xml:space="preserve"> 1</w:t>
      </w:r>
      <w:r w:rsidR="00C06347">
        <w:rPr>
          <w:rFonts w:asciiTheme="majorBidi" w:hAnsiTheme="majorBidi" w:cstheme="majorBidi"/>
        </w:rPr>
        <w:t> </w:t>
      </w:r>
      <w:r w:rsidRPr="002C328B">
        <w:rPr>
          <w:rFonts w:asciiTheme="majorBidi" w:hAnsiTheme="majorBidi" w:cstheme="majorBidi"/>
        </w:rPr>
        <w:t xml:space="preserve">249 redundancies in an Italian enterprise operating in the </w:t>
      </w:r>
      <w:r w:rsidR="00C06347">
        <w:rPr>
          <w:rFonts w:asciiTheme="majorBidi" w:hAnsiTheme="majorBidi" w:cstheme="majorBidi"/>
        </w:rPr>
        <w:t>a</w:t>
      </w:r>
      <w:r w:rsidRPr="002C328B">
        <w:rPr>
          <w:rFonts w:asciiTheme="majorBidi" w:hAnsiTheme="majorBidi" w:cstheme="majorBidi"/>
        </w:rPr>
        <w:t>ir transport sector, following important structural changes in world trade patterns caused by globalisation</w:t>
      </w:r>
    </w:p>
    <w:p w:rsidR="00F259B0" w:rsidRPr="002C328B" w:rsidRDefault="00F259B0" w:rsidP="00F259B0">
      <w:pPr>
        <w:ind w:left="360"/>
        <w:rPr>
          <w:rFonts w:asciiTheme="majorBidi" w:hAnsiTheme="majorBidi" w:cstheme="majorBidi"/>
        </w:rPr>
      </w:pPr>
      <w:r w:rsidRPr="002C328B">
        <w:rPr>
          <w:rFonts w:asciiTheme="majorBidi" w:hAnsiTheme="majorBidi" w:cstheme="majorBidi"/>
        </w:rPr>
        <w:t xml:space="preserve">The EGF helps workers to find new jobs and develop new skills when they have lost their jobs as a result of changing global trade patterns, e.g. when a large company shuts down or a factory is moved outside the EU, or as a result of the global financial and economic crisis. The </w:t>
      </w:r>
      <w:r w:rsidR="00C06347">
        <w:rPr>
          <w:rFonts w:asciiTheme="majorBidi" w:hAnsiTheme="majorBidi" w:cstheme="majorBidi"/>
        </w:rPr>
        <w:t>support offer</w:t>
      </w:r>
      <w:r w:rsidR="009A4809">
        <w:rPr>
          <w:rFonts w:asciiTheme="majorBidi" w:hAnsiTheme="majorBidi" w:cstheme="majorBidi"/>
        </w:rPr>
        <w:t>e</w:t>
      </w:r>
      <w:r w:rsidR="00C06347">
        <w:rPr>
          <w:rFonts w:asciiTheme="majorBidi" w:hAnsiTheme="majorBidi" w:cstheme="majorBidi"/>
        </w:rPr>
        <w:t>d by</w:t>
      </w:r>
      <w:r w:rsidRPr="002C328B">
        <w:rPr>
          <w:rFonts w:asciiTheme="majorBidi" w:hAnsiTheme="majorBidi" w:cstheme="majorBidi"/>
        </w:rPr>
        <w:t xml:space="preserve"> the EGF consists in co-financing measures such as job-search assistance, careers advice, tailor-made training and re-training, mentoring and promoting entrepreneurship. It also provides one-off, time-limited individual support, such as job-search allowances, mobility allowances and allowances for participating in lifelong learning and training activities.</w:t>
      </w:r>
    </w:p>
    <w:p w:rsidR="00F259B0" w:rsidRPr="002C328B" w:rsidRDefault="002C328B" w:rsidP="002C328B">
      <w:pPr>
        <w:pStyle w:val="ItemApproved"/>
      </w:pPr>
      <w:r>
        <w:br w:type="page"/>
      </w:r>
      <w:r w:rsidR="00F259B0" w:rsidRPr="002C328B">
        <w:lastRenderedPageBreak/>
        <w:t>SOCIAL POLICY</w:t>
      </w:r>
    </w:p>
    <w:p w:rsidR="00F259B0" w:rsidRPr="002C328B" w:rsidRDefault="00F259B0" w:rsidP="002C328B">
      <w:pPr>
        <w:pStyle w:val="Sub-itemApproved"/>
      </w:pPr>
      <w:bookmarkStart w:id="14" w:name="_Toc435010598"/>
      <w:r w:rsidRPr="002C328B">
        <w:t>Community statistics on income and living conditions</w:t>
      </w:r>
      <w:bookmarkEnd w:id="14"/>
    </w:p>
    <w:p w:rsidR="00F259B0" w:rsidRDefault="00F259B0" w:rsidP="00F259B0">
      <w:pPr>
        <w:pStyle w:val="pointmanual"/>
        <w:spacing w:before="200" w:beforeAutospacing="0" w:after="0" w:afterAutospacing="0"/>
        <w:rPr>
          <w:rFonts w:asciiTheme="majorBidi" w:hAnsiTheme="majorBidi" w:cstheme="majorBidi"/>
        </w:rPr>
      </w:pPr>
      <w:r w:rsidRPr="002C328B">
        <w:rPr>
          <w:rFonts w:asciiTheme="majorBidi" w:hAnsiTheme="majorBidi" w:cstheme="majorBidi"/>
        </w:rPr>
        <w:t>The Council decided not to oppose the adoption of Commission regulation (EU) No …/.. of XXX amending regulation (EC) No 1983/2003 implementing regulation (EC) No 1177/2003 concerning Community statistics on income and living conditions (EU-SILC) as regards the list of target primary variables (</w:t>
      </w:r>
      <w:hyperlink r:id="rId25" w:tooltip="http://data.consilium.europa.eu/doc/document/ST-10948-2015-REV-1/en/pdf" w:history="1">
        <w:r w:rsidR="002C328B">
          <w:rPr>
            <w:rStyle w:val="Hyperlink"/>
            <w:rFonts w:asciiTheme="majorBidi" w:hAnsiTheme="majorBidi" w:cstheme="majorBidi"/>
            <w:i/>
            <w:iCs/>
          </w:rPr>
          <w:t>10948/1/15 REV 1</w:t>
        </w:r>
      </w:hyperlink>
      <w:r w:rsidRPr="002C328B">
        <w:rPr>
          <w:rFonts w:asciiTheme="majorBidi" w:hAnsiTheme="majorBidi" w:cstheme="majorBidi"/>
        </w:rPr>
        <w:t>).</w:t>
      </w:r>
    </w:p>
    <w:p w:rsidR="002B1CE2" w:rsidRPr="002B1CE2" w:rsidRDefault="002B1CE2" w:rsidP="002B1CE2">
      <w:pPr>
        <w:pStyle w:val="ItemApproved"/>
      </w:pPr>
      <w:r w:rsidRPr="002B1CE2">
        <w:t>HEALTH</w:t>
      </w:r>
    </w:p>
    <w:p w:rsidR="002B1CE2" w:rsidRPr="002B1CE2" w:rsidRDefault="002B1CE2" w:rsidP="002B1CE2">
      <w:pPr>
        <w:pStyle w:val="Sub-itemApproved"/>
      </w:pPr>
      <w:bookmarkStart w:id="15" w:name="_Toc435010600"/>
      <w:r w:rsidRPr="002B1CE2">
        <w:t>Medical devices and in vitro diagnostic medical devices</w:t>
      </w:r>
      <w:bookmarkEnd w:id="15"/>
    </w:p>
    <w:p w:rsidR="002B1CE2" w:rsidRDefault="002B1CE2" w:rsidP="002B1CE2">
      <w:r>
        <w:t xml:space="preserve">The Council endorsed its negotiating position on </w:t>
      </w:r>
      <w:r w:rsidRPr="003070F9">
        <w:t xml:space="preserve">two draft regulations aimed at </w:t>
      </w:r>
      <w:r>
        <w:t xml:space="preserve">ensuring that medical devices and in vitro diagnostic medical devices are safe and of high quality. It herewith confirmed an agreement of the Council's Permanent Representatives Committee of 23 September 2015. The Council's decision </w:t>
      </w:r>
      <w:r w:rsidRPr="003070F9">
        <w:t>allows the Luxembourg presidency to start talks with the European Parliament with a view to reach</w:t>
      </w:r>
      <w:r w:rsidR="00C06347">
        <w:t>ing</w:t>
      </w:r>
      <w:r w:rsidRPr="003070F9">
        <w:t xml:space="preserve"> an </w:t>
      </w:r>
      <w:r>
        <w:t xml:space="preserve">agreement as </w:t>
      </w:r>
      <w:r w:rsidR="00C06347">
        <w:t>soon</w:t>
      </w:r>
      <w:r>
        <w:t xml:space="preserve"> as possible.</w:t>
      </w:r>
    </w:p>
    <w:p w:rsidR="002B1CE2" w:rsidRDefault="00172CD0" w:rsidP="002B1CE2">
      <w:hyperlink r:id="rId26" w:history="1">
        <w:r w:rsidR="002B1CE2" w:rsidRPr="002B1CE2">
          <w:rPr>
            <w:rStyle w:val="Hyperlink"/>
          </w:rPr>
          <w:t>Press release of 23 September 2015</w:t>
        </w:r>
      </w:hyperlink>
    </w:p>
    <w:p w:rsidR="00F259B0" w:rsidRPr="002B1CE2" w:rsidRDefault="00F259B0" w:rsidP="002B1CE2">
      <w:pPr>
        <w:pStyle w:val="ItemApproved"/>
      </w:pPr>
      <w:r w:rsidRPr="002B1CE2">
        <w:t>FOREIGN POLICY</w:t>
      </w:r>
    </w:p>
    <w:p w:rsidR="00F259B0" w:rsidRPr="002C328B" w:rsidRDefault="00F259B0" w:rsidP="002C328B">
      <w:pPr>
        <w:pStyle w:val="Sub-itemApproved"/>
      </w:pPr>
      <w:bookmarkStart w:id="16" w:name="_Toc435010602"/>
      <w:r w:rsidRPr="002C328B">
        <w:t>Restrictive measures directed against certain persons, entities and bodies in view of the situation in Ukraine</w:t>
      </w:r>
      <w:bookmarkEnd w:id="16"/>
    </w:p>
    <w:p w:rsidR="00F259B0" w:rsidRPr="002C328B" w:rsidRDefault="00F259B0" w:rsidP="00F259B0">
      <w:pPr>
        <w:rPr>
          <w:rFonts w:asciiTheme="majorBidi" w:hAnsiTheme="majorBidi" w:cstheme="majorBidi"/>
        </w:rPr>
      </w:pPr>
      <w:r w:rsidRPr="002C328B">
        <w:rPr>
          <w:rFonts w:asciiTheme="majorBidi" w:hAnsiTheme="majorBidi" w:cstheme="majorBidi"/>
        </w:rPr>
        <w:t>The Council extended the visa ban and the asset freeze applying to one person subject to restrictive measures in view of the situation in Ukraine for five months, until 6 March 2015. The Council also updated the statement of reasons for listing relating to this person. Details are published in the Official Journal of 6 October 2015.</w:t>
      </w:r>
    </w:p>
    <w:p w:rsidR="00F259B0" w:rsidRPr="002C328B" w:rsidRDefault="00F259B0" w:rsidP="002C328B">
      <w:pPr>
        <w:pStyle w:val="Sub-itemApproved"/>
      </w:pPr>
      <w:bookmarkStart w:id="17" w:name="_Toc435010603"/>
      <w:r w:rsidRPr="002C328B">
        <w:t>Restrictive measures in view of the situation in Liberia</w:t>
      </w:r>
      <w:bookmarkEnd w:id="17"/>
    </w:p>
    <w:p w:rsidR="00F259B0" w:rsidRPr="002C328B" w:rsidRDefault="00F259B0" w:rsidP="00F259B0">
      <w:pPr>
        <w:rPr>
          <w:rFonts w:asciiTheme="majorBidi" w:hAnsiTheme="majorBidi" w:cstheme="majorBidi"/>
        </w:rPr>
      </w:pPr>
      <w:r w:rsidRPr="002C328B">
        <w:rPr>
          <w:rFonts w:asciiTheme="majorBidi" w:hAnsiTheme="majorBidi" w:cstheme="majorBidi"/>
        </w:rPr>
        <w:t>The Council amended the restrictive measures in view of the situation in Liberia to implement UN Security Council resolution 2237 (2015) of 2 September 2015. The travel and financial measures applying to all non-governmental entities and individuals operating in Liberia are terminated while the arm</w:t>
      </w:r>
      <w:r w:rsidR="00C06347">
        <w:rPr>
          <w:rFonts w:asciiTheme="majorBidi" w:hAnsiTheme="majorBidi" w:cstheme="majorBidi"/>
        </w:rPr>
        <w:t>s</w:t>
      </w:r>
      <w:r w:rsidRPr="002C328B">
        <w:rPr>
          <w:rFonts w:asciiTheme="majorBidi" w:hAnsiTheme="majorBidi" w:cstheme="majorBidi"/>
        </w:rPr>
        <w:t xml:space="preserve"> embargo is extended until 2 June 2016.</w:t>
      </w:r>
    </w:p>
    <w:p w:rsidR="00F259B0" w:rsidRPr="002C328B" w:rsidRDefault="00F259B0" w:rsidP="002C328B">
      <w:pPr>
        <w:pStyle w:val="ItemApproved"/>
      </w:pPr>
      <w:r w:rsidRPr="002C328B">
        <w:lastRenderedPageBreak/>
        <w:t>COMMON SECURITY AND DEFEN</w:t>
      </w:r>
      <w:r w:rsidR="00C06347">
        <w:t>C</w:t>
      </w:r>
      <w:r w:rsidRPr="002C328B">
        <w:t>E POLICY</w:t>
      </w:r>
    </w:p>
    <w:p w:rsidR="00F259B0" w:rsidRPr="002C328B" w:rsidRDefault="00F259B0" w:rsidP="002C328B">
      <w:pPr>
        <w:pStyle w:val="Sub-itemApproved"/>
      </w:pPr>
      <w:bookmarkStart w:id="18" w:name="_Toc435010605"/>
      <w:r w:rsidRPr="002C328B">
        <w:t>EUCAP Sahel Niger: Council nearly doubles mission's annual budget</w:t>
      </w:r>
      <w:bookmarkEnd w:id="18"/>
    </w:p>
    <w:p w:rsidR="00F259B0" w:rsidRPr="002C328B" w:rsidRDefault="00F259B0" w:rsidP="00F259B0">
      <w:pPr>
        <w:rPr>
          <w:rFonts w:asciiTheme="majorBidi" w:hAnsiTheme="majorBidi" w:cstheme="majorBidi"/>
        </w:rPr>
      </w:pPr>
      <w:r w:rsidRPr="002C328B">
        <w:rPr>
          <w:rFonts w:asciiTheme="majorBidi" w:hAnsiTheme="majorBidi" w:cstheme="majorBidi"/>
        </w:rPr>
        <w:t xml:space="preserve">The Council increased the budget of the EU civilian mission in Niger (EUCAP Sahel Niger) from </w:t>
      </w:r>
      <w:r w:rsidR="001A0E73">
        <w:rPr>
          <w:rFonts w:asciiTheme="majorBidi" w:hAnsiTheme="majorBidi" w:cstheme="majorBidi"/>
        </w:rPr>
        <w:t>€</w:t>
      </w:r>
      <w:r w:rsidRPr="002C328B">
        <w:rPr>
          <w:rFonts w:asciiTheme="majorBidi" w:hAnsiTheme="majorBidi" w:cstheme="majorBidi"/>
        </w:rPr>
        <w:t xml:space="preserve">9.8 million to </w:t>
      </w:r>
      <w:r w:rsidR="001A0E73">
        <w:rPr>
          <w:rFonts w:asciiTheme="majorBidi" w:hAnsiTheme="majorBidi" w:cstheme="majorBidi"/>
        </w:rPr>
        <w:t>€</w:t>
      </w:r>
      <w:r w:rsidRPr="002C328B">
        <w:rPr>
          <w:rFonts w:asciiTheme="majorBidi" w:hAnsiTheme="majorBidi" w:cstheme="majorBidi"/>
        </w:rPr>
        <w:t>18.4 million for the period 16 July 2015-15 July 2016.</w:t>
      </w:r>
    </w:p>
    <w:p w:rsidR="00F259B0" w:rsidRPr="002C328B" w:rsidRDefault="002C328B" w:rsidP="002C328B">
      <w:pPr>
        <w:rPr>
          <w:rFonts w:asciiTheme="majorBidi" w:hAnsiTheme="majorBidi" w:cstheme="majorBidi"/>
        </w:rPr>
      </w:pPr>
      <w:r>
        <w:rPr>
          <w:rFonts w:asciiTheme="majorBidi" w:hAnsiTheme="majorBidi" w:cstheme="majorBidi"/>
        </w:rPr>
        <w:t xml:space="preserve">Press release </w:t>
      </w:r>
      <w:hyperlink r:id="rId27" w:history="1">
        <w:r w:rsidR="00F259B0" w:rsidRPr="002C328B">
          <w:rPr>
            <w:rStyle w:val="Hyperlink"/>
            <w:rFonts w:asciiTheme="majorBidi" w:hAnsiTheme="majorBidi" w:cstheme="majorBidi"/>
          </w:rPr>
          <w:t xml:space="preserve">EUCAP Sahel Niger: Council nearly </w:t>
        </w:r>
        <w:r w:rsidRPr="002C328B">
          <w:rPr>
            <w:rStyle w:val="Hyperlink"/>
            <w:rFonts w:asciiTheme="majorBidi" w:hAnsiTheme="majorBidi" w:cstheme="majorBidi"/>
          </w:rPr>
          <w:t>doubles mission's annual budget</w:t>
        </w:r>
      </w:hyperlink>
    </w:p>
    <w:p w:rsidR="00F259B0" w:rsidRPr="002C328B" w:rsidRDefault="00F259B0" w:rsidP="002C328B">
      <w:pPr>
        <w:pStyle w:val="ItemApproved"/>
      </w:pPr>
      <w:r w:rsidRPr="002C328B">
        <w:t>ENLARGEMENT</w:t>
      </w:r>
    </w:p>
    <w:p w:rsidR="00F259B0" w:rsidRPr="002C328B" w:rsidRDefault="00F259B0" w:rsidP="002C328B">
      <w:pPr>
        <w:pStyle w:val="Sub-itemApproved"/>
      </w:pPr>
      <w:bookmarkStart w:id="19" w:name="_Toc435010607"/>
      <w:r w:rsidRPr="002C328B">
        <w:t>Stabilisation and Association Council with Bosnia and Herzegovina - Rules of procedure</w:t>
      </w:r>
      <w:bookmarkEnd w:id="19"/>
    </w:p>
    <w:p w:rsidR="00F259B0" w:rsidRPr="002C328B" w:rsidRDefault="00F259B0" w:rsidP="00F259B0">
      <w:pPr>
        <w:rPr>
          <w:rFonts w:asciiTheme="majorBidi" w:hAnsiTheme="majorBidi" w:cstheme="majorBidi"/>
          <w:noProof/>
        </w:rPr>
      </w:pPr>
      <w:r w:rsidRPr="002C328B">
        <w:rPr>
          <w:rFonts w:asciiTheme="majorBidi" w:hAnsiTheme="majorBidi" w:cstheme="majorBidi"/>
        </w:rPr>
        <w:t>The Council adopted the EU</w:t>
      </w:r>
      <w:r w:rsidRPr="002C328B">
        <w:rPr>
          <w:rFonts w:asciiTheme="majorBidi" w:hAnsiTheme="majorBidi" w:cstheme="majorBidi"/>
          <w:noProof/>
        </w:rPr>
        <w:t xml:space="preserve"> position to be taken within the Stabilisation and Association Council established between the European Union and Bosnia and Herzegovina on the rules of procedure of this Stabilisation and Association Council.</w:t>
      </w:r>
    </w:p>
    <w:p w:rsidR="00F259B0" w:rsidRPr="002C328B" w:rsidRDefault="00F259B0" w:rsidP="002C328B">
      <w:pPr>
        <w:pStyle w:val="ItemApproved"/>
      </w:pPr>
      <w:r w:rsidRPr="002C328B">
        <w:t>FISHERIES</w:t>
      </w:r>
    </w:p>
    <w:p w:rsidR="00F259B0" w:rsidRPr="002C328B" w:rsidRDefault="00F259B0" w:rsidP="002C328B">
      <w:pPr>
        <w:pStyle w:val="Sub-itemApproved"/>
      </w:pPr>
      <w:bookmarkStart w:id="20" w:name="_Toc435010609"/>
      <w:r w:rsidRPr="002C328B">
        <w:t>Partnership agreement between EU and Cape Verde - Conclusion of the protocol</w:t>
      </w:r>
      <w:bookmarkEnd w:id="20"/>
    </w:p>
    <w:p w:rsidR="00F259B0" w:rsidRPr="002C328B" w:rsidRDefault="00F259B0" w:rsidP="00F259B0">
      <w:pPr>
        <w:rPr>
          <w:rFonts w:asciiTheme="majorBidi" w:hAnsiTheme="majorBidi" w:cstheme="majorBidi"/>
          <w:noProof/>
        </w:rPr>
      </w:pPr>
      <w:r w:rsidRPr="002C328B">
        <w:rPr>
          <w:rFonts w:asciiTheme="majorBidi" w:hAnsiTheme="majorBidi" w:cstheme="majorBidi"/>
        </w:rPr>
        <w:t xml:space="preserve">The Council adopted a decision on the conclusion of the protocol setting out the fishing opportunities and the financial contribution provided for by the fisheries partnership agreement (FPA) between the EU and the Republic of Cape Verde </w:t>
      </w:r>
      <w:r w:rsidRPr="002C328B">
        <w:rPr>
          <w:rFonts w:asciiTheme="majorBidi" w:hAnsiTheme="majorBidi" w:cstheme="majorBidi"/>
          <w:noProof/>
        </w:rPr>
        <w:t>(</w:t>
      </w:r>
      <w:hyperlink r:id="rId28" w:tooltip="http://data.consilium.europa.eu/doc/document/ST-15848-2014-INIT/en/pdf" w:history="1">
        <w:r w:rsidR="002C328B">
          <w:rPr>
            <w:rStyle w:val="Hyperlink"/>
            <w:rFonts w:asciiTheme="majorBidi" w:hAnsiTheme="majorBidi" w:cstheme="majorBidi"/>
            <w:i/>
            <w:iCs/>
          </w:rPr>
          <w:t>15848/14</w:t>
        </w:r>
      </w:hyperlink>
      <w:r w:rsidRPr="002C328B">
        <w:rPr>
          <w:rFonts w:asciiTheme="majorBidi" w:hAnsiTheme="majorBidi" w:cstheme="majorBidi"/>
          <w:noProof/>
        </w:rPr>
        <w:t>).</w:t>
      </w:r>
    </w:p>
    <w:p w:rsidR="00F259B0" w:rsidRPr="002C328B" w:rsidRDefault="00F259B0" w:rsidP="00F259B0">
      <w:pPr>
        <w:rPr>
          <w:rFonts w:asciiTheme="majorBidi" w:hAnsiTheme="majorBidi" w:cstheme="majorBidi"/>
          <w:noProof/>
        </w:rPr>
      </w:pPr>
      <w:r w:rsidRPr="002C328B">
        <w:rPr>
          <w:rFonts w:asciiTheme="majorBidi" w:hAnsiTheme="majorBidi" w:cstheme="majorBidi"/>
          <w:noProof/>
        </w:rPr>
        <w:t xml:space="preserve">The FPA in the fisheries sector between the EU and </w:t>
      </w:r>
      <w:r w:rsidRPr="002C328B">
        <w:rPr>
          <w:rFonts w:asciiTheme="majorBidi" w:hAnsiTheme="majorBidi" w:cstheme="majorBidi"/>
        </w:rPr>
        <w:t xml:space="preserve">Cape Verde </w:t>
      </w:r>
      <w:r w:rsidRPr="002C328B">
        <w:rPr>
          <w:rFonts w:asciiTheme="majorBidi" w:hAnsiTheme="majorBidi" w:cstheme="majorBidi"/>
          <w:noProof/>
        </w:rPr>
        <w:t xml:space="preserve">was concluded in 2006 and is a tuna fishery agreement. Following the negotiations, a new protocol to the FPA was signed by the Council and </w:t>
      </w:r>
      <w:r w:rsidRPr="002C328B">
        <w:rPr>
          <w:rFonts w:asciiTheme="majorBidi" w:hAnsiTheme="majorBidi" w:cstheme="majorBidi"/>
        </w:rPr>
        <w:t xml:space="preserve">Cape Verde </w:t>
      </w:r>
      <w:r w:rsidRPr="002C328B">
        <w:rPr>
          <w:rFonts w:asciiTheme="majorBidi" w:hAnsiTheme="majorBidi" w:cstheme="majorBidi"/>
          <w:noProof/>
        </w:rPr>
        <w:t xml:space="preserve">on 23 December 2014. </w:t>
      </w:r>
      <w:r w:rsidRPr="002C328B">
        <w:rPr>
          <w:rFonts w:asciiTheme="majorBidi" w:hAnsiTheme="majorBidi" w:cstheme="majorBidi"/>
        </w:rPr>
        <w:t xml:space="preserve">In order to allow EU vessels to carry out fishing activities, the new protocol </w:t>
      </w:r>
      <w:r w:rsidR="001A0E73">
        <w:rPr>
          <w:rFonts w:asciiTheme="majorBidi" w:hAnsiTheme="majorBidi" w:cstheme="majorBidi"/>
        </w:rPr>
        <w:t xml:space="preserve">had </w:t>
      </w:r>
      <w:r w:rsidRPr="002C328B">
        <w:rPr>
          <w:rFonts w:asciiTheme="majorBidi" w:hAnsiTheme="majorBidi" w:cstheme="majorBidi"/>
        </w:rPr>
        <w:t>applied on a provisional basis since th</w:t>
      </w:r>
      <w:r w:rsidR="001A0E73">
        <w:rPr>
          <w:rFonts w:asciiTheme="majorBidi" w:hAnsiTheme="majorBidi" w:cstheme="majorBidi"/>
        </w:rPr>
        <w:t>at</w:t>
      </w:r>
      <w:r w:rsidRPr="002C328B">
        <w:rPr>
          <w:rFonts w:asciiTheme="majorBidi" w:hAnsiTheme="majorBidi" w:cstheme="majorBidi"/>
        </w:rPr>
        <w:t xml:space="preserve"> date, pending the completion of the procedures for its formal conclusion. </w:t>
      </w:r>
      <w:r w:rsidRPr="002C328B">
        <w:rPr>
          <w:rFonts w:asciiTheme="majorBidi" w:hAnsiTheme="majorBidi" w:cstheme="majorBidi"/>
          <w:noProof/>
        </w:rPr>
        <w:t xml:space="preserve">The new protocol is established for a period of </w:t>
      </w:r>
      <w:r w:rsidR="001A0E73">
        <w:rPr>
          <w:rFonts w:asciiTheme="majorBidi" w:hAnsiTheme="majorBidi" w:cstheme="majorBidi"/>
          <w:noProof/>
        </w:rPr>
        <w:t>four</w:t>
      </w:r>
      <w:r w:rsidRPr="002C328B">
        <w:rPr>
          <w:rFonts w:asciiTheme="majorBidi" w:hAnsiTheme="majorBidi" w:cstheme="majorBidi"/>
          <w:noProof/>
        </w:rPr>
        <w:t xml:space="preserve"> years. </w:t>
      </w:r>
      <w:r w:rsidRPr="002C328B">
        <w:rPr>
          <w:rFonts w:asciiTheme="majorBidi" w:hAnsiTheme="majorBidi" w:cstheme="majorBidi"/>
        </w:rPr>
        <w:t>The European Parliament gave its consent on the conclusion of this protocol on 9 September 2015.</w:t>
      </w:r>
    </w:p>
    <w:p w:rsidR="00F259B0" w:rsidRPr="002C328B" w:rsidRDefault="002B1CE2" w:rsidP="002C328B">
      <w:pPr>
        <w:pStyle w:val="Sub-itemApproved"/>
      </w:pPr>
      <w:r>
        <w:br w:type="page"/>
      </w:r>
      <w:bookmarkStart w:id="21" w:name="_Toc435010610"/>
      <w:bookmarkStart w:id="22" w:name="ControlPages"/>
      <w:bookmarkEnd w:id="22"/>
      <w:r w:rsidR="00F259B0" w:rsidRPr="002C328B">
        <w:lastRenderedPageBreak/>
        <w:t>Partnership agreement between EU and Madagascar - Conclusion of the protocol</w:t>
      </w:r>
      <w:bookmarkEnd w:id="21"/>
    </w:p>
    <w:p w:rsidR="00F259B0" w:rsidRPr="002C328B" w:rsidRDefault="00F259B0" w:rsidP="00F259B0">
      <w:pPr>
        <w:rPr>
          <w:rFonts w:asciiTheme="majorBidi" w:hAnsiTheme="majorBidi" w:cstheme="majorBidi"/>
          <w:noProof/>
        </w:rPr>
      </w:pPr>
      <w:r w:rsidRPr="002C328B">
        <w:rPr>
          <w:rFonts w:asciiTheme="majorBidi" w:hAnsiTheme="majorBidi" w:cstheme="majorBidi"/>
        </w:rPr>
        <w:t xml:space="preserve">The Council adopted a decision on the conclusion of the protocol setting out the fishing opportunities and the financial contribution provided for by the FPA between the EU and the Republic of Madagascar </w:t>
      </w:r>
      <w:r w:rsidRPr="002C328B">
        <w:rPr>
          <w:rFonts w:asciiTheme="majorBidi" w:hAnsiTheme="majorBidi" w:cstheme="majorBidi"/>
          <w:noProof/>
        </w:rPr>
        <w:t>(</w:t>
      </w:r>
      <w:hyperlink r:id="rId29" w:tooltip="http://data.consilium.europa.eu/doc/document/ST-15225-2014-INIT/en/pdf" w:history="1">
        <w:r w:rsidR="002C328B">
          <w:rPr>
            <w:rStyle w:val="Hyperlink"/>
            <w:rFonts w:asciiTheme="majorBidi" w:hAnsiTheme="majorBidi" w:cstheme="majorBidi"/>
            <w:i/>
            <w:iCs/>
          </w:rPr>
          <w:t>15225/14</w:t>
        </w:r>
      </w:hyperlink>
      <w:r w:rsidRPr="002C328B">
        <w:rPr>
          <w:rFonts w:asciiTheme="majorBidi" w:hAnsiTheme="majorBidi" w:cstheme="majorBidi"/>
          <w:noProof/>
        </w:rPr>
        <w:t>).</w:t>
      </w:r>
    </w:p>
    <w:p w:rsidR="00F259B0" w:rsidRPr="002C328B" w:rsidRDefault="00F259B0" w:rsidP="00F259B0">
      <w:pPr>
        <w:rPr>
          <w:rFonts w:asciiTheme="majorBidi" w:hAnsiTheme="majorBidi" w:cstheme="majorBidi"/>
          <w:noProof/>
        </w:rPr>
      </w:pPr>
      <w:r w:rsidRPr="002C328B">
        <w:rPr>
          <w:rFonts w:asciiTheme="majorBidi" w:hAnsiTheme="majorBidi" w:cstheme="majorBidi"/>
          <w:noProof/>
        </w:rPr>
        <w:t xml:space="preserve">The FPA in the fisheries sector between the EU and </w:t>
      </w:r>
      <w:r w:rsidRPr="002C328B">
        <w:rPr>
          <w:rFonts w:asciiTheme="majorBidi" w:hAnsiTheme="majorBidi" w:cstheme="majorBidi"/>
        </w:rPr>
        <w:t xml:space="preserve">Madagascar </w:t>
      </w:r>
      <w:r w:rsidRPr="002C328B">
        <w:rPr>
          <w:rFonts w:asciiTheme="majorBidi" w:hAnsiTheme="majorBidi" w:cstheme="majorBidi"/>
          <w:noProof/>
        </w:rPr>
        <w:t xml:space="preserve">was concluded in 2007 and is a tuna fishery agreement. Following the negotiations, a new protocol to the FPA was signed by the Council and </w:t>
      </w:r>
      <w:r w:rsidRPr="002C328B">
        <w:rPr>
          <w:rFonts w:asciiTheme="majorBidi" w:hAnsiTheme="majorBidi" w:cstheme="majorBidi"/>
        </w:rPr>
        <w:t xml:space="preserve">Madagascar </w:t>
      </w:r>
      <w:r w:rsidRPr="002C328B">
        <w:rPr>
          <w:rFonts w:asciiTheme="majorBidi" w:hAnsiTheme="majorBidi" w:cstheme="majorBidi"/>
          <w:noProof/>
        </w:rPr>
        <w:t xml:space="preserve">on 23 December 2014. </w:t>
      </w:r>
      <w:r w:rsidRPr="002C328B">
        <w:rPr>
          <w:rFonts w:asciiTheme="majorBidi" w:hAnsiTheme="majorBidi" w:cstheme="majorBidi"/>
        </w:rPr>
        <w:t xml:space="preserve">In order to allow EU vessels to carry out fishing activities, the new protocol </w:t>
      </w:r>
      <w:r w:rsidR="001D07FD">
        <w:rPr>
          <w:rFonts w:asciiTheme="majorBidi" w:hAnsiTheme="majorBidi" w:cstheme="majorBidi"/>
        </w:rPr>
        <w:t xml:space="preserve">had </w:t>
      </w:r>
      <w:r w:rsidRPr="002C328B">
        <w:rPr>
          <w:rFonts w:asciiTheme="majorBidi" w:hAnsiTheme="majorBidi" w:cstheme="majorBidi"/>
        </w:rPr>
        <w:t xml:space="preserve">applied on a provisional basis since 1 January 2015, pending the completion of the procedures for its formal conclusion. </w:t>
      </w:r>
      <w:r w:rsidRPr="002C328B">
        <w:rPr>
          <w:rFonts w:asciiTheme="majorBidi" w:hAnsiTheme="majorBidi" w:cstheme="majorBidi"/>
          <w:noProof/>
        </w:rPr>
        <w:t xml:space="preserve">The new protocol is established for a period of </w:t>
      </w:r>
      <w:r w:rsidR="001D07FD">
        <w:rPr>
          <w:rFonts w:asciiTheme="majorBidi" w:hAnsiTheme="majorBidi" w:cstheme="majorBidi"/>
          <w:noProof/>
        </w:rPr>
        <w:t>four</w:t>
      </w:r>
      <w:r w:rsidRPr="002C328B">
        <w:rPr>
          <w:rFonts w:asciiTheme="majorBidi" w:hAnsiTheme="majorBidi" w:cstheme="majorBidi"/>
          <w:noProof/>
        </w:rPr>
        <w:t xml:space="preserve"> years. </w:t>
      </w:r>
      <w:r w:rsidRPr="002C328B">
        <w:rPr>
          <w:rFonts w:asciiTheme="majorBidi" w:hAnsiTheme="majorBidi" w:cstheme="majorBidi"/>
        </w:rPr>
        <w:t>The European Parliament gave its consent on the conclusion of this protocol on 9 September 2015.</w:t>
      </w:r>
    </w:p>
    <w:p w:rsidR="00F259B0" w:rsidRPr="002C328B" w:rsidRDefault="00F259B0" w:rsidP="002C328B">
      <w:pPr>
        <w:pStyle w:val="Sub-itemApproved"/>
      </w:pPr>
      <w:bookmarkStart w:id="23" w:name="_Toc435010611"/>
      <w:r w:rsidRPr="002C328B">
        <w:t>Partnership agreement between EU and Guinea Bissau - Conclusion of the protocol</w:t>
      </w:r>
      <w:bookmarkEnd w:id="23"/>
    </w:p>
    <w:p w:rsidR="00F259B0" w:rsidRPr="002C328B" w:rsidRDefault="00F259B0" w:rsidP="00F259B0">
      <w:pPr>
        <w:rPr>
          <w:rFonts w:asciiTheme="majorBidi" w:hAnsiTheme="majorBidi" w:cstheme="majorBidi"/>
          <w:noProof/>
        </w:rPr>
      </w:pPr>
      <w:r w:rsidRPr="002C328B">
        <w:rPr>
          <w:rFonts w:asciiTheme="majorBidi" w:hAnsiTheme="majorBidi" w:cstheme="majorBidi"/>
        </w:rPr>
        <w:t xml:space="preserve">The Council adopted a decision on the conclusion of the protocol setting out the fishing opportunities and the financial contribution provided for by the FPA between the EU and the Republic of Guinea Bissau </w:t>
      </w:r>
      <w:r w:rsidRPr="002C328B">
        <w:rPr>
          <w:rFonts w:asciiTheme="majorBidi" w:hAnsiTheme="majorBidi" w:cstheme="majorBidi"/>
          <w:noProof/>
        </w:rPr>
        <w:t>(</w:t>
      </w:r>
      <w:hyperlink r:id="rId30" w:tooltip="http://data.consilium.europa.eu/doc/document/ST-11667-2012-INIT/en/pdf" w:history="1">
        <w:r w:rsidR="002C328B" w:rsidRPr="002C328B">
          <w:rPr>
            <w:rStyle w:val="Hyperlink"/>
            <w:rFonts w:asciiTheme="majorBidi" w:hAnsiTheme="majorBidi" w:cstheme="majorBidi"/>
            <w:i/>
            <w:iCs/>
          </w:rPr>
          <w:t>11667/12</w:t>
        </w:r>
      </w:hyperlink>
      <w:r w:rsidRPr="002C328B">
        <w:rPr>
          <w:rFonts w:asciiTheme="majorBidi" w:hAnsiTheme="majorBidi" w:cstheme="majorBidi"/>
          <w:noProof/>
        </w:rPr>
        <w:t>).</w:t>
      </w:r>
    </w:p>
    <w:p w:rsidR="00F259B0" w:rsidRPr="002C328B" w:rsidRDefault="00F259B0" w:rsidP="00F259B0">
      <w:pPr>
        <w:rPr>
          <w:rFonts w:asciiTheme="majorBidi" w:hAnsiTheme="majorBidi" w:cstheme="majorBidi"/>
          <w:noProof/>
        </w:rPr>
      </w:pPr>
      <w:r w:rsidRPr="002C328B">
        <w:rPr>
          <w:rFonts w:asciiTheme="majorBidi" w:hAnsiTheme="majorBidi" w:cstheme="majorBidi"/>
          <w:noProof/>
        </w:rPr>
        <w:t xml:space="preserve">The FPA in the fisheries sector between the EU and </w:t>
      </w:r>
      <w:r w:rsidRPr="002C328B">
        <w:rPr>
          <w:rFonts w:asciiTheme="majorBidi" w:hAnsiTheme="majorBidi" w:cstheme="majorBidi"/>
        </w:rPr>
        <w:t xml:space="preserve">Guinea Bissau </w:t>
      </w:r>
      <w:r w:rsidRPr="002C328B">
        <w:rPr>
          <w:rFonts w:asciiTheme="majorBidi" w:hAnsiTheme="majorBidi" w:cstheme="majorBidi"/>
          <w:noProof/>
        </w:rPr>
        <w:t xml:space="preserve">was concluded in 2007 and is a multi-species agreement. Following the negotiations, a new protocol to the FPA was signed by the Council and </w:t>
      </w:r>
      <w:r w:rsidRPr="002C328B">
        <w:rPr>
          <w:rFonts w:asciiTheme="majorBidi" w:hAnsiTheme="majorBidi" w:cstheme="majorBidi"/>
        </w:rPr>
        <w:t xml:space="preserve">Guinea Bissau </w:t>
      </w:r>
      <w:r w:rsidRPr="002C328B">
        <w:rPr>
          <w:rFonts w:asciiTheme="majorBidi" w:hAnsiTheme="majorBidi" w:cstheme="majorBidi"/>
          <w:noProof/>
        </w:rPr>
        <w:t xml:space="preserve">on 24 November 2014. </w:t>
      </w:r>
      <w:r w:rsidRPr="002C328B">
        <w:rPr>
          <w:rFonts w:asciiTheme="majorBidi" w:hAnsiTheme="majorBidi" w:cstheme="majorBidi"/>
        </w:rPr>
        <w:t xml:space="preserve">In order to allow EU vessels to carry out fishing activities, the new protocol </w:t>
      </w:r>
      <w:r w:rsidR="001D07FD">
        <w:rPr>
          <w:rFonts w:asciiTheme="majorBidi" w:hAnsiTheme="majorBidi" w:cstheme="majorBidi"/>
        </w:rPr>
        <w:t xml:space="preserve">had </w:t>
      </w:r>
      <w:r w:rsidRPr="002C328B">
        <w:rPr>
          <w:rFonts w:asciiTheme="majorBidi" w:hAnsiTheme="majorBidi" w:cstheme="majorBidi"/>
        </w:rPr>
        <w:t>applied on a provisional basis since th</w:t>
      </w:r>
      <w:r w:rsidR="001D07FD">
        <w:rPr>
          <w:rFonts w:asciiTheme="majorBidi" w:hAnsiTheme="majorBidi" w:cstheme="majorBidi"/>
        </w:rPr>
        <w:t>at</w:t>
      </w:r>
      <w:r w:rsidRPr="002C328B">
        <w:rPr>
          <w:rFonts w:asciiTheme="majorBidi" w:hAnsiTheme="majorBidi" w:cstheme="majorBidi"/>
        </w:rPr>
        <w:t xml:space="preserve"> date, pending the completion of the procedures for its formal conclusion. </w:t>
      </w:r>
      <w:r w:rsidRPr="002C328B">
        <w:rPr>
          <w:rFonts w:asciiTheme="majorBidi" w:hAnsiTheme="majorBidi" w:cstheme="majorBidi"/>
          <w:noProof/>
        </w:rPr>
        <w:t xml:space="preserve">The new protocol is established for a period of </w:t>
      </w:r>
      <w:r w:rsidR="001D07FD">
        <w:rPr>
          <w:rFonts w:asciiTheme="majorBidi" w:hAnsiTheme="majorBidi" w:cstheme="majorBidi"/>
          <w:noProof/>
        </w:rPr>
        <w:t>three</w:t>
      </w:r>
      <w:r w:rsidRPr="002C328B">
        <w:rPr>
          <w:rFonts w:asciiTheme="majorBidi" w:hAnsiTheme="majorBidi" w:cstheme="majorBidi"/>
          <w:noProof/>
        </w:rPr>
        <w:t xml:space="preserve"> years. </w:t>
      </w:r>
      <w:r w:rsidRPr="002C328B">
        <w:rPr>
          <w:rFonts w:asciiTheme="majorBidi" w:hAnsiTheme="majorBidi" w:cstheme="majorBidi"/>
        </w:rPr>
        <w:t>The European Parliament gave its consent on the conclusion of this protocol on 9 September 2015.</w:t>
      </w:r>
    </w:p>
    <w:p w:rsidR="00F259B0" w:rsidRPr="002C328B" w:rsidRDefault="002C328B" w:rsidP="002C328B">
      <w:pPr>
        <w:pStyle w:val="ItemApproved"/>
      </w:pPr>
      <w:r w:rsidRPr="002C328B">
        <w:t>TRANSPARENCY</w:t>
      </w:r>
    </w:p>
    <w:p w:rsidR="00F259B0" w:rsidRPr="002C328B" w:rsidRDefault="00F259B0" w:rsidP="002C328B">
      <w:pPr>
        <w:pStyle w:val="Sub-itemApproved"/>
      </w:pPr>
      <w:bookmarkStart w:id="24" w:name="_Toc435010613"/>
      <w:r w:rsidRPr="002C328B">
        <w:t>Public access to documents</w:t>
      </w:r>
      <w:bookmarkEnd w:id="24"/>
    </w:p>
    <w:p w:rsidR="00F259B0" w:rsidRPr="002C328B" w:rsidRDefault="00F259B0" w:rsidP="002C328B">
      <w:r w:rsidRPr="002C328B">
        <w:t>On 5 October 2015, the Council approved:</w:t>
      </w:r>
    </w:p>
    <w:p w:rsidR="00F259B0" w:rsidRPr="002C328B" w:rsidRDefault="00F259B0" w:rsidP="002C328B">
      <w:pPr>
        <w:pStyle w:val="Tiret0"/>
      </w:pPr>
      <w:r w:rsidRPr="002C328B">
        <w:t xml:space="preserve">the replies to confirmatory applications No 17/c/01/15 ( </w:t>
      </w:r>
      <w:hyperlink r:id="rId31" w:tooltip="http://data.consilium.europa.eu/doc/document/ST-11232-2015-INIT/en/pdf" w:history="1">
        <w:r w:rsidR="00381593">
          <w:rPr>
            <w:rStyle w:val="Hyperlink"/>
            <w:i/>
            <w:iCs/>
          </w:rPr>
          <w:t>11232/15</w:t>
        </w:r>
      </w:hyperlink>
      <w:r w:rsidRPr="002C328B">
        <w:t>), No 19/c/02/15 (</w:t>
      </w:r>
      <w:hyperlink r:id="rId32" w:tooltip="http://data.consilium.europa.eu/doc/document/ST-11686-2015-INIT/en/pdf" w:history="1">
        <w:r w:rsidR="00381593">
          <w:rPr>
            <w:rStyle w:val="Hyperlink"/>
            <w:i/>
            <w:iCs/>
          </w:rPr>
          <w:t>11686/15</w:t>
        </w:r>
      </w:hyperlink>
      <w:r w:rsidRPr="002C328B">
        <w:t>) and No 20/c/03/15 (</w:t>
      </w:r>
      <w:hyperlink r:id="rId33" w:tooltip="http://data.consilium.europa.eu/doc/document/ST-11689-2015-INIT/en/pdf" w:history="1">
        <w:r w:rsidR="00381593">
          <w:rPr>
            <w:rStyle w:val="Hyperlink"/>
            <w:i/>
            <w:iCs/>
          </w:rPr>
          <w:t>11689/15</w:t>
        </w:r>
      </w:hyperlink>
      <w:r w:rsidRPr="002C328B">
        <w:t>).</w:t>
      </w:r>
    </w:p>
    <w:p w:rsidR="00895676" w:rsidRPr="00F55163" w:rsidRDefault="00895676" w:rsidP="00F55163">
      <w:pPr>
        <w:pStyle w:val="FinalLine"/>
      </w:pPr>
    </w:p>
    <w:sectPr w:rsidR="00895676" w:rsidRPr="00F55163" w:rsidSect="00172CD0">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244" w:rsidRDefault="00434244">
      <w:pPr>
        <w:spacing w:before="0" w:after="0"/>
      </w:pPr>
      <w:r>
        <w:separator/>
      </w:r>
    </w:p>
  </w:endnote>
  <w:endnote w:type="continuationSeparator" w:id="0">
    <w:p w:rsidR="00434244" w:rsidRDefault="0043424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CD0" w:rsidRPr="00172CD0" w:rsidRDefault="00172CD0" w:rsidP="00172C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172CD0" w:rsidRPr="007410E8" w:rsidTr="00172CD0">
      <w:trPr>
        <w:jc w:val="center"/>
      </w:trPr>
      <w:tc>
        <w:tcPr>
          <w:tcW w:w="2604" w:type="pct"/>
          <w:shd w:val="clear" w:color="auto" w:fill="auto"/>
        </w:tcPr>
        <w:p w:rsidR="00172CD0" w:rsidRPr="007410E8" w:rsidRDefault="00172CD0" w:rsidP="0035025C">
          <w:pPr>
            <w:pStyle w:val="FooterText"/>
            <w:rPr>
              <w:sz w:val="16"/>
              <w:szCs w:val="16"/>
            </w:rPr>
          </w:pPr>
          <w:bookmarkStart w:id="1" w:name="FOOTER_PR_STANDARD"/>
        </w:p>
      </w:tc>
      <w:tc>
        <w:tcPr>
          <w:tcW w:w="1319" w:type="pct"/>
          <w:shd w:val="clear" w:color="auto" w:fill="auto"/>
        </w:tcPr>
        <w:p w:rsidR="00172CD0" w:rsidRPr="007410E8" w:rsidRDefault="00172CD0" w:rsidP="0035025C">
          <w:pPr>
            <w:pStyle w:val="FooterText"/>
            <w:rPr>
              <w:sz w:val="16"/>
              <w:szCs w:val="16"/>
            </w:rPr>
          </w:pPr>
        </w:p>
      </w:tc>
      <w:tc>
        <w:tcPr>
          <w:tcW w:w="1077" w:type="pct"/>
          <w:shd w:val="clear" w:color="auto" w:fill="auto"/>
        </w:tcPr>
        <w:p w:rsidR="00172CD0" w:rsidRPr="007410E8" w:rsidRDefault="00172CD0" w:rsidP="0035025C">
          <w:pPr>
            <w:pStyle w:val="FooterText"/>
            <w:jc w:val="right"/>
            <w:rPr>
              <w:sz w:val="16"/>
              <w:szCs w:val="16"/>
            </w:rPr>
          </w:pPr>
        </w:p>
      </w:tc>
    </w:tr>
    <w:tr w:rsidR="00172CD0" w:rsidRPr="007410E8" w:rsidTr="00172CD0">
      <w:trPr>
        <w:jc w:val="center"/>
      </w:trPr>
      <w:tc>
        <w:tcPr>
          <w:tcW w:w="2604" w:type="pct"/>
          <w:shd w:val="clear" w:color="auto" w:fill="auto"/>
        </w:tcPr>
        <w:p w:rsidR="00172CD0" w:rsidRPr="007410E8" w:rsidRDefault="00172CD0" w:rsidP="0035025C">
          <w:pPr>
            <w:pStyle w:val="FooterText"/>
            <w:rPr>
              <w:sz w:val="16"/>
            </w:rPr>
          </w:pPr>
          <w:r>
            <w:t>12670/15</w:t>
          </w:r>
          <w:r w:rsidRPr="002511D8">
            <w:t xml:space="preserve"> </w:t>
          </w:r>
        </w:p>
      </w:tc>
      <w:tc>
        <w:tcPr>
          <w:tcW w:w="1319" w:type="pct"/>
          <w:shd w:val="clear" w:color="auto" w:fill="auto"/>
        </w:tcPr>
        <w:p w:rsidR="00172CD0" w:rsidRPr="007410E8" w:rsidRDefault="00172CD0" w:rsidP="0035025C">
          <w:pPr>
            <w:pStyle w:val="FooterText"/>
            <w:rPr>
              <w:sz w:val="16"/>
            </w:rPr>
          </w:pPr>
        </w:p>
      </w:tc>
      <w:tc>
        <w:tcPr>
          <w:tcW w:w="1077" w:type="pct"/>
          <w:shd w:val="clear" w:color="auto" w:fill="auto"/>
        </w:tcPr>
        <w:p w:rsidR="00172CD0" w:rsidRPr="007410E8" w:rsidRDefault="00172CD0" w:rsidP="0035025C">
          <w:pPr>
            <w:pStyle w:val="FooterText"/>
            <w:jc w:val="right"/>
            <w:rPr>
              <w:sz w:val="16"/>
            </w:rPr>
          </w:pPr>
          <w:r>
            <w:fldChar w:fldCharType="begin"/>
          </w:r>
          <w:r>
            <w:instrText xml:space="preserve"> PAGE  \* MERGEFORMAT </w:instrText>
          </w:r>
          <w:r>
            <w:fldChar w:fldCharType="separate"/>
          </w:r>
          <w:r>
            <w:rPr>
              <w:noProof/>
            </w:rPr>
            <w:t>12</w:t>
          </w:r>
          <w:r>
            <w:fldChar w:fldCharType="end"/>
          </w:r>
        </w:p>
      </w:tc>
    </w:tr>
    <w:tr w:rsidR="00172CD0" w:rsidRPr="007410E8" w:rsidTr="00172CD0">
      <w:trPr>
        <w:jc w:val="center"/>
      </w:trPr>
      <w:tc>
        <w:tcPr>
          <w:tcW w:w="2604" w:type="pct"/>
          <w:shd w:val="clear" w:color="auto" w:fill="auto"/>
        </w:tcPr>
        <w:p w:rsidR="00172CD0" w:rsidRPr="007410E8" w:rsidRDefault="00172CD0" w:rsidP="0035025C">
          <w:pPr>
            <w:pStyle w:val="FooterText"/>
            <w:rPr>
              <w:sz w:val="16"/>
            </w:rPr>
          </w:pPr>
        </w:p>
      </w:tc>
      <w:tc>
        <w:tcPr>
          <w:tcW w:w="1319" w:type="pct"/>
          <w:shd w:val="clear" w:color="auto" w:fill="auto"/>
        </w:tcPr>
        <w:p w:rsidR="00172CD0" w:rsidRPr="007410E8" w:rsidRDefault="00172CD0" w:rsidP="0035025C">
          <w:pPr>
            <w:pStyle w:val="FooterText"/>
            <w:rPr>
              <w:sz w:val="16"/>
            </w:rPr>
          </w:pPr>
        </w:p>
      </w:tc>
      <w:tc>
        <w:tcPr>
          <w:tcW w:w="1077" w:type="pct"/>
          <w:shd w:val="clear" w:color="auto" w:fill="auto"/>
        </w:tcPr>
        <w:p w:rsidR="00172CD0" w:rsidRPr="007410E8" w:rsidRDefault="00172CD0" w:rsidP="0035025C">
          <w:pPr>
            <w:pStyle w:val="FooterText"/>
            <w:jc w:val="right"/>
            <w:rPr>
              <w:sz w:val="16"/>
            </w:rPr>
          </w:pPr>
          <w:r>
            <w:rPr>
              <w:b/>
              <w:position w:val="-4"/>
              <w:sz w:val="36"/>
            </w:rPr>
            <w:t>EN</w:t>
          </w:r>
        </w:p>
      </w:tc>
    </w:tr>
    <w:bookmarkEnd w:id="1"/>
  </w:tbl>
  <w:p w:rsidR="00926EAF" w:rsidRPr="00172CD0" w:rsidRDefault="00926EAF" w:rsidP="00172CD0">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172CD0" w:rsidRPr="009C2FB3" w:rsidTr="00172CD0">
      <w:trPr>
        <w:jc w:val="center"/>
      </w:trPr>
      <w:tc>
        <w:tcPr>
          <w:tcW w:w="569" w:type="pct"/>
          <w:shd w:val="clear" w:color="auto" w:fill="auto"/>
        </w:tcPr>
        <w:p w:rsidR="00172CD0" w:rsidRPr="009C2FB3" w:rsidRDefault="00172CD0" w:rsidP="0035025C">
          <w:pPr>
            <w:pStyle w:val="FooterText"/>
          </w:pPr>
          <w:bookmarkStart w:id="2" w:name="FOOTER_PR_COVERPAGE"/>
        </w:p>
      </w:tc>
      <w:tc>
        <w:tcPr>
          <w:tcW w:w="3760" w:type="pct"/>
          <w:gridSpan w:val="3"/>
          <w:shd w:val="clear" w:color="auto" w:fill="auto"/>
          <w:noWrap/>
        </w:tcPr>
        <w:p w:rsidR="00172CD0" w:rsidRPr="00F37CD6" w:rsidRDefault="00172CD0"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172CD0" w:rsidRPr="009C2FB3" w:rsidRDefault="00172CD0" w:rsidP="0035025C">
          <w:pPr>
            <w:pStyle w:val="FooterText"/>
          </w:pPr>
        </w:p>
      </w:tc>
    </w:tr>
    <w:tr w:rsidR="00172CD0" w:rsidRPr="00172CD0" w:rsidTr="00172CD0">
      <w:trPr>
        <w:jc w:val="center"/>
      </w:trPr>
      <w:tc>
        <w:tcPr>
          <w:tcW w:w="5000" w:type="pct"/>
          <w:gridSpan w:val="5"/>
          <w:shd w:val="clear" w:color="auto" w:fill="auto"/>
        </w:tcPr>
        <w:p w:rsidR="00172CD0" w:rsidRPr="00172CD0" w:rsidRDefault="00172CD0" w:rsidP="0035025C">
          <w:pPr>
            <w:pStyle w:val="FooterAddressText"/>
            <w:rPr>
              <w:lang w:val="fr-BE"/>
            </w:rPr>
          </w:pPr>
        </w:p>
        <w:p w:rsidR="00172CD0" w:rsidRPr="00172CD0" w:rsidRDefault="00172CD0" w:rsidP="0035025C">
          <w:pPr>
            <w:pStyle w:val="FooterAddressText"/>
            <w:rPr>
              <w:lang w:val="fr-BE"/>
            </w:rPr>
          </w:pPr>
          <w:r w:rsidRPr="00172CD0">
            <w:rPr>
              <w:lang w:val="fr-BE"/>
            </w:rPr>
            <w:t>Rue de la Loi 175  B – 1048 BRUSSELS  Tel.: +32 (0)2 281 6319  Fax: +32 (0)2 281 8026</w:t>
          </w:r>
        </w:p>
      </w:tc>
    </w:tr>
    <w:tr w:rsidR="00172CD0" w:rsidRPr="00172CD0" w:rsidTr="00172CD0">
      <w:trPr>
        <w:jc w:val="center"/>
      </w:trPr>
      <w:tc>
        <w:tcPr>
          <w:tcW w:w="5000" w:type="pct"/>
          <w:gridSpan w:val="5"/>
          <w:shd w:val="clear" w:color="auto" w:fill="auto"/>
        </w:tcPr>
        <w:p w:rsidR="00172CD0" w:rsidRPr="00172CD0" w:rsidRDefault="00172CD0" w:rsidP="0035025C">
          <w:pPr>
            <w:pStyle w:val="FooterText"/>
            <w:jc w:val="center"/>
            <w:rPr>
              <w:sz w:val="20"/>
              <w:szCs w:val="20"/>
              <w:lang w:val="fr-BE"/>
            </w:rPr>
          </w:pPr>
          <w:hyperlink r:id="rId1" w:history="1">
            <w:r w:rsidRPr="00172CD0">
              <w:rPr>
                <w:rStyle w:val="Hyperlink"/>
                <w:sz w:val="20"/>
                <w:lang w:val="fr-BE"/>
              </w:rPr>
              <w:t>press.office@consilium.europa.eu</w:t>
            </w:r>
          </w:hyperlink>
          <w:r w:rsidRPr="00172CD0">
            <w:rPr>
              <w:sz w:val="20"/>
              <w:szCs w:val="20"/>
              <w:lang w:val="fr-BE"/>
            </w:rPr>
            <w:t xml:space="preserve">  </w:t>
          </w:r>
          <w:hyperlink r:id="rId2" w:history="1">
            <w:r w:rsidRPr="00172CD0">
              <w:rPr>
                <w:rStyle w:val="Hyperlink"/>
                <w:sz w:val="20"/>
                <w:lang w:val="fr-BE"/>
              </w:rPr>
              <w:t>http://www.consilium.europa.eu/press</w:t>
            </w:r>
          </w:hyperlink>
        </w:p>
      </w:tc>
    </w:tr>
    <w:tr w:rsidR="00172CD0" w:rsidRPr="007410E8" w:rsidTr="00172CD0">
      <w:trPr>
        <w:jc w:val="center"/>
      </w:trPr>
      <w:tc>
        <w:tcPr>
          <w:tcW w:w="2604" w:type="pct"/>
          <w:gridSpan w:val="2"/>
          <w:shd w:val="clear" w:color="auto" w:fill="auto"/>
        </w:tcPr>
        <w:p w:rsidR="00172CD0" w:rsidRPr="007410E8" w:rsidRDefault="00172CD0" w:rsidP="0035025C">
          <w:pPr>
            <w:pStyle w:val="FooterText"/>
            <w:spacing w:before="60"/>
            <w:rPr>
              <w:sz w:val="16"/>
            </w:rPr>
          </w:pPr>
          <w:r>
            <w:t>12670/15</w:t>
          </w:r>
          <w:r w:rsidRPr="002511D8">
            <w:t xml:space="preserve"> </w:t>
          </w:r>
        </w:p>
      </w:tc>
      <w:tc>
        <w:tcPr>
          <w:tcW w:w="1319" w:type="pct"/>
          <w:shd w:val="clear" w:color="auto" w:fill="auto"/>
        </w:tcPr>
        <w:p w:rsidR="00172CD0" w:rsidRPr="007410E8" w:rsidRDefault="00172CD0" w:rsidP="0035025C">
          <w:pPr>
            <w:pStyle w:val="FooterText"/>
            <w:spacing w:before="120"/>
            <w:rPr>
              <w:sz w:val="16"/>
            </w:rPr>
          </w:pPr>
        </w:p>
      </w:tc>
      <w:tc>
        <w:tcPr>
          <w:tcW w:w="1077" w:type="pct"/>
          <w:gridSpan w:val="2"/>
          <w:shd w:val="clear" w:color="auto" w:fill="auto"/>
        </w:tcPr>
        <w:p w:rsidR="00172CD0" w:rsidRPr="007410E8" w:rsidRDefault="00172CD0" w:rsidP="0035025C">
          <w:pPr>
            <w:pStyle w:val="FooterText"/>
            <w:spacing w:before="60"/>
            <w:jc w:val="right"/>
            <w:rPr>
              <w:sz w:val="16"/>
            </w:rPr>
          </w:pPr>
          <w:r>
            <w:fldChar w:fldCharType="begin"/>
          </w:r>
          <w:r>
            <w:instrText xml:space="preserve"> PAGE  \* MERGEFORMAT </w:instrText>
          </w:r>
          <w:r>
            <w:fldChar w:fldCharType="separate"/>
          </w:r>
          <w:r>
            <w:rPr>
              <w:noProof/>
            </w:rPr>
            <w:t>1</w:t>
          </w:r>
          <w:r>
            <w:fldChar w:fldCharType="end"/>
          </w:r>
        </w:p>
      </w:tc>
    </w:tr>
    <w:tr w:rsidR="00172CD0" w:rsidRPr="007410E8" w:rsidTr="00172CD0">
      <w:trPr>
        <w:jc w:val="center"/>
      </w:trPr>
      <w:tc>
        <w:tcPr>
          <w:tcW w:w="2604" w:type="pct"/>
          <w:gridSpan w:val="2"/>
          <w:shd w:val="clear" w:color="auto" w:fill="auto"/>
        </w:tcPr>
        <w:p w:rsidR="00172CD0" w:rsidRPr="007410E8" w:rsidRDefault="00172CD0" w:rsidP="0035025C">
          <w:pPr>
            <w:pStyle w:val="FooterText"/>
            <w:rPr>
              <w:sz w:val="16"/>
            </w:rPr>
          </w:pPr>
        </w:p>
      </w:tc>
      <w:tc>
        <w:tcPr>
          <w:tcW w:w="1319" w:type="pct"/>
          <w:shd w:val="clear" w:color="auto" w:fill="auto"/>
        </w:tcPr>
        <w:p w:rsidR="00172CD0" w:rsidRPr="007410E8" w:rsidRDefault="00172CD0" w:rsidP="0035025C">
          <w:pPr>
            <w:pStyle w:val="FooterText"/>
            <w:rPr>
              <w:sz w:val="16"/>
            </w:rPr>
          </w:pPr>
        </w:p>
      </w:tc>
      <w:tc>
        <w:tcPr>
          <w:tcW w:w="1077" w:type="pct"/>
          <w:gridSpan w:val="2"/>
          <w:shd w:val="clear" w:color="auto" w:fill="auto"/>
        </w:tcPr>
        <w:p w:rsidR="00172CD0" w:rsidRPr="007410E8" w:rsidRDefault="00172CD0" w:rsidP="0035025C">
          <w:pPr>
            <w:pStyle w:val="FooterText"/>
            <w:jc w:val="right"/>
            <w:rPr>
              <w:sz w:val="16"/>
            </w:rPr>
          </w:pPr>
          <w:r>
            <w:rPr>
              <w:b/>
              <w:position w:val="-4"/>
              <w:sz w:val="36"/>
            </w:rPr>
            <w:t>EN</w:t>
          </w:r>
        </w:p>
      </w:tc>
    </w:tr>
    <w:bookmarkEnd w:id="2"/>
  </w:tbl>
  <w:p w:rsidR="00926EAF" w:rsidRPr="00172CD0" w:rsidRDefault="00926EAF" w:rsidP="00172CD0">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172CD0" w:rsidRPr="007410E8" w:rsidTr="00172CD0">
      <w:trPr>
        <w:jc w:val="center"/>
      </w:trPr>
      <w:tc>
        <w:tcPr>
          <w:tcW w:w="5000" w:type="pct"/>
          <w:gridSpan w:val="3"/>
          <w:shd w:val="clear" w:color="auto" w:fill="auto"/>
        </w:tcPr>
        <w:p w:rsidR="00172CD0" w:rsidRPr="007410E8" w:rsidRDefault="00172CD0"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172CD0" w:rsidRPr="007410E8" w:rsidRDefault="00172CD0"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172CD0" w:rsidRPr="007410E8" w:rsidRDefault="00172CD0"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172CD0" w:rsidRPr="007410E8" w:rsidRDefault="00172CD0" w:rsidP="0035025C">
          <w:pPr>
            <w:pStyle w:val="FooterText"/>
            <w:tabs>
              <w:tab w:val="left" w:pos="285"/>
              <w:tab w:val="left" w:pos="585"/>
            </w:tabs>
            <w:rPr>
              <w:sz w:val="21"/>
              <w:szCs w:val="21"/>
            </w:rPr>
          </w:pPr>
        </w:p>
      </w:tc>
    </w:tr>
    <w:tr w:rsidR="00172CD0" w:rsidRPr="007410E8" w:rsidTr="00172CD0">
      <w:trPr>
        <w:jc w:val="center"/>
      </w:trPr>
      <w:tc>
        <w:tcPr>
          <w:tcW w:w="2604" w:type="pct"/>
          <w:shd w:val="clear" w:color="auto" w:fill="auto"/>
        </w:tcPr>
        <w:p w:rsidR="00172CD0" w:rsidRPr="007410E8" w:rsidRDefault="00172CD0" w:rsidP="0035025C">
          <w:pPr>
            <w:pStyle w:val="FooterText"/>
            <w:rPr>
              <w:sz w:val="16"/>
            </w:rPr>
          </w:pPr>
          <w:r>
            <w:t>12670/15</w:t>
          </w:r>
          <w:r w:rsidRPr="002511D8">
            <w:t xml:space="preserve"> </w:t>
          </w:r>
        </w:p>
      </w:tc>
      <w:tc>
        <w:tcPr>
          <w:tcW w:w="1319" w:type="pct"/>
          <w:shd w:val="clear" w:color="auto" w:fill="auto"/>
        </w:tcPr>
        <w:p w:rsidR="00172CD0" w:rsidRPr="007410E8" w:rsidRDefault="00172CD0" w:rsidP="0035025C">
          <w:pPr>
            <w:pStyle w:val="FooterText"/>
            <w:rPr>
              <w:sz w:val="16"/>
            </w:rPr>
          </w:pPr>
        </w:p>
      </w:tc>
      <w:tc>
        <w:tcPr>
          <w:tcW w:w="1077" w:type="pct"/>
          <w:shd w:val="clear" w:color="auto" w:fill="auto"/>
        </w:tcPr>
        <w:p w:rsidR="00172CD0" w:rsidRPr="007410E8" w:rsidRDefault="00172CD0" w:rsidP="0035025C">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172CD0" w:rsidRPr="007410E8" w:rsidTr="00172CD0">
      <w:trPr>
        <w:jc w:val="center"/>
      </w:trPr>
      <w:tc>
        <w:tcPr>
          <w:tcW w:w="2604" w:type="pct"/>
          <w:shd w:val="clear" w:color="auto" w:fill="auto"/>
        </w:tcPr>
        <w:p w:rsidR="00172CD0" w:rsidRPr="007410E8" w:rsidRDefault="00172CD0" w:rsidP="0035025C">
          <w:pPr>
            <w:pStyle w:val="FooterText"/>
            <w:rPr>
              <w:sz w:val="16"/>
            </w:rPr>
          </w:pPr>
        </w:p>
      </w:tc>
      <w:tc>
        <w:tcPr>
          <w:tcW w:w="1319" w:type="pct"/>
          <w:shd w:val="clear" w:color="auto" w:fill="auto"/>
        </w:tcPr>
        <w:p w:rsidR="00172CD0" w:rsidRPr="007410E8" w:rsidRDefault="00172CD0" w:rsidP="0035025C">
          <w:pPr>
            <w:pStyle w:val="FooterText"/>
            <w:rPr>
              <w:sz w:val="16"/>
            </w:rPr>
          </w:pPr>
        </w:p>
      </w:tc>
      <w:tc>
        <w:tcPr>
          <w:tcW w:w="1077" w:type="pct"/>
          <w:shd w:val="clear" w:color="auto" w:fill="auto"/>
        </w:tcPr>
        <w:p w:rsidR="00172CD0" w:rsidRPr="007410E8" w:rsidRDefault="00172CD0" w:rsidP="0035025C">
          <w:pPr>
            <w:pStyle w:val="FooterText"/>
            <w:jc w:val="right"/>
            <w:rPr>
              <w:sz w:val="16"/>
            </w:rPr>
          </w:pPr>
          <w:r>
            <w:rPr>
              <w:b/>
              <w:position w:val="-4"/>
              <w:sz w:val="36"/>
            </w:rPr>
            <w:t>EN</w:t>
          </w:r>
        </w:p>
      </w:tc>
    </w:tr>
    <w:bookmarkEnd w:id="5"/>
  </w:tbl>
  <w:p w:rsidR="00F55163" w:rsidRPr="00172CD0" w:rsidRDefault="00F55163" w:rsidP="00172CD0">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244" w:rsidRDefault="00434244">
      <w:pPr>
        <w:spacing w:before="0" w:after="0"/>
      </w:pPr>
      <w:r>
        <w:separator/>
      </w:r>
    </w:p>
  </w:footnote>
  <w:footnote w:type="continuationSeparator" w:id="0">
    <w:p w:rsidR="00434244" w:rsidRDefault="0043424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CD0" w:rsidRPr="00172CD0" w:rsidRDefault="00172CD0" w:rsidP="00172C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CD0" w:rsidRPr="00172CD0" w:rsidRDefault="00172CD0" w:rsidP="00172CD0">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CD0" w:rsidRPr="00172CD0" w:rsidRDefault="00172CD0" w:rsidP="00172CD0">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172CD0" w:rsidRPr="007410E8" w:rsidTr="00172CD0">
      <w:trPr>
        <w:jc w:val="center"/>
      </w:trPr>
      <w:tc>
        <w:tcPr>
          <w:tcW w:w="2500" w:type="pct"/>
          <w:shd w:val="clear" w:color="auto" w:fill="auto"/>
        </w:tcPr>
        <w:p w:rsidR="00172CD0" w:rsidRPr="007410E8" w:rsidRDefault="00172CD0" w:rsidP="0035025C">
          <w:pPr>
            <w:pStyle w:val="HeaderText"/>
            <w:rPr>
              <w:b/>
              <w:i/>
              <w:sz w:val="16"/>
              <w:u w:val="single"/>
            </w:rPr>
          </w:pPr>
          <w:bookmarkStart w:id="4" w:name="HEADER_PRMEET"/>
        </w:p>
      </w:tc>
      <w:tc>
        <w:tcPr>
          <w:tcW w:w="2500" w:type="pct"/>
          <w:shd w:val="clear" w:color="auto" w:fill="auto"/>
        </w:tcPr>
        <w:p w:rsidR="00172CD0" w:rsidRPr="007410E8" w:rsidRDefault="00172CD0" w:rsidP="00172CD0">
          <w:pPr>
            <w:pStyle w:val="HeaderText"/>
            <w:jc w:val="right"/>
            <w:rPr>
              <w:sz w:val="16"/>
            </w:rPr>
          </w:pPr>
          <w:r w:rsidRPr="00172CD0">
            <w:t>5 October 2015</w:t>
          </w:r>
        </w:p>
      </w:tc>
    </w:tr>
    <w:bookmarkEnd w:id="4"/>
  </w:tbl>
  <w:p w:rsidR="00F55163" w:rsidRPr="00172CD0" w:rsidRDefault="00F55163" w:rsidP="00172CD0">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172CD0" w:rsidRPr="007410E8" w:rsidTr="00172CD0">
      <w:trPr>
        <w:jc w:val="center"/>
      </w:trPr>
      <w:tc>
        <w:tcPr>
          <w:tcW w:w="2500" w:type="pct"/>
          <w:shd w:val="clear" w:color="auto" w:fill="auto"/>
        </w:tcPr>
        <w:p w:rsidR="00172CD0" w:rsidRPr="007410E8" w:rsidRDefault="00172CD0" w:rsidP="0035025C">
          <w:pPr>
            <w:pStyle w:val="HeaderText"/>
            <w:rPr>
              <w:b/>
              <w:i/>
              <w:sz w:val="16"/>
              <w:u w:val="single"/>
            </w:rPr>
          </w:pPr>
        </w:p>
      </w:tc>
      <w:tc>
        <w:tcPr>
          <w:tcW w:w="2500" w:type="pct"/>
          <w:shd w:val="clear" w:color="auto" w:fill="auto"/>
        </w:tcPr>
        <w:p w:rsidR="00172CD0" w:rsidRPr="007410E8" w:rsidRDefault="00172CD0" w:rsidP="00172CD0">
          <w:pPr>
            <w:pStyle w:val="HeaderText"/>
            <w:jc w:val="right"/>
            <w:rPr>
              <w:sz w:val="16"/>
            </w:rPr>
          </w:pPr>
          <w:r w:rsidRPr="00172CD0">
            <w:t>5 October 2015</w:t>
          </w:r>
        </w:p>
      </w:tc>
    </w:tr>
  </w:tbl>
  <w:p w:rsidR="00F55163" w:rsidRPr="00172CD0" w:rsidRDefault="00F55163" w:rsidP="00172CD0">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8">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0">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1">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3">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4"/>
    <w:lvlOverride w:ilvl="0">
      <w:startOverride w:val="1"/>
    </w:lvlOverride>
  </w:num>
  <w:num w:numId="2">
    <w:abstractNumId w:val="4"/>
  </w:num>
  <w:num w:numId="3">
    <w:abstractNumId w:val="12"/>
  </w:num>
  <w:num w:numId="4">
    <w:abstractNumId w:val="6"/>
  </w:num>
  <w:num w:numId="5">
    <w:abstractNumId w:val="5"/>
  </w:num>
  <w:num w:numId="6">
    <w:abstractNumId w:val="1"/>
  </w:num>
  <w:num w:numId="7">
    <w:abstractNumId w:val="13"/>
  </w:num>
  <w:num w:numId="8">
    <w:abstractNumId w:val="2"/>
  </w:num>
  <w:num w:numId="9">
    <w:abstractNumId w:val="3"/>
  </w:num>
  <w:num w:numId="10">
    <w:abstractNumId w:val="11"/>
  </w:num>
  <w:num w:numId="11">
    <w:abstractNumId w:val="8"/>
  </w:num>
  <w:num w:numId="12">
    <w:abstractNumId w:val="0"/>
  </w:num>
  <w:num w:numId="13">
    <w:abstractNumId w:val="14"/>
  </w:num>
  <w:num w:numId="14">
    <w:abstractNumId w:val="10"/>
  </w:num>
  <w:num w:numId="15">
    <w:abstractNumId w:val="9"/>
  </w:num>
  <w:num w:numId="16">
    <w:abstractNumId w:val="7"/>
  </w:num>
  <w:num w:numId="17">
    <w:abstractNumId w:val="7"/>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7&quot; technicalblockguid=&quot;94a7144c-1c0c-4a2d-8a4f-9eda17a5e617&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12670&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56&lt;/text&gt;_x000d__x000a_      &lt;text&gt;PR CO 4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Minister for Labour, Employment and the Social and Solidarity Economy&amp;#xD;&amp;#xA;&quot; name=&quot;Nicolas Schmit&quot; text=&quot;Nicolas Schmit, Minister for Labour, Employment and the Social and Solidarity Economy &quot; genderKeyBds=&quot;gend_01&quot; /&gt;_x000d__x000a_      &lt;president title=&quot;Minister for Social Security,  Minister for Development Cooperation and Humanitarian Affairs, Minister for Sport&amp;#xD;&amp;#xA;&quot; name=&quot;Romain Schneider&quot; text=&quot;Romain Schneider, Minister for Social Security,  Minister for Development Cooperation and Humanitarian Affairs, Minister for Sport &quot; genderKeyBds=&quot;gend_01&quot; /&gt;_x000d__x000a_    &lt;/presidents&gt;_x000d__x000a_  &lt;/metadata&gt;_x000d__x000a_  &lt;metadata key=&quot;md_MeetingNumber&quot;&gt;_x000d__x000a_    &lt;text&gt;3412th Council meeting&lt;/text&gt;_x000d__x000a_  &lt;/metadata&gt;_x000d__x000a_  &lt;metadata key=&quot;md_CouncilConfiguration&quot;&gt;_x000d__x000a_    &lt;basicdatatype&gt;_x000d__x000a_      &lt;configuration key=&quot;cc_05&quot; text=&quot;Employment, Social Policy, Health and Consumer Affairs&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10-05&quot;&gt;_x000d__x000a_        &lt;meetinglocation&gt;_x000d__x000a_          &lt;basicdatatype&gt;_x000d__x000a_            &lt;location key=&quot;loc_02&quot; text=&quot;Luxembourg&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PRMEET"/>
    <w:docVar w:name="LW_DocType" w:val="DW_PRMEET"/>
    <w:docVar w:name="VSSDB_IniPath" w:val="\\at100\user\wovo\SEILEG\vss\srcsafe.ini"/>
    <w:docVar w:name="VSSDB_ProjectPath" w:val="$/DocuWrite/DOT/DW_PRMEET"/>
  </w:docVars>
  <w:rsids>
    <w:rsidRoot w:val="00F55163"/>
    <w:rsid w:val="00035E1C"/>
    <w:rsid w:val="000A63B0"/>
    <w:rsid w:val="00141E46"/>
    <w:rsid w:val="00172CD0"/>
    <w:rsid w:val="00197F5F"/>
    <w:rsid w:val="001A0E73"/>
    <w:rsid w:val="001C1CCE"/>
    <w:rsid w:val="001D07FD"/>
    <w:rsid w:val="0028351F"/>
    <w:rsid w:val="00283844"/>
    <w:rsid w:val="00294BC3"/>
    <w:rsid w:val="002A59A7"/>
    <w:rsid w:val="002B1CE2"/>
    <w:rsid w:val="002C328B"/>
    <w:rsid w:val="003361F7"/>
    <w:rsid w:val="00381593"/>
    <w:rsid w:val="003946C8"/>
    <w:rsid w:val="003B0447"/>
    <w:rsid w:val="003D7905"/>
    <w:rsid w:val="00434244"/>
    <w:rsid w:val="004B554E"/>
    <w:rsid w:val="004C2ED4"/>
    <w:rsid w:val="004F2A6D"/>
    <w:rsid w:val="00546259"/>
    <w:rsid w:val="0055777D"/>
    <w:rsid w:val="006A56D8"/>
    <w:rsid w:val="006D777B"/>
    <w:rsid w:val="006E2F9D"/>
    <w:rsid w:val="006F0959"/>
    <w:rsid w:val="006F4E9F"/>
    <w:rsid w:val="007407AA"/>
    <w:rsid w:val="007B31A3"/>
    <w:rsid w:val="00836768"/>
    <w:rsid w:val="00845C14"/>
    <w:rsid w:val="008774FD"/>
    <w:rsid w:val="00895676"/>
    <w:rsid w:val="00926EAF"/>
    <w:rsid w:val="009749B1"/>
    <w:rsid w:val="009A4809"/>
    <w:rsid w:val="009C3851"/>
    <w:rsid w:val="009D4576"/>
    <w:rsid w:val="009E741C"/>
    <w:rsid w:val="009F7751"/>
    <w:rsid w:val="00A249FC"/>
    <w:rsid w:val="00A33747"/>
    <w:rsid w:val="00A36655"/>
    <w:rsid w:val="00A40E56"/>
    <w:rsid w:val="00A67613"/>
    <w:rsid w:val="00A76CDC"/>
    <w:rsid w:val="00A76D9E"/>
    <w:rsid w:val="00AF2EEB"/>
    <w:rsid w:val="00B03546"/>
    <w:rsid w:val="00B34272"/>
    <w:rsid w:val="00BD54A3"/>
    <w:rsid w:val="00BE2CA6"/>
    <w:rsid w:val="00C06347"/>
    <w:rsid w:val="00C57AAC"/>
    <w:rsid w:val="00CA0D26"/>
    <w:rsid w:val="00D45C7C"/>
    <w:rsid w:val="00D657E3"/>
    <w:rsid w:val="00DD27DA"/>
    <w:rsid w:val="00E71F33"/>
    <w:rsid w:val="00E737DC"/>
    <w:rsid w:val="00F259B0"/>
    <w:rsid w:val="00F55163"/>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8"/>
      </w:numPr>
      <w:spacing w:before="360"/>
      <w:outlineLvl w:val="0"/>
    </w:pPr>
    <w:rPr>
      <w:b/>
      <w:bCs/>
      <w:smallCaps/>
      <w:szCs w:val="32"/>
    </w:rPr>
  </w:style>
  <w:style w:type="paragraph" w:styleId="Heading2">
    <w:name w:val="heading 2"/>
    <w:basedOn w:val="Normal"/>
    <w:next w:val="Text1"/>
    <w:qFormat/>
    <w:rsid w:val="00A76CDC"/>
    <w:pPr>
      <w:keepNext/>
      <w:numPr>
        <w:ilvl w:val="1"/>
        <w:numId w:val="8"/>
      </w:numPr>
      <w:outlineLvl w:val="1"/>
    </w:pPr>
    <w:rPr>
      <w:b/>
      <w:bCs/>
      <w:iCs/>
      <w:szCs w:val="28"/>
    </w:rPr>
  </w:style>
  <w:style w:type="paragraph" w:styleId="Heading3">
    <w:name w:val="heading 3"/>
    <w:basedOn w:val="Normal"/>
    <w:next w:val="Text1"/>
    <w:qFormat/>
    <w:rsid w:val="00A76CDC"/>
    <w:pPr>
      <w:keepNext/>
      <w:numPr>
        <w:ilvl w:val="2"/>
        <w:numId w:val="8"/>
      </w:numPr>
      <w:outlineLvl w:val="2"/>
    </w:pPr>
    <w:rPr>
      <w:bCs/>
      <w:i/>
      <w:szCs w:val="26"/>
    </w:rPr>
  </w:style>
  <w:style w:type="paragraph" w:styleId="Heading4">
    <w:name w:val="heading 4"/>
    <w:basedOn w:val="Normal"/>
    <w:next w:val="Text1"/>
    <w:qFormat/>
    <w:rsid w:val="00A76CDC"/>
    <w:pPr>
      <w:keepNext/>
      <w:numPr>
        <w:ilvl w:val="3"/>
        <w:numId w:val="8"/>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F55163"/>
    <w:pPr>
      <w:spacing w:before="0" w:after="440"/>
      <w:ind w:left="-1134" w:right="-1134"/>
    </w:pPr>
    <w:rPr>
      <w:sz w:val="2"/>
    </w:rPr>
  </w:style>
  <w:style w:type="character" w:customStyle="1" w:styleId="TechnicalBlockChar">
    <w:name w:val="Technical Block Char"/>
    <w:basedOn w:val="DefaultParagraphFont"/>
    <w:rsid w:val="00F55163"/>
    <w:rPr>
      <w:sz w:val="24"/>
      <w:szCs w:val="24"/>
      <w:lang w:val="en-GB" w:eastAsia="en-US"/>
    </w:rPr>
  </w:style>
  <w:style w:type="character" w:customStyle="1" w:styleId="HeaderCouncilLargeChar">
    <w:name w:val="Header Council Large Char"/>
    <w:basedOn w:val="TechnicalBlockChar"/>
    <w:link w:val="HeaderCouncilLarge"/>
    <w:rsid w:val="00F55163"/>
    <w:rPr>
      <w:sz w:val="2"/>
      <w:szCs w:val="24"/>
      <w:lang w:val="en-GB" w:eastAsia="en-US"/>
    </w:rPr>
  </w:style>
  <w:style w:type="paragraph" w:customStyle="1" w:styleId="FooterText">
    <w:name w:val="Footer Text"/>
    <w:basedOn w:val="Normal"/>
    <w:rsid w:val="00F55163"/>
    <w:pPr>
      <w:spacing w:before="0" w:after="0"/>
    </w:pPr>
  </w:style>
  <w:style w:type="paragraph" w:customStyle="1" w:styleId="FooterAddressText">
    <w:name w:val="Footer Address Text"/>
    <w:basedOn w:val="FooterText"/>
    <w:qFormat/>
    <w:rsid w:val="00F55163"/>
    <w:pPr>
      <w:jc w:val="center"/>
    </w:pPr>
    <w:rPr>
      <w:spacing w:val="10"/>
      <w:sz w:val="16"/>
      <w:szCs w:val="16"/>
    </w:rPr>
  </w:style>
  <w:style w:type="character" w:styleId="Hyperlink">
    <w:name w:val="Hyperlink"/>
    <w:basedOn w:val="DefaultParagraphFont"/>
    <w:uiPriority w:val="99"/>
    <w:unhideWhenUsed/>
    <w:rsid w:val="00F55163"/>
    <w:rPr>
      <w:color w:val="0000FF" w:themeColor="hyperlink"/>
      <w:u w:val="single"/>
    </w:rPr>
  </w:style>
  <w:style w:type="paragraph" w:customStyle="1" w:styleId="HeaderText">
    <w:name w:val="Header Text"/>
    <w:basedOn w:val="Normal"/>
    <w:rsid w:val="00F55163"/>
    <w:pPr>
      <w:spacing w:before="0" w:after="0"/>
    </w:pPr>
  </w:style>
  <w:style w:type="paragraph" w:customStyle="1" w:styleId="pointmanual">
    <w:name w:val="pointmanual"/>
    <w:basedOn w:val="Normal"/>
    <w:rsid w:val="00F259B0"/>
    <w:pPr>
      <w:spacing w:before="100" w:beforeAutospacing="1" w:after="100" w:afterAutospacing="1"/>
    </w:pPr>
    <w:rPr>
      <w:rFonts w:eastAsia="Calibri"/>
      <w:lang w:eastAsia="en-GB"/>
    </w:rPr>
  </w:style>
  <w:style w:type="paragraph" w:customStyle="1" w:styleId="Znak">
    <w:name w:val="Znak"/>
    <w:basedOn w:val="Normal"/>
    <w:rsid w:val="00F259B0"/>
    <w:pPr>
      <w:spacing w:before="0" w:after="0"/>
    </w:pPr>
    <w:rPr>
      <w:lang w:val="pl-PL" w:eastAsia="pl-PL"/>
    </w:rPr>
  </w:style>
  <w:style w:type="paragraph" w:styleId="EndnoteText">
    <w:name w:val="endnote text"/>
    <w:basedOn w:val="Normal"/>
    <w:link w:val="EndnoteTextChar"/>
    <w:semiHidden/>
    <w:rsid w:val="00F259B0"/>
    <w:pPr>
      <w:widowControl w:val="0"/>
      <w:spacing w:before="0" w:after="0"/>
    </w:pPr>
    <w:rPr>
      <w:snapToGrid w:val="0"/>
      <w:szCs w:val="20"/>
      <w:lang w:val="en-US"/>
    </w:rPr>
  </w:style>
  <w:style w:type="character" w:customStyle="1" w:styleId="EndnoteTextChar">
    <w:name w:val="Endnote Text Char"/>
    <w:basedOn w:val="DefaultParagraphFont"/>
    <w:link w:val="EndnoteText"/>
    <w:semiHidden/>
    <w:rsid w:val="00F259B0"/>
    <w:rPr>
      <w:snapToGrid w:val="0"/>
      <w:sz w:val="24"/>
      <w:lang w:val="en-US" w:eastAsia="en-US"/>
    </w:rPr>
  </w:style>
  <w:style w:type="paragraph" w:styleId="ListParagraph">
    <w:name w:val="List Paragraph"/>
    <w:basedOn w:val="Normal"/>
    <w:uiPriority w:val="34"/>
    <w:qFormat/>
    <w:rsid w:val="00F259B0"/>
    <w:pPr>
      <w:spacing w:before="0" w:after="0" w:line="360" w:lineRule="auto"/>
      <w:ind w:left="720"/>
      <w:contextualSpacing/>
    </w:pPr>
    <w:rPr>
      <w:rFonts w:eastAsiaTheme="minorHAnsi" w:cstheme="minorBidi"/>
      <w:szCs w:val="22"/>
      <w:lang w:val="en-US"/>
    </w:rPr>
  </w:style>
  <w:style w:type="paragraph" w:customStyle="1" w:styleId="Point123">
    <w:name w:val="Point 123"/>
    <w:basedOn w:val="Normal"/>
    <w:qFormat/>
    <w:rsid w:val="00DD27DA"/>
    <w:pPr>
      <w:suppressAutoHyphens/>
      <w:spacing w:before="200" w:after="0"/>
    </w:pPr>
    <w:rPr>
      <w:lang w:eastAsia="en-GB" w:bidi="en-GB"/>
    </w:rPr>
  </w:style>
  <w:style w:type="character" w:customStyle="1" w:styleId="InternetLink">
    <w:name w:val="Internet Link"/>
    <w:qFormat/>
    <w:rsid w:val="00DD27DA"/>
    <w:rPr>
      <w:color w:val="0000FF"/>
      <w:u w:val="single"/>
    </w:rPr>
  </w:style>
  <w:style w:type="character" w:styleId="CommentReference">
    <w:name w:val="annotation reference"/>
    <w:basedOn w:val="DefaultParagraphFont"/>
    <w:uiPriority w:val="99"/>
    <w:semiHidden/>
    <w:unhideWhenUsed/>
    <w:rsid w:val="003361F7"/>
    <w:rPr>
      <w:sz w:val="16"/>
      <w:szCs w:val="16"/>
    </w:rPr>
  </w:style>
  <w:style w:type="paragraph" w:styleId="CommentText">
    <w:name w:val="annotation text"/>
    <w:basedOn w:val="Normal"/>
    <w:link w:val="CommentTextChar"/>
    <w:uiPriority w:val="99"/>
    <w:semiHidden/>
    <w:unhideWhenUsed/>
    <w:rsid w:val="003361F7"/>
    <w:rPr>
      <w:sz w:val="20"/>
      <w:szCs w:val="20"/>
    </w:rPr>
  </w:style>
  <w:style w:type="character" w:customStyle="1" w:styleId="CommentTextChar">
    <w:name w:val="Comment Text Char"/>
    <w:basedOn w:val="DefaultParagraphFont"/>
    <w:link w:val="CommentText"/>
    <w:uiPriority w:val="99"/>
    <w:semiHidden/>
    <w:rsid w:val="003361F7"/>
    <w:rPr>
      <w:lang w:val="en-GB" w:eastAsia="en-US"/>
    </w:rPr>
  </w:style>
  <w:style w:type="paragraph" w:styleId="CommentSubject">
    <w:name w:val="annotation subject"/>
    <w:basedOn w:val="CommentText"/>
    <w:next w:val="CommentText"/>
    <w:link w:val="CommentSubjectChar"/>
    <w:uiPriority w:val="99"/>
    <w:semiHidden/>
    <w:unhideWhenUsed/>
    <w:rsid w:val="003361F7"/>
    <w:rPr>
      <w:b/>
      <w:bCs/>
    </w:rPr>
  </w:style>
  <w:style w:type="character" w:customStyle="1" w:styleId="CommentSubjectChar">
    <w:name w:val="Comment Subject Char"/>
    <w:basedOn w:val="CommentTextChar"/>
    <w:link w:val="CommentSubject"/>
    <w:uiPriority w:val="99"/>
    <w:semiHidden/>
    <w:rsid w:val="003361F7"/>
    <w:rPr>
      <w:b/>
      <w:bCs/>
      <w:lang w:val="en-GB" w:eastAsia="en-US"/>
    </w:rPr>
  </w:style>
  <w:style w:type="paragraph" w:styleId="BalloonText">
    <w:name w:val="Balloon Text"/>
    <w:basedOn w:val="Normal"/>
    <w:link w:val="BalloonTextChar"/>
    <w:uiPriority w:val="99"/>
    <w:semiHidden/>
    <w:unhideWhenUsed/>
    <w:rsid w:val="00845C1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C14"/>
    <w:rPr>
      <w:rFonts w:ascii="Tahoma" w:hAnsi="Tahoma" w:cs="Tahoma"/>
      <w:sz w:val="16"/>
      <w:szCs w:val="16"/>
      <w:lang w:val="en-GB" w:eastAsia="en-US"/>
    </w:rPr>
  </w:style>
  <w:style w:type="character" w:styleId="FollowedHyperlink">
    <w:name w:val="FollowedHyperlink"/>
    <w:basedOn w:val="DefaultParagraphFont"/>
    <w:uiPriority w:val="99"/>
    <w:semiHidden/>
    <w:unhideWhenUsed/>
    <w:rsid w:val="007B31A3"/>
    <w:rPr>
      <w:color w:val="800080" w:themeColor="followedHyperlink"/>
      <w:u w:val="single"/>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16"/>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5"/>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2"/>
      </w:numPr>
    </w:pPr>
  </w:style>
  <w:style w:type="paragraph" w:customStyle="1" w:styleId="Tiret1">
    <w:name w:val="Tiret 1"/>
    <w:basedOn w:val="Normal"/>
    <w:rsid w:val="00A76CDC"/>
    <w:pPr>
      <w:numPr>
        <w:numId w:val="3"/>
      </w:numPr>
      <w:outlineLvl w:val="0"/>
    </w:pPr>
  </w:style>
  <w:style w:type="paragraph" w:customStyle="1" w:styleId="Tiret2">
    <w:name w:val="Tiret 2"/>
    <w:basedOn w:val="Normal"/>
    <w:rsid w:val="00A76CDC"/>
    <w:pPr>
      <w:numPr>
        <w:numId w:val="4"/>
      </w:numPr>
      <w:outlineLvl w:val="1"/>
    </w:pPr>
  </w:style>
  <w:style w:type="paragraph" w:customStyle="1" w:styleId="Tiret3">
    <w:name w:val="Tiret 3"/>
    <w:basedOn w:val="Normal"/>
    <w:rsid w:val="00A76CDC"/>
    <w:pPr>
      <w:numPr>
        <w:numId w:val="5"/>
      </w:numPr>
      <w:outlineLvl w:val="2"/>
    </w:pPr>
  </w:style>
  <w:style w:type="paragraph" w:customStyle="1" w:styleId="Tiret4">
    <w:name w:val="Tiret 4"/>
    <w:basedOn w:val="Normal"/>
    <w:rsid w:val="00A76CDC"/>
    <w:pPr>
      <w:numPr>
        <w:numId w:val="6"/>
      </w:numPr>
      <w:outlineLvl w:val="3"/>
    </w:pPr>
  </w:style>
  <w:style w:type="paragraph" w:customStyle="1" w:styleId="NumPar1">
    <w:name w:val="NumPar 1"/>
    <w:basedOn w:val="Normal"/>
    <w:next w:val="Text1"/>
    <w:rsid w:val="00A76CDC"/>
    <w:pPr>
      <w:numPr>
        <w:numId w:val="7"/>
      </w:numPr>
      <w:outlineLvl w:val="0"/>
    </w:pPr>
  </w:style>
  <w:style w:type="paragraph" w:customStyle="1" w:styleId="NumPar2">
    <w:name w:val="NumPar 2"/>
    <w:basedOn w:val="Normal"/>
    <w:next w:val="Text1"/>
    <w:rsid w:val="00A76CDC"/>
    <w:pPr>
      <w:numPr>
        <w:ilvl w:val="1"/>
        <w:numId w:val="7"/>
      </w:numPr>
      <w:outlineLvl w:val="1"/>
    </w:pPr>
  </w:style>
  <w:style w:type="paragraph" w:customStyle="1" w:styleId="NumPar3">
    <w:name w:val="NumPar 3"/>
    <w:basedOn w:val="Normal"/>
    <w:next w:val="Text1"/>
    <w:rsid w:val="00A76CDC"/>
    <w:pPr>
      <w:numPr>
        <w:ilvl w:val="2"/>
        <w:numId w:val="7"/>
      </w:numPr>
      <w:outlineLvl w:val="2"/>
    </w:pPr>
  </w:style>
  <w:style w:type="paragraph" w:customStyle="1" w:styleId="NumPar4">
    <w:name w:val="NumPar 4"/>
    <w:basedOn w:val="Normal"/>
    <w:next w:val="Text1"/>
    <w:rsid w:val="00A76CDC"/>
    <w:pPr>
      <w:numPr>
        <w:ilvl w:val="3"/>
        <w:numId w:val="7"/>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9"/>
      </w:numPr>
    </w:pPr>
  </w:style>
  <w:style w:type="paragraph" w:customStyle="1" w:styleId="Point1number">
    <w:name w:val="Point 1 (number)"/>
    <w:basedOn w:val="Normal"/>
    <w:rsid w:val="00A76CDC"/>
    <w:pPr>
      <w:numPr>
        <w:ilvl w:val="2"/>
        <w:numId w:val="9"/>
      </w:numPr>
      <w:outlineLvl w:val="0"/>
    </w:pPr>
  </w:style>
  <w:style w:type="paragraph" w:customStyle="1" w:styleId="Point2number">
    <w:name w:val="Point 2 (number)"/>
    <w:basedOn w:val="Normal"/>
    <w:rsid w:val="00A76CDC"/>
    <w:pPr>
      <w:numPr>
        <w:ilvl w:val="4"/>
        <w:numId w:val="9"/>
      </w:numPr>
      <w:outlineLvl w:val="1"/>
    </w:pPr>
  </w:style>
  <w:style w:type="paragraph" w:customStyle="1" w:styleId="Point3number">
    <w:name w:val="Point 3 (number)"/>
    <w:basedOn w:val="Normal"/>
    <w:rsid w:val="00A76CDC"/>
    <w:pPr>
      <w:numPr>
        <w:ilvl w:val="6"/>
        <w:numId w:val="9"/>
      </w:numPr>
      <w:outlineLvl w:val="2"/>
    </w:pPr>
  </w:style>
  <w:style w:type="paragraph" w:customStyle="1" w:styleId="Point0letter">
    <w:name w:val="Point 0 (letter)"/>
    <w:basedOn w:val="Normal"/>
    <w:rsid w:val="00A76CDC"/>
    <w:pPr>
      <w:numPr>
        <w:ilvl w:val="1"/>
        <w:numId w:val="9"/>
      </w:numPr>
    </w:pPr>
  </w:style>
  <w:style w:type="paragraph" w:customStyle="1" w:styleId="Point1letter">
    <w:name w:val="Point 1 (letter)"/>
    <w:basedOn w:val="Normal"/>
    <w:rsid w:val="00A76CDC"/>
    <w:pPr>
      <w:numPr>
        <w:ilvl w:val="3"/>
        <w:numId w:val="9"/>
      </w:numPr>
      <w:outlineLvl w:val="0"/>
    </w:pPr>
  </w:style>
  <w:style w:type="paragraph" w:customStyle="1" w:styleId="Point2letter">
    <w:name w:val="Point 2 (letter)"/>
    <w:basedOn w:val="Normal"/>
    <w:rsid w:val="00A76CDC"/>
    <w:pPr>
      <w:numPr>
        <w:ilvl w:val="5"/>
        <w:numId w:val="9"/>
      </w:numPr>
      <w:outlineLvl w:val="1"/>
    </w:pPr>
  </w:style>
  <w:style w:type="paragraph" w:customStyle="1" w:styleId="Point3letter">
    <w:name w:val="Point 3 (letter)"/>
    <w:basedOn w:val="Normal"/>
    <w:rsid w:val="00A76CDC"/>
    <w:pPr>
      <w:numPr>
        <w:ilvl w:val="7"/>
        <w:numId w:val="9"/>
      </w:numPr>
      <w:outlineLvl w:val="2"/>
    </w:pPr>
  </w:style>
  <w:style w:type="paragraph" w:customStyle="1" w:styleId="Point4letter">
    <w:name w:val="Point 4 (letter)"/>
    <w:basedOn w:val="Normal"/>
    <w:rsid w:val="00A76CDC"/>
    <w:pPr>
      <w:numPr>
        <w:ilvl w:val="8"/>
        <w:numId w:val="9"/>
      </w:numPr>
      <w:outlineLvl w:val="3"/>
    </w:pPr>
  </w:style>
  <w:style w:type="paragraph" w:customStyle="1" w:styleId="Bullet0">
    <w:name w:val="Bullet 0"/>
    <w:basedOn w:val="Normal"/>
    <w:rsid w:val="00A76CDC"/>
    <w:pPr>
      <w:numPr>
        <w:numId w:val="10"/>
      </w:numPr>
    </w:pPr>
  </w:style>
  <w:style w:type="paragraph" w:customStyle="1" w:styleId="Bullet1">
    <w:name w:val="Bullet 1"/>
    <w:basedOn w:val="Normal"/>
    <w:rsid w:val="00A76CDC"/>
    <w:pPr>
      <w:numPr>
        <w:numId w:val="11"/>
      </w:numPr>
      <w:outlineLvl w:val="0"/>
    </w:pPr>
  </w:style>
  <w:style w:type="paragraph" w:customStyle="1" w:styleId="Bullet2">
    <w:name w:val="Bullet 2"/>
    <w:basedOn w:val="Normal"/>
    <w:rsid w:val="00A76CDC"/>
    <w:pPr>
      <w:numPr>
        <w:numId w:val="12"/>
      </w:numPr>
      <w:outlineLvl w:val="1"/>
    </w:pPr>
  </w:style>
  <w:style w:type="paragraph" w:customStyle="1" w:styleId="Bullet3">
    <w:name w:val="Bullet 3"/>
    <w:basedOn w:val="Normal"/>
    <w:rsid w:val="00A76CDC"/>
    <w:pPr>
      <w:numPr>
        <w:numId w:val="13"/>
      </w:numPr>
      <w:outlineLvl w:val="2"/>
    </w:pPr>
  </w:style>
  <w:style w:type="paragraph" w:customStyle="1" w:styleId="Bullet4">
    <w:name w:val="Bullet 4"/>
    <w:basedOn w:val="Normal"/>
    <w:rsid w:val="00A76CDC"/>
    <w:pPr>
      <w:numPr>
        <w:numId w:val="14"/>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A36655"/>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8"/>
      </w:numPr>
      <w:spacing w:before="360"/>
      <w:outlineLvl w:val="0"/>
    </w:pPr>
    <w:rPr>
      <w:b/>
      <w:bCs/>
      <w:smallCaps/>
      <w:szCs w:val="32"/>
    </w:rPr>
  </w:style>
  <w:style w:type="paragraph" w:styleId="Heading2">
    <w:name w:val="heading 2"/>
    <w:basedOn w:val="Normal"/>
    <w:next w:val="Text1"/>
    <w:qFormat/>
    <w:rsid w:val="00A76CDC"/>
    <w:pPr>
      <w:keepNext/>
      <w:numPr>
        <w:ilvl w:val="1"/>
        <w:numId w:val="8"/>
      </w:numPr>
      <w:outlineLvl w:val="1"/>
    </w:pPr>
    <w:rPr>
      <w:b/>
      <w:bCs/>
      <w:iCs/>
      <w:szCs w:val="28"/>
    </w:rPr>
  </w:style>
  <w:style w:type="paragraph" w:styleId="Heading3">
    <w:name w:val="heading 3"/>
    <w:basedOn w:val="Normal"/>
    <w:next w:val="Text1"/>
    <w:qFormat/>
    <w:rsid w:val="00A76CDC"/>
    <w:pPr>
      <w:keepNext/>
      <w:numPr>
        <w:ilvl w:val="2"/>
        <w:numId w:val="8"/>
      </w:numPr>
      <w:outlineLvl w:val="2"/>
    </w:pPr>
    <w:rPr>
      <w:bCs/>
      <w:i/>
      <w:szCs w:val="26"/>
    </w:rPr>
  </w:style>
  <w:style w:type="paragraph" w:styleId="Heading4">
    <w:name w:val="heading 4"/>
    <w:basedOn w:val="Normal"/>
    <w:next w:val="Text1"/>
    <w:qFormat/>
    <w:rsid w:val="00A76CDC"/>
    <w:pPr>
      <w:keepNext/>
      <w:numPr>
        <w:ilvl w:val="3"/>
        <w:numId w:val="8"/>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F55163"/>
    <w:pPr>
      <w:spacing w:before="0" w:after="440"/>
      <w:ind w:left="-1134" w:right="-1134"/>
    </w:pPr>
    <w:rPr>
      <w:sz w:val="2"/>
    </w:rPr>
  </w:style>
  <w:style w:type="character" w:customStyle="1" w:styleId="TechnicalBlockChar">
    <w:name w:val="Technical Block Char"/>
    <w:basedOn w:val="DefaultParagraphFont"/>
    <w:rsid w:val="00F55163"/>
    <w:rPr>
      <w:sz w:val="24"/>
      <w:szCs w:val="24"/>
      <w:lang w:val="en-GB" w:eastAsia="en-US"/>
    </w:rPr>
  </w:style>
  <w:style w:type="character" w:customStyle="1" w:styleId="HeaderCouncilLargeChar">
    <w:name w:val="Header Council Large Char"/>
    <w:basedOn w:val="TechnicalBlockChar"/>
    <w:link w:val="HeaderCouncilLarge"/>
    <w:rsid w:val="00F55163"/>
    <w:rPr>
      <w:sz w:val="2"/>
      <w:szCs w:val="24"/>
      <w:lang w:val="en-GB" w:eastAsia="en-US"/>
    </w:rPr>
  </w:style>
  <w:style w:type="paragraph" w:customStyle="1" w:styleId="FooterText">
    <w:name w:val="Footer Text"/>
    <w:basedOn w:val="Normal"/>
    <w:rsid w:val="00F55163"/>
    <w:pPr>
      <w:spacing w:before="0" w:after="0"/>
    </w:pPr>
  </w:style>
  <w:style w:type="paragraph" w:customStyle="1" w:styleId="FooterAddressText">
    <w:name w:val="Footer Address Text"/>
    <w:basedOn w:val="FooterText"/>
    <w:qFormat/>
    <w:rsid w:val="00F55163"/>
    <w:pPr>
      <w:jc w:val="center"/>
    </w:pPr>
    <w:rPr>
      <w:spacing w:val="10"/>
      <w:sz w:val="16"/>
      <w:szCs w:val="16"/>
    </w:rPr>
  </w:style>
  <w:style w:type="character" w:styleId="Hyperlink">
    <w:name w:val="Hyperlink"/>
    <w:basedOn w:val="DefaultParagraphFont"/>
    <w:uiPriority w:val="99"/>
    <w:unhideWhenUsed/>
    <w:rsid w:val="00F55163"/>
    <w:rPr>
      <w:color w:val="0000FF" w:themeColor="hyperlink"/>
      <w:u w:val="single"/>
    </w:rPr>
  </w:style>
  <w:style w:type="paragraph" w:customStyle="1" w:styleId="HeaderText">
    <w:name w:val="Header Text"/>
    <w:basedOn w:val="Normal"/>
    <w:rsid w:val="00F55163"/>
    <w:pPr>
      <w:spacing w:before="0" w:after="0"/>
    </w:pPr>
  </w:style>
  <w:style w:type="paragraph" w:customStyle="1" w:styleId="pointmanual">
    <w:name w:val="pointmanual"/>
    <w:basedOn w:val="Normal"/>
    <w:rsid w:val="00F259B0"/>
    <w:pPr>
      <w:spacing w:before="100" w:beforeAutospacing="1" w:after="100" w:afterAutospacing="1"/>
    </w:pPr>
    <w:rPr>
      <w:rFonts w:eastAsia="Calibri"/>
      <w:lang w:eastAsia="en-GB"/>
    </w:rPr>
  </w:style>
  <w:style w:type="paragraph" w:customStyle="1" w:styleId="Znak">
    <w:name w:val="Znak"/>
    <w:basedOn w:val="Normal"/>
    <w:rsid w:val="00F259B0"/>
    <w:pPr>
      <w:spacing w:before="0" w:after="0"/>
    </w:pPr>
    <w:rPr>
      <w:lang w:val="pl-PL" w:eastAsia="pl-PL"/>
    </w:rPr>
  </w:style>
  <w:style w:type="paragraph" w:styleId="EndnoteText">
    <w:name w:val="endnote text"/>
    <w:basedOn w:val="Normal"/>
    <w:link w:val="EndnoteTextChar"/>
    <w:semiHidden/>
    <w:rsid w:val="00F259B0"/>
    <w:pPr>
      <w:widowControl w:val="0"/>
      <w:spacing w:before="0" w:after="0"/>
    </w:pPr>
    <w:rPr>
      <w:snapToGrid w:val="0"/>
      <w:szCs w:val="20"/>
      <w:lang w:val="en-US"/>
    </w:rPr>
  </w:style>
  <w:style w:type="character" w:customStyle="1" w:styleId="EndnoteTextChar">
    <w:name w:val="Endnote Text Char"/>
    <w:basedOn w:val="DefaultParagraphFont"/>
    <w:link w:val="EndnoteText"/>
    <w:semiHidden/>
    <w:rsid w:val="00F259B0"/>
    <w:rPr>
      <w:snapToGrid w:val="0"/>
      <w:sz w:val="24"/>
      <w:lang w:val="en-US" w:eastAsia="en-US"/>
    </w:rPr>
  </w:style>
  <w:style w:type="paragraph" w:styleId="ListParagraph">
    <w:name w:val="List Paragraph"/>
    <w:basedOn w:val="Normal"/>
    <w:uiPriority w:val="34"/>
    <w:qFormat/>
    <w:rsid w:val="00F259B0"/>
    <w:pPr>
      <w:spacing w:before="0" w:after="0" w:line="360" w:lineRule="auto"/>
      <w:ind w:left="720"/>
      <w:contextualSpacing/>
    </w:pPr>
    <w:rPr>
      <w:rFonts w:eastAsiaTheme="minorHAnsi" w:cstheme="minorBidi"/>
      <w:szCs w:val="22"/>
      <w:lang w:val="en-US"/>
    </w:rPr>
  </w:style>
  <w:style w:type="paragraph" w:customStyle="1" w:styleId="Point123">
    <w:name w:val="Point 123"/>
    <w:basedOn w:val="Normal"/>
    <w:qFormat/>
    <w:rsid w:val="00DD27DA"/>
    <w:pPr>
      <w:suppressAutoHyphens/>
      <w:spacing w:before="200" w:after="0"/>
    </w:pPr>
    <w:rPr>
      <w:lang w:eastAsia="en-GB" w:bidi="en-GB"/>
    </w:rPr>
  </w:style>
  <w:style w:type="character" w:customStyle="1" w:styleId="InternetLink">
    <w:name w:val="Internet Link"/>
    <w:qFormat/>
    <w:rsid w:val="00DD27DA"/>
    <w:rPr>
      <w:color w:val="0000FF"/>
      <w:u w:val="single"/>
    </w:rPr>
  </w:style>
  <w:style w:type="character" w:styleId="CommentReference">
    <w:name w:val="annotation reference"/>
    <w:basedOn w:val="DefaultParagraphFont"/>
    <w:uiPriority w:val="99"/>
    <w:semiHidden/>
    <w:unhideWhenUsed/>
    <w:rsid w:val="003361F7"/>
    <w:rPr>
      <w:sz w:val="16"/>
      <w:szCs w:val="16"/>
    </w:rPr>
  </w:style>
  <w:style w:type="paragraph" w:styleId="CommentText">
    <w:name w:val="annotation text"/>
    <w:basedOn w:val="Normal"/>
    <w:link w:val="CommentTextChar"/>
    <w:uiPriority w:val="99"/>
    <w:semiHidden/>
    <w:unhideWhenUsed/>
    <w:rsid w:val="003361F7"/>
    <w:rPr>
      <w:sz w:val="20"/>
      <w:szCs w:val="20"/>
    </w:rPr>
  </w:style>
  <w:style w:type="character" w:customStyle="1" w:styleId="CommentTextChar">
    <w:name w:val="Comment Text Char"/>
    <w:basedOn w:val="DefaultParagraphFont"/>
    <w:link w:val="CommentText"/>
    <w:uiPriority w:val="99"/>
    <w:semiHidden/>
    <w:rsid w:val="003361F7"/>
    <w:rPr>
      <w:lang w:val="en-GB" w:eastAsia="en-US"/>
    </w:rPr>
  </w:style>
  <w:style w:type="paragraph" w:styleId="CommentSubject">
    <w:name w:val="annotation subject"/>
    <w:basedOn w:val="CommentText"/>
    <w:next w:val="CommentText"/>
    <w:link w:val="CommentSubjectChar"/>
    <w:uiPriority w:val="99"/>
    <w:semiHidden/>
    <w:unhideWhenUsed/>
    <w:rsid w:val="003361F7"/>
    <w:rPr>
      <w:b/>
      <w:bCs/>
    </w:rPr>
  </w:style>
  <w:style w:type="character" w:customStyle="1" w:styleId="CommentSubjectChar">
    <w:name w:val="Comment Subject Char"/>
    <w:basedOn w:val="CommentTextChar"/>
    <w:link w:val="CommentSubject"/>
    <w:uiPriority w:val="99"/>
    <w:semiHidden/>
    <w:rsid w:val="003361F7"/>
    <w:rPr>
      <w:b/>
      <w:bCs/>
      <w:lang w:val="en-GB" w:eastAsia="en-US"/>
    </w:rPr>
  </w:style>
  <w:style w:type="paragraph" w:styleId="BalloonText">
    <w:name w:val="Balloon Text"/>
    <w:basedOn w:val="Normal"/>
    <w:link w:val="BalloonTextChar"/>
    <w:uiPriority w:val="99"/>
    <w:semiHidden/>
    <w:unhideWhenUsed/>
    <w:rsid w:val="00845C1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C14"/>
    <w:rPr>
      <w:rFonts w:ascii="Tahoma" w:hAnsi="Tahoma" w:cs="Tahoma"/>
      <w:sz w:val="16"/>
      <w:szCs w:val="16"/>
      <w:lang w:val="en-GB" w:eastAsia="en-US"/>
    </w:rPr>
  </w:style>
  <w:style w:type="character" w:styleId="FollowedHyperlink">
    <w:name w:val="FollowedHyperlink"/>
    <w:basedOn w:val="DefaultParagraphFont"/>
    <w:uiPriority w:val="99"/>
    <w:semiHidden/>
    <w:unhideWhenUsed/>
    <w:rsid w:val="007B31A3"/>
    <w:rPr>
      <w:color w:val="800080" w:themeColor="followedHyperlink"/>
      <w:u w:val="single"/>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16"/>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5"/>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2"/>
      </w:numPr>
    </w:pPr>
  </w:style>
  <w:style w:type="paragraph" w:customStyle="1" w:styleId="Tiret1">
    <w:name w:val="Tiret 1"/>
    <w:basedOn w:val="Normal"/>
    <w:rsid w:val="00A76CDC"/>
    <w:pPr>
      <w:numPr>
        <w:numId w:val="3"/>
      </w:numPr>
      <w:outlineLvl w:val="0"/>
    </w:pPr>
  </w:style>
  <w:style w:type="paragraph" w:customStyle="1" w:styleId="Tiret2">
    <w:name w:val="Tiret 2"/>
    <w:basedOn w:val="Normal"/>
    <w:rsid w:val="00A76CDC"/>
    <w:pPr>
      <w:numPr>
        <w:numId w:val="4"/>
      </w:numPr>
      <w:outlineLvl w:val="1"/>
    </w:pPr>
  </w:style>
  <w:style w:type="paragraph" w:customStyle="1" w:styleId="Tiret3">
    <w:name w:val="Tiret 3"/>
    <w:basedOn w:val="Normal"/>
    <w:rsid w:val="00A76CDC"/>
    <w:pPr>
      <w:numPr>
        <w:numId w:val="5"/>
      </w:numPr>
      <w:outlineLvl w:val="2"/>
    </w:pPr>
  </w:style>
  <w:style w:type="paragraph" w:customStyle="1" w:styleId="Tiret4">
    <w:name w:val="Tiret 4"/>
    <w:basedOn w:val="Normal"/>
    <w:rsid w:val="00A76CDC"/>
    <w:pPr>
      <w:numPr>
        <w:numId w:val="6"/>
      </w:numPr>
      <w:outlineLvl w:val="3"/>
    </w:pPr>
  </w:style>
  <w:style w:type="paragraph" w:customStyle="1" w:styleId="NumPar1">
    <w:name w:val="NumPar 1"/>
    <w:basedOn w:val="Normal"/>
    <w:next w:val="Text1"/>
    <w:rsid w:val="00A76CDC"/>
    <w:pPr>
      <w:numPr>
        <w:numId w:val="7"/>
      </w:numPr>
      <w:outlineLvl w:val="0"/>
    </w:pPr>
  </w:style>
  <w:style w:type="paragraph" w:customStyle="1" w:styleId="NumPar2">
    <w:name w:val="NumPar 2"/>
    <w:basedOn w:val="Normal"/>
    <w:next w:val="Text1"/>
    <w:rsid w:val="00A76CDC"/>
    <w:pPr>
      <w:numPr>
        <w:ilvl w:val="1"/>
        <w:numId w:val="7"/>
      </w:numPr>
      <w:outlineLvl w:val="1"/>
    </w:pPr>
  </w:style>
  <w:style w:type="paragraph" w:customStyle="1" w:styleId="NumPar3">
    <w:name w:val="NumPar 3"/>
    <w:basedOn w:val="Normal"/>
    <w:next w:val="Text1"/>
    <w:rsid w:val="00A76CDC"/>
    <w:pPr>
      <w:numPr>
        <w:ilvl w:val="2"/>
        <w:numId w:val="7"/>
      </w:numPr>
      <w:outlineLvl w:val="2"/>
    </w:pPr>
  </w:style>
  <w:style w:type="paragraph" w:customStyle="1" w:styleId="NumPar4">
    <w:name w:val="NumPar 4"/>
    <w:basedOn w:val="Normal"/>
    <w:next w:val="Text1"/>
    <w:rsid w:val="00A76CDC"/>
    <w:pPr>
      <w:numPr>
        <w:ilvl w:val="3"/>
        <w:numId w:val="7"/>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9"/>
      </w:numPr>
    </w:pPr>
  </w:style>
  <w:style w:type="paragraph" w:customStyle="1" w:styleId="Point1number">
    <w:name w:val="Point 1 (number)"/>
    <w:basedOn w:val="Normal"/>
    <w:rsid w:val="00A76CDC"/>
    <w:pPr>
      <w:numPr>
        <w:ilvl w:val="2"/>
        <w:numId w:val="9"/>
      </w:numPr>
      <w:outlineLvl w:val="0"/>
    </w:pPr>
  </w:style>
  <w:style w:type="paragraph" w:customStyle="1" w:styleId="Point2number">
    <w:name w:val="Point 2 (number)"/>
    <w:basedOn w:val="Normal"/>
    <w:rsid w:val="00A76CDC"/>
    <w:pPr>
      <w:numPr>
        <w:ilvl w:val="4"/>
        <w:numId w:val="9"/>
      </w:numPr>
      <w:outlineLvl w:val="1"/>
    </w:pPr>
  </w:style>
  <w:style w:type="paragraph" w:customStyle="1" w:styleId="Point3number">
    <w:name w:val="Point 3 (number)"/>
    <w:basedOn w:val="Normal"/>
    <w:rsid w:val="00A76CDC"/>
    <w:pPr>
      <w:numPr>
        <w:ilvl w:val="6"/>
        <w:numId w:val="9"/>
      </w:numPr>
      <w:outlineLvl w:val="2"/>
    </w:pPr>
  </w:style>
  <w:style w:type="paragraph" w:customStyle="1" w:styleId="Point0letter">
    <w:name w:val="Point 0 (letter)"/>
    <w:basedOn w:val="Normal"/>
    <w:rsid w:val="00A76CDC"/>
    <w:pPr>
      <w:numPr>
        <w:ilvl w:val="1"/>
        <w:numId w:val="9"/>
      </w:numPr>
    </w:pPr>
  </w:style>
  <w:style w:type="paragraph" w:customStyle="1" w:styleId="Point1letter">
    <w:name w:val="Point 1 (letter)"/>
    <w:basedOn w:val="Normal"/>
    <w:rsid w:val="00A76CDC"/>
    <w:pPr>
      <w:numPr>
        <w:ilvl w:val="3"/>
        <w:numId w:val="9"/>
      </w:numPr>
      <w:outlineLvl w:val="0"/>
    </w:pPr>
  </w:style>
  <w:style w:type="paragraph" w:customStyle="1" w:styleId="Point2letter">
    <w:name w:val="Point 2 (letter)"/>
    <w:basedOn w:val="Normal"/>
    <w:rsid w:val="00A76CDC"/>
    <w:pPr>
      <w:numPr>
        <w:ilvl w:val="5"/>
        <w:numId w:val="9"/>
      </w:numPr>
      <w:outlineLvl w:val="1"/>
    </w:pPr>
  </w:style>
  <w:style w:type="paragraph" w:customStyle="1" w:styleId="Point3letter">
    <w:name w:val="Point 3 (letter)"/>
    <w:basedOn w:val="Normal"/>
    <w:rsid w:val="00A76CDC"/>
    <w:pPr>
      <w:numPr>
        <w:ilvl w:val="7"/>
        <w:numId w:val="9"/>
      </w:numPr>
      <w:outlineLvl w:val="2"/>
    </w:pPr>
  </w:style>
  <w:style w:type="paragraph" w:customStyle="1" w:styleId="Point4letter">
    <w:name w:val="Point 4 (letter)"/>
    <w:basedOn w:val="Normal"/>
    <w:rsid w:val="00A76CDC"/>
    <w:pPr>
      <w:numPr>
        <w:ilvl w:val="8"/>
        <w:numId w:val="9"/>
      </w:numPr>
      <w:outlineLvl w:val="3"/>
    </w:pPr>
  </w:style>
  <w:style w:type="paragraph" w:customStyle="1" w:styleId="Bullet0">
    <w:name w:val="Bullet 0"/>
    <w:basedOn w:val="Normal"/>
    <w:rsid w:val="00A76CDC"/>
    <w:pPr>
      <w:numPr>
        <w:numId w:val="10"/>
      </w:numPr>
    </w:pPr>
  </w:style>
  <w:style w:type="paragraph" w:customStyle="1" w:styleId="Bullet1">
    <w:name w:val="Bullet 1"/>
    <w:basedOn w:val="Normal"/>
    <w:rsid w:val="00A76CDC"/>
    <w:pPr>
      <w:numPr>
        <w:numId w:val="11"/>
      </w:numPr>
      <w:outlineLvl w:val="0"/>
    </w:pPr>
  </w:style>
  <w:style w:type="paragraph" w:customStyle="1" w:styleId="Bullet2">
    <w:name w:val="Bullet 2"/>
    <w:basedOn w:val="Normal"/>
    <w:rsid w:val="00A76CDC"/>
    <w:pPr>
      <w:numPr>
        <w:numId w:val="12"/>
      </w:numPr>
      <w:outlineLvl w:val="1"/>
    </w:pPr>
  </w:style>
  <w:style w:type="paragraph" w:customStyle="1" w:styleId="Bullet3">
    <w:name w:val="Bullet 3"/>
    <w:basedOn w:val="Normal"/>
    <w:rsid w:val="00A76CDC"/>
    <w:pPr>
      <w:numPr>
        <w:numId w:val="13"/>
      </w:numPr>
      <w:outlineLvl w:val="2"/>
    </w:pPr>
  </w:style>
  <w:style w:type="paragraph" w:customStyle="1" w:styleId="Bullet4">
    <w:name w:val="Bullet 4"/>
    <w:basedOn w:val="Normal"/>
    <w:rsid w:val="00A76CDC"/>
    <w:pPr>
      <w:numPr>
        <w:numId w:val="14"/>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A36655"/>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600881">
      <w:bodyDiv w:val="1"/>
      <w:marLeft w:val="0"/>
      <w:marRight w:val="0"/>
      <w:marTop w:val="0"/>
      <w:marBottom w:val="0"/>
      <w:divBdr>
        <w:top w:val="none" w:sz="0" w:space="0" w:color="auto"/>
        <w:left w:val="none" w:sz="0" w:space="0" w:color="auto"/>
        <w:bottom w:val="none" w:sz="0" w:space="0" w:color="auto"/>
        <w:right w:val="none" w:sz="0" w:space="0" w:color="auto"/>
      </w:divBdr>
    </w:div>
    <w:div w:id="139396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data.consilium.europa.eu/doc/document/ST-12082-2015-INIT/en/pdf" TargetMode="External"/><Relationship Id="rId26" Type="http://schemas.openxmlformats.org/officeDocument/2006/relationships/hyperlink" Target="http://www.consilium.europa.eu/en/press/press-releases/2015/09/23-medical-devices/" TargetMode="External"/><Relationship Id="rId3" Type="http://schemas.microsoft.com/office/2007/relationships/stylesWithEffects" Target="stylesWithEffects.xml"/><Relationship Id="rId21" Type="http://schemas.openxmlformats.org/officeDocument/2006/relationships/hyperlink" Target="http://data.consilium.europa.eu/doc/document/ST-12085-2015-INIT/en/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data.consilium.europa.eu/doc/document/ST-10948-2015-REV-1/en/pdf" TargetMode="External"/><Relationship Id="rId33" Type="http://schemas.openxmlformats.org/officeDocument/2006/relationships/hyperlink" Target="http://data.consilium.europa.eu/doc/document/ST-11689-2015-INIT/en/pdf"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data.consilium.europa.eu/doc/document/ST-12081-2015-INIT/en/pdf" TargetMode="External"/><Relationship Id="rId29" Type="http://schemas.openxmlformats.org/officeDocument/2006/relationships/hyperlink" Target="http://data.consilium.europa.eu/doc/document/ST-15225-2014-INIT/en/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data.consilium.europa.eu/doc/document/ST-11606-2015-INIT/en/pdf" TargetMode="External"/><Relationship Id="rId32" Type="http://schemas.openxmlformats.org/officeDocument/2006/relationships/hyperlink" Target="http://data.consilium.europa.eu/doc/document/ST-11686-2015-INIT/en/pdf"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data.consilium.europa.eu/doc/document/ST-11360-2015-INIT/en/pdf" TargetMode="External"/><Relationship Id="rId28" Type="http://schemas.openxmlformats.org/officeDocument/2006/relationships/hyperlink" Target="http://data.consilium.europa.eu/doc/document/ST-15848-2014-INIT/en/pdf" TargetMode="External"/><Relationship Id="rId10" Type="http://schemas.openxmlformats.org/officeDocument/2006/relationships/header" Target="header2.xml"/><Relationship Id="rId19" Type="http://schemas.openxmlformats.org/officeDocument/2006/relationships/hyperlink" Target="http://data.consilium.europa.eu/doc/document/ST-12079-2015-INIT/en/pdf" TargetMode="External"/><Relationship Id="rId31" Type="http://schemas.openxmlformats.org/officeDocument/2006/relationships/hyperlink" Target="http://data.consilium.europa.eu/doc/document/ST-11232-2015-INIT/en/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data.consilium.europa.eu/doc/document/ST-12352-2015-INIT/en/pdf" TargetMode="External"/><Relationship Id="rId27" Type="http://schemas.openxmlformats.org/officeDocument/2006/relationships/hyperlink" Target="http://www.consilium.europa.eu/en/press/press-releases/2015/10/05-eucap-sahel-niger-council-nearly-doubles-missions-annual-budget/" TargetMode="External"/><Relationship Id="rId30" Type="http://schemas.openxmlformats.org/officeDocument/2006/relationships/hyperlink" Target="http://data.consilium.europa.eu/doc/document/ST-11667-2012-INIT/en/pdf" TargetMode="External"/><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5</TotalTime>
  <Pages>12</Pages>
  <Words>2857</Words>
  <Characters>15691</Characters>
  <Application>Microsoft Office Word</Application>
  <DocSecurity>0</DocSecurity>
  <Lines>285</Lines>
  <Paragraphs>162</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18386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GROSVENOR Tina</dc:creator>
  <cp:lastModifiedBy>KONTOGIANNI Elpida</cp:lastModifiedBy>
  <cp:revision>7</cp:revision>
  <cp:lastPrinted>2015-11-11T13:17:00Z</cp:lastPrinted>
  <dcterms:created xsi:type="dcterms:W3CDTF">2015-11-11T12:07:00Z</dcterms:created>
  <dcterms:modified xsi:type="dcterms:W3CDTF">2015-11-11T13:19:00Z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3.6.7, Build 20150916</vt:lpwstr>
  </property>
  <property fmtid="{D5CDD505-2E9C-101B-9397-08002B2CF9AE}" pid="4" name="Last edited using">
    <vt:lpwstr>DocuWrite 3.6.7, Build 20150916</vt:lpwstr>
  </property>
  <property fmtid="{D5CDD505-2E9C-101B-9397-08002B2CF9AE}" pid="5" name="SkipControlLengthPage">
    <vt:lpwstr> p.2</vt:lpwstr>
  </property>
</Properties>
</file>