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B7D" w:rsidRPr="006A735E" w:rsidRDefault="0045499C" w:rsidP="006A735E">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cbf6638-ec99-4c9b-aad9-5c9379c7e65a_0" style="width:568.15pt;height:7in">
            <v:imagedata r:id="rId9" o:title=""/>
          </v:shape>
        </w:pict>
      </w:r>
      <w:bookmarkEnd w:id="0"/>
    </w:p>
    <w:p w:rsidR="00686270" w:rsidRPr="006A735E" w:rsidRDefault="00686270" w:rsidP="0052697D">
      <w:pPr>
        <w:jc w:val="both"/>
        <w:rPr>
          <w:b/>
          <w:u w:val="single"/>
        </w:rPr>
      </w:pPr>
    </w:p>
    <w:p w:rsidR="00951310" w:rsidRPr="006A735E" w:rsidRDefault="00951310" w:rsidP="0052697D">
      <w:pPr>
        <w:jc w:val="both"/>
        <w:rPr>
          <w:b/>
          <w:bCs/>
          <w:u w:val="single"/>
        </w:rPr>
      </w:pPr>
      <w:r w:rsidRPr="006A735E">
        <w:rPr>
          <w:b/>
          <w:u w:val="single"/>
        </w:rPr>
        <w:t>ПОНЕДЕЛНИК, 23 НОЕМВРИ 2015 г. (10,00 ч.)</w:t>
      </w:r>
    </w:p>
    <w:p w:rsidR="00951310" w:rsidRPr="006A735E" w:rsidRDefault="00951310" w:rsidP="00951310">
      <w:pPr>
        <w:tabs>
          <w:tab w:val="left" w:pos="567"/>
          <w:tab w:val="left" w:pos="1134"/>
          <w:tab w:val="left" w:pos="1701"/>
        </w:tabs>
        <w:jc w:val="both"/>
        <w:rPr>
          <w:rFonts w:eastAsia="Calibri"/>
          <w:b/>
          <w:bCs/>
          <w:u w:val="single"/>
        </w:rPr>
      </w:pPr>
    </w:p>
    <w:p w:rsidR="00951310" w:rsidRPr="006A735E" w:rsidRDefault="00951310" w:rsidP="00951310">
      <w:pPr>
        <w:tabs>
          <w:tab w:val="left" w:pos="567"/>
          <w:tab w:val="left" w:pos="1134"/>
          <w:tab w:val="left" w:pos="1701"/>
        </w:tabs>
        <w:jc w:val="both"/>
        <w:rPr>
          <w:rFonts w:eastAsia="Calibri"/>
          <w:b/>
          <w:bCs/>
          <w:u w:val="single"/>
        </w:rPr>
      </w:pPr>
    </w:p>
    <w:p w:rsidR="00951310" w:rsidRPr="006A735E" w:rsidRDefault="00951310" w:rsidP="00951310">
      <w:pPr>
        <w:pStyle w:val="PointManual"/>
        <w:spacing w:before="0"/>
        <w:rPr>
          <w:rFonts w:eastAsia="Calibri"/>
        </w:rPr>
      </w:pPr>
      <w:r w:rsidRPr="006A735E">
        <w:t>1.</w:t>
      </w:r>
      <w:r w:rsidRPr="006A735E">
        <w:tab/>
        <w:t>Приемане на дневния ред</w:t>
      </w:r>
    </w:p>
    <w:p w:rsidR="00951310" w:rsidRPr="006A735E" w:rsidRDefault="00951310" w:rsidP="00951310">
      <w:pPr>
        <w:tabs>
          <w:tab w:val="left" w:pos="567"/>
          <w:tab w:val="left" w:pos="1134"/>
          <w:tab w:val="left" w:pos="1701"/>
        </w:tabs>
        <w:jc w:val="both"/>
        <w:rPr>
          <w:rFonts w:eastAsia="Calibri"/>
          <w:b/>
          <w:bCs/>
          <w:u w:val="single"/>
        </w:rPr>
      </w:pPr>
    </w:p>
    <w:p w:rsidR="00951310" w:rsidRPr="006A735E" w:rsidRDefault="00951310" w:rsidP="00951310">
      <w:pPr>
        <w:tabs>
          <w:tab w:val="left" w:pos="567"/>
          <w:tab w:val="left" w:pos="1134"/>
          <w:tab w:val="left" w:pos="1701"/>
        </w:tabs>
        <w:jc w:val="both"/>
        <w:rPr>
          <w:rFonts w:eastAsia="Calibri"/>
          <w:b/>
          <w:bCs/>
          <w:u w:val="single"/>
        </w:rPr>
      </w:pPr>
    </w:p>
    <w:p w:rsidR="00951310" w:rsidRPr="006A735E" w:rsidRDefault="00951310" w:rsidP="00951310">
      <w:pPr>
        <w:tabs>
          <w:tab w:val="left" w:pos="567"/>
          <w:tab w:val="left" w:pos="1134"/>
          <w:tab w:val="left" w:pos="1701"/>
        </w:tabs>
        <w:jc w:val="both"/>
        <w:rPr>
          <w:rFonts w:eastAsia="Calibri"/>
          <w:b/>
          <w:bCs/>
          <w:i/>
          <w:iCs/>
        </w:rPr>
      </w:pPr>
      <w:r w:rsidRPr="006A735E">
        <w:rPr>
          <w:b/>
          <w:u w:val="single"/>
        </w:rPr>
        <w:t>Обсъждания на законодателни актове</w:t>
      </w:r>
    </w:p>
    <w:p w:rsidR="00951310" w:rsidRPr="006A735E" w:rsidRDefault="00951310" w:rsidP="009434FC">
      <w:pPr>
        <w:tabs>
          <w:tab w:val="left" w:pos="567"/>
          <w:tab w:val="left" w:pos="1134"/>
          <w:tab w:val="left" w:pos="1701"/>
        </w:tabs>
        <w:rPr>
          <w:rFonts w:eastAsia="Calibri"/>
          <w:b/>
          <w:bCs/>
        </w:rPr>
      </w:pPr>
      <w:r w:rsidRPr="006A735E">
        <w:rPr>
          <w:b/>
        </w:rPr>
        <w:t>(открито обсъждане съгласно член 16, параграф 8 от Договора за Европейския съюз)</w:t>
      </w:r>
    </w:p>
    <w:p w:rsidR="00951310" w:rsidRPr="006A735E" w:rsidRDefault="00951310" w:rsidP="00951310">
      <w:pPr>
        <w:rPr>
          <w:rFonts w:eastAsia="Calibri"/>
          <w:b/>
          <w:bCs/>
        </w:rPr>
      </w:pPr>
    </w:p>
    <w:p w:rsidR="00951310" w:rsidRPr="006A735E" w:rsidRDefault="00951310" w:rsidP="00951310">
      <w:pPr>
        <w:rPr>
          <w:rFonts w:eastAsia="Calibri"/>
          <w:b/>
          <w:bCs/>
        </w:rPr>
      </w:pPr>
    </w:p>
    <w:p w:rsidR="00951310" w:rsidRPr="006A735E" w:rsidRDefault="00951310" w:rsidP="00951310">
      <w:pPr>
        <w:pStyle w:val="PointManual"/>
        <w:spacing w:before="0"/>
        <w:rPr>
          <w:rFonts w:eastAsia="Calibri"/>
          <w:u w:val="single"/>
        </w:rPr>
      </w:pPr>
      <w:r w:rsidRPr="006A735E">
        <w:t>2.</w:t>
      </w:r>
      <w:r w:rsidRPr="006A735E">
        <w:tab/>
        <w:t>(евентуално) Одобряване на списъка на точки А</w:t>
      </w:r>
    </w:p>
    <w:p w:rsidR="00951310" w:rsidRPr="006A735E" w:rsidRDefault="00951310" w:rsidP="00951310">
      <w:pPr>
        <w:tabs>
          <w:tab w:val="left" w:pos="567"/>
          <w:tab w:val="left" w:pos="600"/>
          <w:tab w:val="left" w:pos="1134"/>
          <w:tab w:val="left" w:pos="1701"/>
        </w:tabs>
        <w:rPr>
          <w:rFonts w:eastAsia="Calibri"/>
          <w:b/>
          <w:bCs/>
          <w:u w:val="single"/>
        </w:rPr>
      </w:pPr>
      <w:r w:rsidRPr="006A735E">
        <w:br w:type="page"/>
      </w:r>
    </w:p>
    <w:p w:rsidR="00951310" w:rsidRPr="006A735E" w:rsidRDefault="00951310" w:rsidP="00340D30">
      <w:pPr>
        <w:pStyle w:val="PointManual"/>
        <w:rPr>
          <w:rFonts w:eastAsia="Calibri"/>
          <w:b/>
          <w:bCs/>
          <w:u w:val="single"/>
        </w:rPr>
      </w:pPr>
      <w:r w:rsidRPr="006A735E">
        <w:rPr>
          <w:b/>
          <w:u w:val="single"/>
        </w:rPr>
        <w:t>Незаконодателни дейности</w:t>
      </w:r>
    </w:p>
    <w:p w:rsidR="00951310" w:rsidRPr="006A735E" w:rsidRDefault="00951310" w:rsidP="00951310">
      <w:pPr>
        <w:tabs>
          <w:tab w:val="left" w:pos="567"/>
          <w:tab w:val="left" w:pos="600"/>
          <w:tab w:val="left" w:pos="1134"/>
          <w:tab w:val="left" w:pos="1701"/>
        </w:tabs>
        <w:jc w:val="both"/>
        <w:rPr>
          <w:rFonts w:eastAsia="Calibri"/>
          <w:u w:val="single"/>
        </w:rPr>
      </w:pPr>
    </w:p>
    <w:p w:rsidR="00951310" w:rsidRPr="006A735E" w:rsidRDefault="00951310" w:rsidP="00951310">
      <w:pPr>
        <w:tabs>
          <w:tab w:val="left" w:pos="567"/>
          <w:tab w:val="left" w:pos="600"/>
          <w:tab w:val="left" w:pos="1134"/>
          <w:tab w:val="left" w:pos="1701"/>
        </w:tabs>
        <w:jc w:val="both"/>
        <w:rPr>
          <w:rFonts w:eastAsia="Calibri"/>
          <w:u w:val="single"/>
        </w:rPr>
      </w:pPr>
    </w:p>
    <w:p w:rsidR="00951310" w:rsidRPr="006A735E" w:rsidRDefault="00951310" w:rsidP="00951310">
      <w:pPr>
        <w:pStyle w:val="PointManual"/>
        <w:spacing w:before="0"/>
        <w:rPr>
          <w:rFonts w:eastAsia="Calibri"/>
        </w:rPr>
      </w:pPr>
      <w:r w:rsidRPr="006A735E">
        <w:t>3.</w:t>
      </w:r>
      <w:r w:rsidRPr="006A735E">
        <w:tab/>
        <w:t>(евентуално) Одобряване на списъка на точки А</w:t>
      </w:r>
    </w:p>
    <w:p w:rsidR="00340D30" w:rsidRPr="006A735E" w:rsidRDefault="00340D30" w:rsidP="00340D30">
      <w:pPr>
        <w:jc w:val="both"/>
      </w:pPr>
    </w:p>
    <w:p w:rsidR="00340D30" w:rsidRPr="006A735E" w:rsidRDefault="00340D30" w:rsidP="00340D30">
      <w:pPr>
        <w:jc w:val="both"/>
      </w:pPr>
    </w:p>
    <w:p w:rsidR="00340D30" w:rsidRPr="006A735E" w:rsidRDefault="00340D30" w:rsidP="00340D30">
      <w:pPr>
        <w:rPr>
          <w:u w:val="single"/>
        </w:rPr>
      </w:pPr>
      <w:r w:rsidRPr="006A735E">
        <w:rPr>
          <w:u w:val="single"/>
        </w:rPr>
        <w:t>МЛАДЕЖ</w:t>
      </w:r>
    </w:p>
    <w:p w:rsidR="00340D30" w:rsidRPr="006A735E" w:rsidRDefault="00340D30" w:rsidP="00340D30">
      <w:pPr>
        <w:jc w:val="both"/>
      </w:pPr>
    </w:p>
    <w:p w:rsidR="00340D30" w:rsidRPr="006A735E" w:rsidRDefault="00964582" w:rsidP="00340D30">
      <w:pPr>
        <w:pStyle w:val="PointManual"/>
      </w:pPr>
      <w:r w:rsidRPr="006A735E">
        <w:t xml:space="preserve">4. </w:t>
      </w:r>
      <w:r w:rsidRPr="006A735E">
        <w:tab/>
        <w:t>Проект за съвместен доклад на Съвета и на Комисията за 2015 г. относно изпълнението на обновената рамка за европейско сътрудничество по въпросите на младежта (2010―2018 г.)</w:t>
      </w:r>
    </w:p>
    <w:p w:rsidR="00340D30" w:rsidRPr="006A735E" w:rsidRDefault="00473BCF" w:rsidP="00837C70">
      <w:pPr>
        <w:pStyle w:val="Dash1"/>
        <w:numPr>
          <w:ilvl w:val="0"/>
          <w:numId w:val="21"/>
        </w:numPr>
      </w:pPr>
      <w:r w:rsidRPr="006A735E">
        <w:t>Приемане</w:t>
      </w:r>
    </w:p>
    <w:p w:rsidR="00340D30" w:rsidRPr="006A735E" w:rsidRDefault="008A5BAF" w:rsidP="00686270">
      <w:pPr>
        <w:pStyle w:val="Text3"/>
      </w:pPr>
      <w:r w:rsidRPr="006A735E">
        <w:t>13635/15 JEUN 97 EDUC 286 SOC 634 EMPL 417 CULT 74 SAN 357</w:t>
      </w:r>
    </w:p>
    <w:p w:rsidR="007167B7" w:rsidRPr="006A735E" w:rsidRDefault="007167B7" w:rsidP="00145CDA"/>
    <w:p w:rsidR="00340D30" w:rsidRPr="006A735E" w:rsidRDefault="00964582" w:rsidP="000D516C">
      <w:pPr>
        <w:pStyle w:val="PointManual"/>
      </w:pPr>
      <w:r w:rsidRPr="006A735E">
        <w:t xml:space="preserve">5. </w:t>
      </w:r>
      <w:r w:rsidRPr="006A735E">
        <w:tab/>
        <w:t>Проект за резолюция на Съвета и на представителите на правителствата на държавите членки, заседаващи в рамките на Съвета, относно европейски работен план за младежта за периода 2016 — 2018 г.</w:t>
      </w:r>
    </w:p>
    <w:p w:rsidR="00340D30" w:rsidRPr="006A735E" w:rsidRDefault="00340D30" w:rsidP="00526FC0">
      <w:pPr>
        <w:pStyle w:val="Dash1"/>
        <w:rPr>
          <w:i/>
          <w:iCs/>
        </w:rPr>
      </w:pPr>
      <w:r w:rsidRPr="006A735E">
        <w:t>Приемане</w:t>
      </w:r>
    </w:p>
    <w:p w:rsidR="00340D30" w:rsidRPr="006A735E" w:rsidRDefault="008A5BAF" w:rsidP="00686270">
      <w:pPr>
        <w:pStyle w:val="Text3"/>
      </w:pPr>
      <w:r w:rsidRPr="006A735E">
        <w:t>13631/15 JEUN 96 EDUC 285 SOC 633 EMPL 416 CULT 73 SAN 356</w:t>
      </w:r>
    </w:p>
    <w:p w:rsidR="007167B7" w:rsidRPr="006A735E" w:rsidRDefault="007167B7" w:rsidP="00145CDA"/>
    <w:p w:rsidR="00340D30" w:rsidRPr="006A735E" w:rsidRDefault="00964582" w:rsidP="00340D30">
      <w:pPr>
        <w:pStyle w:val="PointManual"/>
      </w:pPr>
      <w:r w:rsidRPr="006A735E">
        <w:t xml:space="preserve">6. </w:t>
      </w:r>
      <w:r w:rsidRPr="006A735E">
        <w:tab/>
        <w:t>Политическо участие на младите хора</w:t>
      </w:r>
    </w:p>
    <w:p w:rsidR="00837C70" w:rsidRPr="006A735E" w:rsidRDefault="00837C70" w:rsidP="00837C70"/>
    <w:p w:rsidR="00340D30" w:rsidRPr="006A735E" w:rsidRDefault="00491667" w:rsidP="00491667">
      <w:pPr>
        <w:pStyle w:val="PointManual1"/>
      </w:pPr>
      <w:r>
        <w:t>а</w:t>
      </w:r>
      <w:r w:rsidRPr="00491667">
        <w:t>)</w:t>
      </w:r>
      <w:r w:rsidRPr="00491667">
        <w:tab/>
      </w:r>
      <w:r w:rsidR="00340D30" w:rsidRPr="006A735E">
        <w:t>Проект за резолюция на Съвета относно насърчаване на младите хора за политическо участие в демократичния живот на Европа</w:t>
      </w:r>
    </w:p>
    <w:p w:rsidR="00340D30" w:rsidRPr="006A735E" w:rsidRDefault="00491667" w:rsidP="00491667">
      <w:pPr>
        <w:pStyle w:val="PointManual2"/>
        <w:rPr>
          <w:i/>
          <w:iCs/>
        </w:rPr>
      </w:pPr>
      <w:r>
        <w:t>–</w:t>
      </w:r>
      <w:r w:rsidRPr="00491667">
        <w:tab/>
      </w:r>
      <w:r w:rsidR="00340D30" w:rsidRPr="006A735E">
        <w:t>Приемане</w:t>
      </w:r>
    </w:p>
    <w:p w:rsidR="00340D30" w:rsidRPr="006A735E" w:rsidRDefault="00340D30" w:rsidP="00837C70">
      <w:pPr>
        <w:rPr>
          <w:i/>
          <w:iCs/>
        </w:rPr>
      </w:pPr>
    </w:p>
    <w:p w:rsidR="00340D30" w:rsidRPr="006A735E" w:rsidRDefault="00491667" w:rsidP="00491667">
      <w:pPr>
        <w:pStyle w:val="PointManual1"/>
      </w:pPr>
      <w:r>
        <w:t>б</w:t>
      </w:r>
      <w:r w:rsidRPr="00491667">
        <w:t>)</w:t>
      </w:r>
      <w:r w:rsidRPr="00491667">
        <w:tab/>
      </w:r>
      <w:r w:rsidR="00340D30" w:rsidRPr="006A735E">
        <w:t>Окончателни съвместни препоръки относно предоставянето на повече права на младите хора за политическо участие в демократичния живот на Европа (Конференция на ЕС по въпросите на младежта, Люксембург, 21—24 септмеври 2015 г.)</w:t>
      </w:r>
    </w:p>
    <w:p w:rsidR="00340D30" w:rsidRPr="006A735E" w:rsidRDefault="00340D30" w:rsidP="00526FC0">
      <w:pPr>
        <w:pStyle w:val="Dash2"/>
        <w:rPr>
          <w:i/>
          <w:iCs/>
        </w:rPr>
      </w:pPr>
      <w:r w:rsidRPr="006A735E">
        <w:t>Представяне от председателството</w:t>
      </w:r>
    </w:p>
    <w:p w:rsidR="008A5BAF" w:rsidRPr="006A735E" w:rsidRDefault="008A5BAF" w:rsidP="00686270">
      <w:pPr>
        <w:pStyle w:val="Text3"/>
      </w:pPr>
      <w:r w:rsidRPr="006A735E">
        <w:t>12651/15 JEUN 78</w:t>
      </w:r>
    </w:p>
    <w:p w:rsidR="007167B7" w:rsidRPr="006A735E" w:rsidRDefault="007167B7" w:rsidP="00145CDA"/>
    <w:p w:rsidR="00340D30" w:rsidRPr="006A735E" w:rsidRDefault="00964582" w:rsidP="00340D30">
      <w:pPr>
        <w:pStyle w:val="PointManual"/>
      </w:pPr>
      <w:r w:rsidRPr="006A735E">
        <w:t xml:space="preserve">7. </w:t>
      </w:r>
      <w:r w:rsidRPr="006A735E">
        <w:tab/>
      </w:r>
      <w:r w:rsidRPr="006A735E">
        <w:rPr>
          <w:color w:val="000000"/>
        </w:rPr>
        <w:t>Ролята на политиката на младежта и на работата с младежта в контекста на миграцията — подкрепа за повишаване на осведомеността относно културните различия и за интегрирането на мигрантите</w:t>
      </w:r>
    </w:p>
    <w:p w:rsidR="00340D30" w:rsidRPr="006A735E" w:rsidRDefault="00340D30" w:rsidP="00526FC0">
      <w:pPr>
        <w:pStyle w:val="Dash1"/>
        <w:rPr>
          <w:color w:val="000000"/>
        </w:rPr>
      </w:pPr>
      <w:r w:rsidRPr="006A735E">
        <w:rPr>
          <w:color w:val="000000"/>
        </w:rPr>
        <w:t xml:space="preserve">Ориентационен дебат </w:t>
      </w:r>
    </w:p>
    <w:p w:rsidR="00340D30" w:rsidRPr="006A735E" w:rsidRDefault="00340D30" w:rsidP="00526FC0">
      <w:pPr>
        <w:pStyle w:val="Text2"/>
      </w:pPr>
      <w:r w:rsidRPr="006A735E">
        <w:t>(открит дебат съгласно член 8, параграф 2 от Процедурния правилник на Съвета [по предложение на председателството])</w:t>
      </w:r>
    </w:p>
    <w:p w:rsidR="00CB32CB" w:rsidRPr="006A735E" w:rsidRDefault="00CB32CB" w:rsidP="00686270">
      <w:pPr>
        <w:pStyle w:val="Text3"/>
      </w:pPr>
      <w:r w:rsidRPr="006A735E">
        <w:t>13640/15 JEUN 98 EDUC 287 CULT 75 SPORT 53 SOC 635 MIGR 59</w:t>
      </w:r>
    </w:p>
    <w:p w:rsidR="00340D30" w:rsidRPr="006A735E" w:rsidRDefault="00340D30" w:rsidP="00837C70">
      <w:pPr>
        <w:rPr>
          <w:i/>
          <w:iCs/>
        </w:rPr>
      </w:pPr>
    </w:p>
    <w:p w:rsidR="00951310" w:rsidRPr="006A735E" w:rsidRDefault="00951310" w:rsidP="00951310">
      <w:pPr>
        <w:rPr>
          <w:u w:val="single"/>
        </w:rPr>
      </w:pPr>
    </w:p>
    <w:p w:rsidR="009F160F" w:rsidRPr="006A735E" w:rsidRDefault="009F160F" w:rsidP="00951310">
      <w:pPr>
        <w:rPr>
          <w:u w:val="single"/>
        </w:rPr>
      </w:pPr>
      <w:r w:rsidRPr="006A735E">
        <w:br w:type="page"/>
      </w:r>
    </w:p>
    <w:p w:rsidR="00951310" w:rsidRPr="006A735E" w:rsidRDefault="00951310" w:rsidP="00951310">
      <w:pPr>
        <w:rPr>
          <w:u w:val="single"/>
        </w:rPr>
      </w:pPr>
      <w:r w:rsidRPr="006A735E">
        <w:rPr>
          <w:u w:val="single"/>
        </w:rPr>
        <w:t>ОБРАЗОВАНИЕ</w:t>
      </w:r>
    </w:p>
    <w:p w:rsidR="00951310" w:rsidRPr="006A735E" w:rsidRDefault="00951310" w:rsidP="00951310">
      <w:pPr>
        <w:jc w:val="both"/>
      </w:pPr>
    </w:p>
    <w:p w:rsidR="00340D30" w:rsidRPr="006A735E" w:rsidRDefault="00964582" w:rsidP="00340D30">
      <w:pPr>
        <w:pStyle w:val="PointManual"/>
      </w:pPr>
      <w:r w:rsidRPr="006A735E">
        <w:t>8.</w:t>
      </w:r>
      <w:r w:rsidRPr="006A735E">
        <w:tab/>
        <w:t>Проект за съвместен доклад за 2015 г. на Съвета и на Комисията относно прилагането на стратегическата рамка за европейско сътрудничество в областта на образованието и обучението („ET 2020“) — Нови приоритети на европейското сътрудничество в областта на образованието и обучението</w:t>
      </w:r>
    </w:p>
    <w:p w:rsidR="00340D30" w:rsidRPr="006A735E" w:rsidRDefault="00340D30" w:rsidP="00526FC0">
      <w:pPr>
        <w:pStyle w:val="Dash1"/>
        <w:rPr>
          <w:i/>
          <w:iCs/>
        </w:rPr>
      </w:pPr>
      <w:r w:rsidRPr="006A735E">
        <w:t>Приемане</w:t>
      </w:r>
    </w:p>
    <w:p w:rsidR="00340D30" w:rsidRPr="006A735E" w:rsidRDefault="00340D30" w:rsidP="00340D30"/>
    <w:p w:rsidR="00340D30" w:rsidRPr="006A735E" w:rsidRDefault="00964582" w:rsidP="007167B7">
      <w:pPr>
        <w:pStyle w:val="PointManual"/>
        <w:rPr>
          <w:b/>
          <w:bCs/>
        </w:rPr>
      </w:pPr>
      <w:r w:rsidRPr="006A735E">
        <w:t>9.</w:t>
      </w:r>
      <w:r w:rsidRPr="006A735E">
        <w:tab/>
        <w:t>Проект за заключения на Съвета относно намаляване на преждевременното напускане на училище и насърчаване на успеваемостта в училище</w:t>
      </w:r>
      <w:r w:rsidRPr="006A735E">
        <w:rPr>
          <w:b/>
        </w:rPr>
        <w:t xml:space="preserve"> </w:t>
      </w:r>
    </w:p>
    <w:p w:rsidR="00340D30" w:rsidRPr="006A735E" w:rsidRDefault="00340D30" w:rsidP="00526FC0">
      <w:pPr>
        <w:pStyle w:val="Dash1"/>
        <w:rPr>
          <w:i/>
          <w:iCs/>
        </w:rPr>
      </w:pPr>
      <w:r w:rsidRPr="006A735E">
        <w:t>Приемане</w:t>
      </w:r>
    </w:p>
    <w:p w:rsidR="00340D30" w:rsidRPr="006A735E" w:rsidRDefault="00340D30" w:rsidP="00473BCF"/>
    <w:p w:rsidR="00340D30" w:rsidRPr="006A735E" w:rsidRDefault="00964582" w:rsidP="00340D30">
      <w:pPr>
        <w:pStyle w:val="PointManual"/>
      </w:pPr>
      <w:r w:rsidRPr="006A735E">
        <w:t>10.</w:t>
      </w:r>
      <w:r w:rsidRPr="006A735E">
        <w:tab/>
        <w:t>Образование и мгирация: стратегии за интегриране на наскоро пристигнали мигранти и на хора с имигрантски произход</w:t>
      </w:r>
    </w:p>
    <w:p w:rsidR="00340D30" w:rsidRPr="006A735E" w:rsidRDefault="00340D30" w:rsidP="00526FC0">
      <w:pPr>
        <w:pStyle w:val="Dash1"/>
      </w:pPr>
      <w:r w:rsidRPr="006A735E">
        <w:t xml:space="preserve">Ориентационен дебат </w:t>
      </w:r>
    </w:p>
    <w:p w:rsidR="00340D30" w:rsidRPr="006A735E" w:rsidRDefault="00340D30" w:rsidP="00526FC0">
      <w:pPr>
        <w:pStyle w:val="Text2"/>
      </w:pPr>
      <w:r w:rsidRPr="006A735E">
        <w:t>(открит дебат съгласно член 8, параграф 2 от Процедурния правилник на Съвета [по предложение на председателството])</w:t>
      </w:r>
    </w:p>
    <w:p w:rsidR="000D516C" w:rsidRPr="006A735E" w:rsidRDefault="008A5BAF" w:rsidP="00686270">
      <w:pPr>
        <w:pStyle w:val="Text3"/>
      </w:pPr>
      <w:r w:rsidRPr="006A735E">
        <w:t xml:space="preserve">13449/15 EDUC 282 JEUN 93 CULT 66 SPORT 51 SOC 617 MIGR 58 </w:t>
      </w:r>
    </w:p>
    <w:p w:rsidR="008A5BAF" w:rsidRPr="006A735E" w:rsidRDefault="008A5BAF" w:rsidP="000D516C">
      <w:pPr>
        <w:pStyle w:val="Text5"/>
      </w:pPr>
      <w:r w:rsidRPr="006A735E">
        <w:t>RELEX 854</w:t>
      </w:r>
    </w:p>
    <w:p w:rsidR="00340D30" w:rsidRPr="006A735E" w:rsidRDefault="00340D30" w:rsidP="00837C70">
      <w:pPr>
        <w:rPr>
          <w:i/>
          <w:iCs/>
        </w:rPr>
      </w:pPr>
    </w:p>
    <w:p w:rsidR="00951310" w:rsidRPr="006A735E" w:rsidRDefault="00951310" w:rsidP="00951310">
      <w:pPr>
        <w:jc w:val="both"/>
      </w:pPr>
    </w:p>
    <w:p w:rsidR="00951310" w:rsidRPr="006A735E" w:rsidRDefault="00951310" w:rsidP="00951310">
      <w:pPr>
        <w:outlineLvl w:val="0"/>
        <w:rPr>
          <w:b/>
          <w:bCs/>
          <w:iCs/>
          <w:u w:val="single"/>
        </w:rPr>
      </w:pPr>
      <w:r w:rsidRPr="006A735E">
        <w:rPr>
          <w:b/>
          <w:u w:val="single"/>
        </w:rPr>
        <w:t>Други въпроси</w:t>
      </w:r>
    </w:p>
    <w:p w:rsidR="00951310" w:rsidRPr="006A735E" w:rsidRDefault="00951310" w:rsidP="00951310">
      <w:pPr>
        <w:outlineLvl w:val="0"/>
        <w:rPr>
          <w:b/>
          <w:bCs/>
          <w:iCs/>
        </w:rPr>
      </w:pPr>
    </w:p>
    <w:p w:rsidR="00964582" w:rsidRPr="006A735E" w:rsidRDefault="00473BCF" w:rsidP="00964582">
      <w:pPr>
        <w:pStyle w:val="PointManual"/>
      </w:pPr>
      <w:r w:rsidRPr="006A735E">
        <w:t>11.</w:t>
      </w:r>
      <w:r w:rsidRPr="006A735E">
        <w:tab/>
      </w:r>
      <w:r w:rsidRPr="006A735E">
        <w:rPr>
          <w:u w:val="single"/>
        </w:rPr>
        <w:t>Образование</w:t>
      </w:r>
    </w:p>
    <w:p w:rsidR="00964582" w:rsidRPr="006A735E" w:rsidRDefault="00964582" w:rsidP="00964582">
      <w:pPr>
        <w:outlineLvl w:val="0"/>
        <w:rPr>
          <w:color w:val="000000"/>
        </w:rPr>
      </w:pPr>
    </w:p>
    <w:p w:rsidR="00CB32CB" w:rsidRPr="006A735E" w:rsidRDefault="00491667" w:rsidP="00491667">
      <w:pPr>
        <w:pStyle w:val="PointManual1"/>
        <w:rPr>
          <w:color w:val="1F497D"/>
        </w:rPr>
      </w:pPr>
      <w:r>
        <w:t>а</w:t>
      </w:r>
      <w:r w:rsidRPr="00491667">
        <w:t>)</w:t>
      </w:r>
      <w:r w:rsidRPr="00491667">
        <w:tab/>
      </w:r>
      <w:r w:rsidR="00CB32CB" w:rsidRPr="006A735E">
        <w:t>Последващи действия на ЕС във връзка с Декларацията от Париж относно популяризирането чрез образование на гражданството и общите ценности — свобода, толерантност и недискриминация (Париж, 17 март 2015 г.): доклад за напредъка и перспективи</w:t>
      </w:r>
    </w:p>
    <w:p w:rsidR="00CB32CB" w:rsidRPr="006A735E" w:rsidRDefault="00491667" w:rsidP="00491667">
      <w:pPr>
        <w:pStyle w:val="PointManual2"/>
      </w:pPr>
      <w:r>
        <w:t>–</w:t>
      </w:r>
      <w:r w:rsidRPr="00491667">
        <w:tab/>
      </w:r>
      <w:r w:rsidR="00CB32CB" w:rsidRPr="006A735E">
        <w:t>Информация от делегацията на Франция</w:t>
      </w:r>
    </w:p>
    <w:p w:rsidR="00473BCF" w:rsidRPr="006A735E" w:rsidRDefault="00473BCF" w:rsidP="00964582">
      <w:pPr>
        <w:pStyle w:val="PointManual"/>
        <w:rPr>
          <w:b/>
          <w:u w:val="single"/>
        </w:rPr>
      </w:pPr>
    </w:p>
    <w:p w:rsidR="007167B7" w:rsidRPr="006A735E" w:rsidRDefault="007167B7" w:rsidP="007167B7"/>
    <w:p w:rsidR="007167B7" w:rsidRPr="006A735E" w:rsidRDefault="007167B7" w:rsidP="007167B7">
      <w:pPr>
        <w:jc w:val="center"/>
      </w:pPr>
      <w:r w:rsidRPr="006A735E">
        <w:t>o</w:t>
      </w:r>
    </w:p>
    <w:p w:rsidR="007167B7" w:rsidRPr="006A735E" w:rsidRDefault="007167B7" w:rsidP="007167B7">
      <w:pPr>
        <w:jc w:val="center"/>
      </w:pPr>
      <w:r w:rsidRPr="006A735E">
        <w:t>o</w:t>
      </w:r>
      <w:r w:rsidRPr="006A735E">
        <w:tab/>
        <w:t>o</w:t>
      </w:r>
    </w:p>
    <w:p w:rsidR="007167B7" w:rsidRPr="006A735E" w:rsidRDefault="007167B7" w:rsidP="007167B7"/>
    <w:p w:rsidR="007167B7" w:rsidRPr="006A735E" w:rsidRDefault="007167B7" w:rsidP="007167B7"/>
    <w:p w:rsidR="007167B7" w:rsidRPr="006A735E" w:rsidRDefault="00491667" w:rsidP="00491667">
      <w:pPr>
        <w:pStyle w:val="PointManual1"/>
      </w:pPr>
      <w:r>
        <w:t>б</w:t>
      </w:r>
      <w:r w:rsidRPr="00491667">
        <w:t>)</w:t>
      </w:r>
      <w:r w:rsidRPr="00491667">
        <w:tab/>
      </w:r>
      <w:r w:rsidR="007167B7" w:rsidRPr="006A735E">
        <w:t>Работна програма на предстоящото председателство</w:t>
      </w:r>
    </w:p>
    <w:p w:rsidR="007167B7" w:rsidRPr="006A735E" w:rsidRDefault="00491667" w:rsidP="00491667">
      <w:pPr>
        <w:pStyle w:val="PointManual2"/>
        <w:rPr>
          <w:b/>
          <w:u w:val="single"/>
        </w:rPr>
      </w:pPr>
      <w:r>
        <w:t>–</w:t>
      </w:r>
      <w:r w:rsidRPr="00491667">
        <w:tab/>
      </w:r>
      <w:r w:rsidR="007167B7" w:rsidRPr="006A735E">
        <w:t>Информация от делегацията на Нидерландия</w:t>
      </w:r>
      <w:r w:rsidR="007167B7" w:rsidRPr="006A735E">
        <w:rPr>
          <w:b/>
          <w:u w:val="single"/>
        </w:rPr>
        <w:t xml:space="preserve"> </w:t>
      </w:r>
    </w:p>
    <w:p w:rsidR="007167B7" w:rsidRPr="006A735E" w:rsidRDefault="007167B7" w:rsidP="007167B7"/>
    <w:p w:rsidR="007167B7" w:rsidRPr="006A735E" w:rsidRDefault="00837C70" w:rsidP="00491667">
      <w:pPr>
        <w:spacing w:line="260" w:lineRule="exact"/>
      </w:pPr>
      <w:r w:rsidRPr="006A735E">
        <w:br w:type="page"/>
      </w:r>
    </w:p>
    <w:p w:rsidR="00951310" w:rsidRPr="006A735E" w:rsidRDefault="00951310" w:rsidP="00491667">
      <w:pPr>
        <w:pStyle w:val="PointManual"/>
        <w:spacing w:line="260" w:lineRule="exact"/>
        <w:rPr>
          <w:b/>
          <w:bCs/>
          <w:u w:val="single"/>
        </w:rPr>
      </w:pPr>
      <w:r w:rsidRPr="006A735E">
        <w:rPr>
          <w:b/>
          <w:u w:val="single"/>
        </w:rPr>
        <w:t>ВТОРНИК, 24 НОЕМВРИ 2015 г. (10,00 ч.)</w:t>
      </w:r>
    </w:p>
    <w:p w:rsidR="00733B7D" w:rsidRPr="006A735E" w:rsidRDefault="00733B7D" w:rsidP="00491667">
      <w:pPr>
        <w:spacing w:line="260" w:lineRule="exact"/>
        <w:rPr>
          <w:b/>
        </w:rPr>
      </w:pPr>
    </w:p>
    <w:p w:rsidR="00145CDA" w:rsidRPr="006A735E" w:rsidRDefault="00145CDA" w:rsidP="00491667">
      <w:pPr>
        <w:pStyle w:val="PointManual"/>
        <w:spacing w:line="260" w:lineRule="exact"/>
        <w:rPr>
          <w:rFonts w:eastAsia="Calibri"/>
          <w:b/>
          <w:bCs/>
          <w:u w:val="single"/>
        </w:rPr>
      </w:pPr>
      <w:r w:rsidRPr="006A735E">
        <w:rPr>
          <w:b/>
          <w:u w:val="single"/>
        </w:rPr>
        <w:t>Незаконодателни дейности</w:t>
      </w:r>
    </w:p>
    <w:p w:rsidR="00951310" w:rsidRPr="006A735E" w:rsidRDefault="00951310" w:rsidP="00491667">
      <w:pPr>
        <w:pStyle w:val="PointManual"/>
        <w:spacing w:line="260" w:lineRule="exact"/>
      </w:pPr>
    </w:p>
    <w:p w:rsidR="00951310" w:rsidRPr="006A735E" w:rsidRDefault="00951310" w:rsidP="00491667">
      <w:pPr>
        <w:spacing w:line="260" w:lineRule="exact"/>
        <w:rPr>
          <w:u w:val="single"/>
        </w:rPr>
      </w:pPr>
      <w:r w:rsidRPr="006A735E">
        <w:rPr>
          <w:u w:val="single"/>
        </w:rPr>
        <w:t xml:space="preserve">КУЛТУРА / АУДИОВИЗИЯ </w:t>
      </w:r>
    </w:p>
    <w:p w:rsidR="00951310" w:rsidRPr="006A735E" w:rsidRDefault="00951310" w:rsidP="00491667">
      <w:pPr>
        <w:spacing w:line="260" w:lineRule="exact"/>
      </w:pPr>
    </w:p>
    <w:p w:rsidR="00340D30" w:rsidRPr="006A735E" w:rsidRDefault="00340D30" w:rsidP="00491667">
      <w:pPr>
        <w:pStyle w:val="PointManual"/>
        <w:spacing w:line="260" w:lineRule="exact"/>
      </w:pPr>
      <w:r w:rsidRPr="006A735E">
        <w:t>12.</w:t>
      </w:r>
      <w:r w:rsidRPr="006A735E">
        <w:tab/>
        <w:t>Проект за заключения на Съвета относно културата във външните отношения на ЕС с акцент върху културата в сътрудничеството за развитие</w:t>
      </w:r>
    </w:p>
    <w:p w:rsidR="00340D30" w:rsidRPr="006A735E" w:rsidRDefault="00340D30" w:rsidP="00491667">
      <w:pPr>
        <w:pStyle w:val="Dash1"/>
        <w:spacing w:line="260" w:lineRule="exact"/>
      </w:pPr>
      <w:r w:rsidRPr="006A735E">
        <w:t>Приемане</w:t>
      </w:r>
    </w:p>
    <w:p w:rsidR="00340D30" w:rsidRPr="006A735E" w:rsidRDefault="00340D30" w:rsidP="00491667">
      <w:pPr>
        <w:spacing w:line="260" w:lineRule="exact"/>
      </w:pPr>
    </w:p>
    <w:p w:rsidR="00340D30" w:rsidRPr="006A735E" w:rsidRDefault="00340D30" w:rsidP="00491667">
      <w:pPr>
        <w:pStyle w:val="PointManual"/>
        <w:spacing w:line="260" w:lineRule="exact"/>
      </w:pPr>
      <w:r w:rsidRPr="006A735E">
        <w:t>13.</w:t>
      </w:r>
      <w:r w:rsidRPr="006A735E">
        <w:tab/>
        <w:t>Проект за заключения на Съвета и на представителите на правителствата на държавите членки, заседаващи в рамките на Съвета, за изменение на работната програма в подкрепа на културата (2015—2018 г.) по отношение на приоритета на междукултуралния диалог</w:t>
      </w:r>
    </w:p>
    <w:p w:rsidR="00340D30" w:rsidRPr="006A735E" w:rsidRDefault="00340D30" w:rsidP="00491667">
      <w:pPr>
        <w:pStyle w:val="Dash1"/>
        <w:spacing w:line="260" w:lineRule="exact"/>
      </w:pPr>
      <w:r w:rsidRPr="006A735E">
        <w:t>Приемане</w:t>
      </w:r>
    </w:p>
    <w:p w:rsidR="00473BCF" w:rsidRPr="006A735E" w:rsidRDefault="00473BCF" w:rsidP="00491667">
      <w:pPr>
        <w:spacing w:line="260" w:lineRule="exact"/>
      </w:pPr>
    </w:p>
    <w:p w:rsidR="00340D30" w:rsidRPr="006A735E" w:rsidRDefault="00340D30" w:rsidP="00491667">
      <w:pPr>
        <w:pStyle w:val="PointManual"/>
        <w:spacing w:line="260" w:lineRule="exact"/>
      </w:pPr>
      <w:r w:rsidRPr="006A735E">
        <w:t>14.</w:t>
      </w:r>
      <w:r w:rsidRPr="006A735E">
        <w:tab/>
        <w:t>Съвместни действия срещу унищожаването на културното наследство в зони на конфликт и срещу трафика с произведения от това наследство</w:t>
      </w:r>
    </w:p>
    <w:p w:rsidR="00340D30" w:rsidRPr="006A735E" w:rsidRDefault="00340D30" w:rsidP="00491667">
      <w:pPr>
        <w:pStyle w:val="Dash1"/>
        <w:spacing w:line="260" w:lineRule="exact"/>
        <w:rPr>
          <w:color w:val="000000"/>
        </w:rPr>
      </w:pPr>
      <w:r w:rsidRPr="006A735E">
        <w:rPr>
          <w:color w:val="000000"/>
        </w:rPr>
        <w:t xml:space="preserve">Ориентационен дебат </w:t>
      </w:r>
    </w:p>
    <w:p w:rsidR="00526FC0" w:rsidRPr="006A735E" w:rsidRDefault="00526FC0" w:rsidP="00491667">
      <w:pPr>
        <w:pStyle w:val="Text2"/>
        <w:spacing w:line="260" w:lineRule="exact"/>
      </w:pPr>
      <w:r w:rsidRPr="006A735E">
        <w:t>(открит дебат съгласно член 8, параграф 2 от Процедурния правилник на Съвета [по предложение на председателството])</w:t>
      </w:r>
    </w:p>
    <w:p w:rsidR="00951310" w:rsidRPr="006A735E" w:rsidRDefault="00951310" w:rsidP="00491667">
      <w:pPr>
        <w:spacing w:line="260" w:lineRule="exact"/>
      </w:pPr>
    </w:p>
    <w:p w:rsidR="00837C70" w:rsidRPr="006A735E" w:rsidRDefault="00837C70" w:rsidP="00491667">
      <w:pPr>
        <w:spacing w:line="260" w:lineRule="exact"/>
      </w:pPr>
    </w:p>
    <w:p w:rsidR="00951310" w:rsidRPr="006A735E" w:rsidRDefault="00951310" w:rsidP="00491667">
      <w:pPr>
        <w:spacing w:line="260" w:lineRule="exact"/>
        <w:rPr>
          <w:color w:val="000000"/>
          <w:u w:val="single"/>
        </w:rPr>
      </w:pPr>
      <w:r w:rsidRPr="006A735E">
        <w:rPr>
          <w:color w:val="000000"/>
          <w:u w:val="single"/>
        </w:rPr>
        <w:t>СПОРТ</w:t>
      </w:r>
    </w:p>
    <w:p w:rsidR="00951310" w:rsidRPr="006A735E" w:rsidRDefault="00951310" w:rsidP="00491667">
      <w:pPr>
        <w:spacing w:line="260" w:lineRule="exact"/>
      </w:pPr>
    </w:p>
    <w:p w:rsidR="00340D30" w:rsidRPr="006A735E" w:rsidRDefault="00340D30" w:rsidP="00491667">
      <w:pPr>
        <w:pStyle w:val="PointManual"/>
        <w:spacing w:line="260" w:lineRule="exact"/>
        <w:rPr>
          <w:color w:val="000000"/>
        </w:rPr>
      </w:pPr>
      <w:r w:rsidRPr="006A735E">
        <w:rPr>
          <w:color w:val="000000"/>
        </w:rPr>
        <w:t>15.</w:t>
      </w:r>
      <w:r w:rsidRPr="006A735E">
        <w:tab/>
      </w:r>
      <w:r w:rsidRPr="006A735E">
        <w:rPr>
          <w:color w:val="000000"/>
        </w:rPr>
        <w:t>Проект за заключения на Съвета и на представителите на правителствата на държавите членки, заседаващи в рамките на Съвета, относно прегледа на Резолюцията от 2011 г. относно представянето на държавите — членки на ЕС, в управителния съвет на Световната антидопингова агенция (WADA) и координирането на позицията на ЕС и неговите държави членки преди заседанията на WADA</w:t>
      </w:r>
    </w:p>
    <w:p w:rsidR="00340D30" w:rsidRPr="006A735E" w:rsidRDefault="00340D30" w:rsidP="00491667">
      <w:pPr>
        <w:pStyle w:val="Dash1"/>
        <w:spacing w:line="260" w:lineRule="exact"/>
      </w:pPr>
      <w:r w:rsidRPr="006A735E">
        <w:t>Приемане</w:t>
      </w:r>
    </w:p>
    <w:p w:rsidR="00340D30" w:rsidRPr="006A735E" w:rsidRDefault="008A5BAF" w:rsidP="00491667">
      <w:pPr>
        <w:pStyle w:val="Text3"/>
        <w:spacing w:line="260" w:lineRule="exact"/>
      </w:pPr>
      <w:r w:rsidRPr="006A735E">
        <w:t>13103/15 SPORT 40 DOPAGE 7 SAN 337 JAI 764</w:t>
      </w:r>
    </w:p>
    <w:p w:rsidR="007167B7" w:rsidRPr="006A735E" w:rsidRDefault="007167B7" w:rsidP="00491667">
      <w:pPr>
        <w:spacing w:line="260" w:lineRule="exact"/>
      </w:pPr>
    </w:p>
    <w:p w:rsidR="00340D30" w:rsidRPr="006A735E" w:rsidRDefault="00340D30" w:rsidP="00491667">
      <w:pPr>
        <w:pStyle w:val="PointManual"/>
        <w:spacing w:line="260" w:lineRule="exact"/>
        <w:rPr>
          <w:color w:val="000000"/>
        </w:rPr>
      </w:pPr>
      <w:r w:rsidRPr="006A735E">
        <w:rPr>
          <w:color w:val="000000"/>
        </w:rPr>
        <w:t>16.</w:t>
      </w:r>
      <w:r w:rsidRPr="006A735E">
        <w:tab/>
      </w:r>
      <w:r w:rsidRPr="006A735E">
        <w:rPr>
          <w:color w:val="000000"/>
        </w:rPr>
        <w:t xml:space="preserve">Проект за заключения на Съвета относно насърчаването на двигателните умения, физическите и спортните занимания за деца </w:t>
      </w:r>
    </w:p>
    <w:p w:rsidR="00340D30" w:rsidRPr="006A735E" w:rsidRDefault="00340D30" w:rsidP="00491667">
      <w:pPr>
        <w:pStyle w:val="Dash1"/>
        <w:spacing w:line="260" w:lineRule="exact"/>
      </w:pPr>
      <w:r w:rsidRPr="006A735E">
        <w:t>Приемане</w:t>
      </w:r>
    </w:p>
    <w:p w:rsidR="00340D30" w:rsidRPr="006A735E" w:rsidRDefault="00CB32CB" w:rsidP="00491667">
      <w:pPr>
        <w:pStyle w:val="Text3"/>
        <w:spacing w:line="260" w:lineRule="exact"/>
        <w:rPr>
          <w:color w:val="000000"/>
        </w:rPr>
      </w:pPr>
      <w:r w:rsidRPr="006A735E">
        <w:rPr>
          <w:color w:val="000000"/>
        </w:rPr>
        <w:t>13431/15 SPORT 48 EDUC 279 JEUN 91 SAN 353</w:t>
      </w:r>
    </w:p>
    <w:p w:rsidR="007167B7" w:rsidRPr="006A735E" w:rsidRDefault="007167B7" w:rsidP="00491667">
      <w:pPr>
        <w:spacing w:line="260" w:lineRule="exact"/>
      </w:pPr>
    </w:p>
    <w:p w:rsidR="00340D30" w:rsidRPr="006A735E" w:rsidRDefault="00340D30" w:rsidP="00491667">
      <w:pPr>
        <w:pStyle w:val="PointManual"/>
        <w:spacing w:line="260" w:lineRule="exact"/>
        <w:rPr>
          <w:color w:val="000000"/>
        </w:rPr>
      </w:pPr>
      <w:r w:rsidRPr="006A735E">
        <w:rPr>
          <w:color w:val="000000"/>
        </w:rPr>
        <w:t>17.</w:t>
      </w:r>
      <w:r w:rsidRPr="006A735E">
        <w:tab/>
      </w:r>
      <w:r w:rsidRPr="006A735E">
        <w:rPr>
          <w:color w:val="000000"/>
        </w:rPr>
        <w:t>Образователният потенциал на спорта — Подпомагане на младите хора в неравностойно положение да намерят своето място в обществото</w:t>
      </w:r>
    </w:p>
    <w:p w:rsidR="00340D30" w:rsidRPr="006A735E" w:rsidRDefault="00340D30" w:rsidP="00491667">
      <w:pPr>
        <w:pStyle w:val="Dash1"/>
        <w:spacing w:line="260" w:lineRule="exact"/>
        <w:rPr>
          <w:color w:val="000000"/>
        </w:rPr>
      </w:pPr>
      <w:r w:rsidRPr="006A735E">
        <w:rPr>
          <w:color w:val="000000"/>
        </w:rPr>
        <w:t xml:space="preserve">Ориентационен дебат </w:t>
      </w:r>
    </w:p>
    <w:p w:rsidR="00526FC0" w:rsidRPr="006A735E" w:rsidRDefault="00526FC0" w:rsidP="00491667">
      <w:pPr>
        <w:pStyle w:val="Text2"/>
        <w:spacing w:line="260" w:lineRule="exact"/>
      </w:pPr>
      <w:r w:rsidRPr="006A735E">
        <w:t>(открит дебат съгласно член 8, параграф 2 от Процедурния правилник на Съвета [по предложение на председателството])</w:t>
      </w:r>
    </w:p>
    <w:p w:rsidR="000D516C" w:rsidRPr="006A735E" w:rsidRDefault="00CB32CB" w:rsidP="00491667">
      <w:pPr>
        <w:pStyle w:val="Text3"/>
        <w:spacing w:line="260" w:lineRule="exact"/>
        <w:rPr>
          <w:bCs/>
        </w:rPr>
      </w:pPr>
      <w:r w:rsidRPr="006A735E">
        <w:t xml:space="preserve">13440/15 SPORT 49 EDUC 280 JEUN 92 CULT 65 SOC 615 EMPL 405 </w:t>
      </w:r>
    </w:p>
    <w:p w:rsidR="00CB32CB" w:rsidRPr="006A735E" w:rsidRDefault="00CB32CB" w:rsidP="000D516C">
      <w:pPr>
        <w:pStyle w:val="Text5"/>
      </w:pPr>
      <w:r w:rsidRPr="006A735E">
        <w:t>MIGR 57</w:t>
      </w:r>
    </w:p>
    <w:p w:rsidR="00745BA6" w:rsidRPr="006A735E" w:rsidRDefault="00145CDA" w:rsidP="00491667">
      <w:pPr>
        <w:tabs>
          <w:tab w:val="left" w:pos="567"/>
          <w:tab w:val="left" w:pos="1134"/>
          <w:tab w:val="left" w:pos="1701"/>
        </w:tabs>
        <w:spacing w:line="240" w:lineRule="exact"/>
        <w:rPr>
          <w:u w:val="single"/>
        </w:rPr>
      </w:pPr>
      <w:r w:rsidRPr="006A735E">
        <w:br w:type="page"/>
      </w:r>
    </w:p>
    <w:p w:rsidR="00340D30" w:rsidRPr="006A735E" w:rsidRDefault="00340D30" w:rsidP="00491667">
      <w:pPr>
        <w:tabs>
          <w:tab w:val="left" w:pos="567"/>
          <w:tab w:val="left" w:pos="1134"/>
          <w:tab w:val="left" w:pos="1701"/>
        </w:tabs>
        <w:spacing w:line="240" w:lineRule="exact"/>
        <w:rPr>
          <w:b/>
          <w:bCs/>
          <w:u w:val="single"/>
        </w:rPr>
      </w:pPr>
      <w:r w:rsidRPr="006A735E">
        <w:rPr>
          <w:b/>
          <w:u w:val="single"/>
        </w:rPr>
        <w:t>Други въпроси</w:t>
      </w:r>
    </w:p>
    <w:p w:rsidR="00DF0B41" w:rsidRPr="006A735E" w:rsidRDefault="00DF0B41" w:rsidP="00491667">
      <w:pPr>
        <w:spacing w:line="240" w:lineRule="exact"/>
      </w:pPr>
    </w:p>
    <w:p w:rsidR="00340D30" w:rsidRPr="006A735E" w:rsidRDefault="00340D30" w:rsidP="00491667">
      <w:pPr>
        <w:pStyle w:val="PointManual"/>
        <w:spacing w:line="240" w:lineRule="exact"/>
        <w:rPr>
          <w:color w:val="000000"/>
          <w:u w:val="single"/>
        </w:rPr>
      </w:pPr>
      <w:r w:rsidRPr="006A735E">
        <w:rPr>
          <w:color w:val="000000"/>
        </w:rPr>
        <w:t>18.</w:t>
      </w:r>
      <w:r w:rsidRPr="006A735E">
        <w:tab/>
      </w:r>
      <w:r w:rsidRPr="006A735E">
        <w:rPr>
          <w:color w:val="000000"/>
          <w:u w:val="single"/>
        </w:rPr>
        <w:t>Аудиовизия</w:t>
      </w:r>
    </w:p>
    <w:p w:rsidR="00340D30" w:rsidRPr="006A735E" w:rsidRDefault="00340D30" w:rsidP="00491667">
      <w:pPr>
        <w:spacing w:line="240" w:lineRule="exact"/>
        <w:outlineLvl w:val="0"/>
        <w:rPr>
          <w:color w:val="000000"/>
          <w:u w:val="single"/>
        </w:rPr>
      </w:pPr>
    </w:p>
    <w:p w:rsidR="00340D30" w:rsidRPr="006A735E" w:rsidRDefault="00340D30" w:rsidP="00491667">
      <w:pPr>
        <w:pStyle w:val="Pointabc1"/>
        <w:numPr>
          <w:ilvl w:val="3"/>
          <w:numId w:val="37"/>
        </w:numPr>
        <w:spacing w:line="240" w:lineRule="exact"/>
      </w:pPr>
      <w:r w:rsidRPr="006A735E">
        <w:t>Програмата за пригодност и резултатност на регулаторната рамка и други инициативи във връзка със стратегията за цифров единен пазар</w:t>
      </w:r>
    </w:p>
    <w:p w:rsidR="00340D30" w:rsidRPr="006A735E" w:rsidRDefault="00340D30" w:rsidP="00491667">
      <w:pPr>
        <w:pStyle w:val="Dash2"/>
        <w:spacing w:line="240" w:lineRule="exact"/>
      </w:pPr>
      <w:r w:rsidRPr="006A735E">
        <w:t>Информация от Комисията</w:t>
      </w:r>
    </w:p>
    <w:p w:rsidR="00340D30" w:rsidRPr="006A735E" w:rsidRDefault="00340D30" w:rsidP="00491667">
      <w:pPr>
        <w:spacing w:line="240" w:lineRule="exact"/>
        <w:outlineLvl w:val="0"/>
        <w:rPr>
          <w:color w:val="000000"/>
          <w:u w:val="single"/>
        </w:rPr>
      </w:pPr>
    </w:p>
    <w:p w:rsidR="00340D30" w:rsidRPr="006A735E" w:rsidRDefault="009434FC" w:rsidP="00491667">
      <w:pPr>
        <w:pStyle w:val="PointManual"/>
        <w:spacing w:line="240" w:lineRule="exact"/>
        <w:rPr>
          <w:color w:val="000000"/>
        </w:rPr>
      </w:pPr>
      <w:r w:rsidRPr="006A735E">
        <w:rPr>
          <w:color w:val="000000"/>
        </w:rPr>
        <w:t>18.</w:t>
      </w:r>
      <w:r w:rsidRPr="006A735E">
        <w:tab/>
      </w:r>
      <w:r w:rsidRPr="006A735E">
        <w:rPr>
          <w:color w:val="000000"/>
          <w:u w:val="single"/>
        </w:rPr>
        <w:t>Спорт</w:t>
      </w:r>
    </w:p>
    <w:p w:rsidR="00340D30" w:rsidRPr="006A735E" w:rsidRDefault="00340D30" w:rsidP="00491667">
      <w:pPr>
        <w:spacing w:line="240" w:lineRule="exact"/>
        <w:outlineLvl w:val="0"/>
        <w:rPr>
          <w:color w:val="000000"/>
        </w:rPr>
      </w:pPr>
    </w:p>
    <w:p w:rsidR="00AA7D78" w:rsidRPr="006A735E" w:rsidRDefault="00837C70" w:rsidP="00491667">
      <w:pPr>
        <w:pStyle w:val="PointDoubleManual1"/>
        <w:spacing w:line="240" w:lineRule="exact"/>
      </w:pPr>
      <w:r w:rsidRPr="006A735E">
        <w:t>б)</w:t>
      </w:r>
      <w:r w:rsidRPr="006A735E">
        <w:tab/>
        <w:t>i)</w:t>
      </w:r>
      <w:r w:rsidRPr="006A735E">
        <w:tab/>
        <w:t>Предложение за решение на Съвета относно подписването от името на Европейския съюз на Конвенцията на Съвета на Европа относно манипулирането на спортни състезания по отношение на въпроси, които не са свързани с материалното наказателно право и съдебното сътрудничество по наказателноправни въпроси</w:t>
      </w:r>
    </w:p>
    <w:p w:rsidR="00837C70" w:rsidRPr="006A735E" w:rsidRDefault="00837C70" w:rsidP="00491667">
      <w:pPr>
        <w:spacing w:line="240" w:lineRule="exact"/>
      </w:pPr>
    </w:p>
    <w:p w:rsidR="009F160F" w:rsidRPr="006A735E" w:rsidRDefault="00837C70" w:rsidP="00491667">
      <w:pPr>
        <w:pStyle w:val="PointDoubleManual2"/>
        <w:spacing w:line="240" w:lineRule="exact"/>
      </w:pPr>
      <w:r w:rsidRPr="006A735E">
        <w:t>ii)</w:t>
      </w:r>
      <w:r w:rsidRPr="006A735E">
        <w:tab/>
        <w:t xml:space="preserve">Предложение за решение на Съвета относно подписването от името на Европейския съюз на Конвенцията на Съвета на Европа относно манипулирането на спортни състезания по отношение на въпроси, свързани с материалното наказателно право и съдебното сътрудничество по наказателноправни въпроси </w:t>
      </w:r>
    </w:p>
    <w:p w:rsidR="00340D30" w:rsidRPr="006A735E" w:rsidRDefault="00340D30" w:rsidP="00491667">
      <w:pPr>
        <w:pStyle w:val="Text3"/>
        <w:spacing w:line="240" w:lineRule="exact"/>
      </w:pPr>
      <w:r w:rsidRPr="006A735E">
        <w:t xml:space="preserve"> </w:t>
      </w:r>
    </w:p>
    <w:p w:rsidR="00340D30" w:rsidRPr="006A735E" w:rsidRDefault="00340D30" w:rsidP="00491667">
      <w:pPr>
        <w:pStyle w:val="Dash2"/>
        <w:spacing w:line="240" w:lineRule="exact"/>
      </w:pPr>
      <w:r w:rsidRPr="006A735E">
        <w:t>Информация от председателството за напредъка</w:t>
      </w:r>
    </w:p>
    <w:p w:rsidR="00340D30" w:rsidRPr="006A735E" w:rsidRDefault="00340D30" w:rsidP="00491667">
      <w:pPr>
        <w:spacing w:line="240" w:lineRule="exact"/>
      </w:pPr>
    </w:p>
    <w:p w:rsidR="00964582" w:rsidRPr="006A735E" w:rsidRDefault="00491667" w:rsidP="00491667">
      <w:pPr>
        <w:pStyle w:val="PointManual1"/>
        <w:spacing w:line="240" w:lineRule="exact"/>
      </w:pPr>
      <w:r>
        <w:t>в</w:t>
      </w:r>
      <w:r w:rsidRPr="00491667">
        <w:t>)</w:t>
      </w:r>
      <w:r w:rsidRPr="00491667">
        <w:tab/>
      </w:r>
      <w:r w:rsidR="00340D30" w:rsidRPr="006A735E">
        <w:t xml:space="preserve">Заседания на Световната антидопингова агенция </w:t>
      </w:r>
    </w:p>
    <w:p w:rsidR="00340D30" w:rsidRPr="006A735E" w:rsidRDefault="00340D30" w:rsidP="00491667">
      <w:pPr>
        <w:pStyle w:val="Text2"/>
        <w:spacing w:line="240" w:lineRule="exact"/>
      </w:pPr>
      <w:r w:rsidRPr="006A735E">
        <w:t>(Колорадо спрингс, 17</w:t>
      </w:r>
      <w:r w:rsidRPr="006A735E">
        <w:noBreakHyphen/>
        <w:t>18 ноември 2015 г.)</w:t>
      </w:r>
    </w:p>
    <w:p w:rsidR="00340D30" w:rsidRPr="006A735E" w:rsidRDefault="00491667" w:rsidP="00491667">
      <w:pPr>
        <w:pStyle w:val="PointManual2"/>
        <w:spacing w:line="240" w:lineRule="exact"/>
      </w:pPr>
      <w:r>
        <w:t>–</w:t>
      </w:r>
      <w:r w:rsidRPr="00491667">
        <w:tab/>
      </w:r>
      <w:r w:rsidR="00340D30" w:rsidRPr="006A735E">
        <w:t>Информация от представителите на държавите членки (BE, LU, MT) в Световната антидопингова агенция</w:t>
      </w:r>
    </w:p>
    <w:p w:rsidR="00526FC0" w:rsidRPr="006A735E" w:rsidRDefault="00526FC0" w:rsidP="00491667">
      <w:pPr>
        <w:pStyle w:val="PointManual"/>
        <w:spacing w:line="240" w:lineRule="exact"/>
      </w:pPr>
    </w:p>
    <w:p w:rsidR="00340D30" w:rsidRPr="006A735E" w:rsidRDefault="00491667" w:rsidP="00491667">
      <w:pPr>
        <w:pStyle w:val="PointManual1"/>
        <w:spacing w:line="240" w:lineRule="exact"/>
      </w:pPr>
      <w:r>
        <w:t>г</w:t>
      </w:r>
      <w:r w:rsidRPr="00491667">
        <w:t>)</w:t>
      </w:r>
      <w:r w:rsidRPr="00491667">
        <w:tab/>
      </w:r>
      <w:r w:rsidR="00340D30" w:rsidRPr="006A735E">
        <w:t>Неформална среща на министрите на спорта (Люксембург, 6—7 юли 2015 г.)</w:t>
      </w:r>
    </w:p>
    <w:p w:rsidR="00340D30" w:rsidRPr="006A735E" w:rsidRDefault="00491667" w:rsidP="00491667">
      <w:pPr>
        <w:pStyle w:val="PointManual2"/>
        <w:spacing w:line="240" w:lineRule="exact"/>
      </w:pPr>
      <w:r>
        <w:t>–</w:t>
      </w:r>
      <w:r w:rsidRPr="00491667">
        <w:tab/>
      </w:r>
      <w:r w:rsidR="00340D30" w:rsidRPr="006A735E">
        <w:t>Информация от председателството</w:t>
      </w:r>
    </w:p>
    <w:p w:rsidR="00340D30" w:rsidRPr="006A735E" w:rsidRDefault="00340D30" w:rsidP="00491667">
      <w:pPr>
        <w:spacing w:after="200" w:line="240" w:lineRule="exact"/>
      </w:pPr>
    </w:p>
    <w:p w:rsidR="00964582" w:rsidRPr="006A735E" w:rsidRDefault="00964582" w:rsidP="00491667">
      <w:pPr>
        <w:spacing w:line="240" w:lineRule="exact"/>
        <w:jc w:val="center"/>
      </w:pPr>
      <w:r w:rsidRPr="006A735E">
        <w:t>o</w:t>
      </w:r>
    </w:p>
    <w:p w:rsidR="00964582" w:rsidRPr="006A735E" w:rsidRDefault="00964582" w:rsidP="00491667">
      <w:pPr>
        <w:spacing w:line="240" w:lineRule="exact"/>
        <w:jc w:val="center"/>
      </w:pPr>
      <w:r w:rsidRPr="006A735E">
        <w:t>o</w:t>
      </w:r>
      <w:r w:rsidRPr="006A735E">
        <w:tab/>
        <w:t>o</w:t>
      </w:r>
    </w:p>
    <w:p w:rsidR="00340D30" w:rsidRPr="006A735E" w:rsidRDefault="00340D30" w:rsidP="00491667">
      <w:pPr>
        <w:spacing w:line="240" w:lineRule="exact"/>
        <w:jc w:val="center"/>
      </w:pPr>
    </w:p>
    <w:p w:rsidR="00340D30" w:rsidRPr="006A735E" w:rsidRDefault="00340D30" w:rsidP="00491667">
      <w:pPr>
        <w:pStyle w:val="PointManual"/>
        <w:spacing w:line="240" w:lineRule="exact"/>
      </w:pPr>
      <w:r w:rsidRPr="006A735E">
        <w:t>д)</w:t>
      </w:r>
      <w:r w:rsidRPr="006A735E">
        <w:tab/>
        <w:t>Работна програма на предстоящото председателство</w:t>
      </w:r>
    </w:p>
    <w:p w:rsidR="00340D30" w:rsidRPr="006A735E" w:rsidRDefault="00340D30" w:rsidP="00491667">
      <w:pPr>
        <w:pStyle w:val="Dash1"/>
        <w:spacing w:line="240" w:lineRule="exact"/>
      </w:pPr>
      <w:r w:rsidRPr="006A735E">
        <w:t>Информация от делегацията на Нидерландия</w:t>
      </w:r>
    </w:p>
    <w:p w:rsidR="00733B7D" w:rsidRPr="006A735E" w:rsidRDefault="00733B7D" w:rsidP="00491667">
      <w:pPr>
        <w:pStyle w:val="FinalLine"/>
        <w:spacing w:line="240" w:lineRule="exact"/>
      </w:pPr>
    </w:p>
    <w:p w:rsidR="00DF0B41" w:rsidRPr="006A735E" w:rsidRDefault="00DF0B41" w:rsidP="00491667">
      <w:pPr>
        <w:pStyle w:val="NB"/>
        <w:spacing w:line="240" w:lineRule="exact"/>
      </w:pPr>
    </w:p>
    <w:p w:rsidR="00733B7D" w:rsidRPr="006A735E" w:rsidRDefault="00D96F83" w:rsidP="00491667">
      <w:pPr>
        <w:pStyle w:val="NB"/>
        <w:spacing w:line="240" w:lineRule="exact"/>
      </w:pPr>
      <w:r w:rsidRPr="006A735E">
        <w:t>NB:</w:t>
      </w:r>
      <w:r w:rsidRPr="006A735E">
        <w:tab/>
        <w:t>Моля изпратете до служба „Протокол“ във възможно най-кратък срок списък на делегатите, които ще участват в заседанието, на адрес protocole.participants@consilium.europa.eu.</w:t>
      </w:r>
    </w:p>
    <w:p w:rsidR="00FC4670" w:rsidRPr="00D96F83" w:rsidRDefault="00D96F83" w:rsidP="00491667">
      <w:pPr>
        <w:pStyle w:val="NB"/>
        <w:spacing w:line="240" w:lineRule="exact"/>
      </w:pPr>
      <w:r w:rsidRPr="006A735E">
        <w:t>NB:</w:t>
      </w:r>
      <w:r w:rsidRPr="006A735E">
        <w:tab/>
        <w:t>Делегатите, които се нуждаят от еднодневни служебни карти, за да посещават заседанията, следва да се запознаят с док. 14387/1/12 REV 1 във връзка с начина за получаването им.</w:t>
      </w:r>
    </w:p>
    <w:sectPr w:rsidR="00FC4670" w:rsidRPr="00D96F83" w:rsidSect="0045499C">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B7D" w:rsidRDefault="00733B7D" w:rsidP="00733B7D">
      <w:r>
        <w:separator/>
      </w:r>
    </w:p>
  </w:endnote>
  <w:endnote w:type="continuationSeparator" w:id="0">
    <w:p w:rsidR="00733B7D" w:rsidRDefault="00733B7D" w:rsidP="0073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83" w:rsidRPr="0045499C" w:rsidRDefault="00DF1283" w:rsidP="004549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45499C" w:rsidRPr="00D94637" w:rsidTr="0045499C">
      <w:trPr>
        <w:jc w:val="center"/>
      </w:trPr>
      <w:tc>
        <w:tcPr>
          <w:tcW w:w="5000" w:type="pct"/>
          <w:gridSpan w:val="7"/>
          <w:shd w:val="clear" w:color="auto" w:fill="auto"/>
          <w:tcMar>
            <w:top w:w="57" w:type="dxa"/>
          </w:tcMar>
        </w:tcPr>
        <w:p w:rsidR="0045499C" w:rsidRPr="00D94637" w:rsidRDefault="0045499C" w:rsidP="00D94637">
          <w:pPr>
            <w:pStyle w:val="FooterText"/>
            <w:pBdr>
              <w:top w:val="single" w:sz="4" w:space="1" w:color="auto"/>
            </w:pBdr>
            <w:spacing w:before="200"/>
            <w:rPr>
              <w:sz w:val="2"/>
              <w:szCs w:val="2"/>
            </w:rPr>
          </w:pPr>
          <w:bookmarkStart w:id="2" w:name="FOOTER_STANDARD"/>
        </w:p>
      </w:tc>
    </w:tr>
    <w:tr w:rsidR="0045499C" w:rsidRPr="00B310DC" w:rsidTr="0045499C">
      <w:trPr>
        <w:jc w:val="center"/>
      </w:trPr>
      <w:tc>
        <w:tcPr>
          <w:tcW w:w="2500" w:type="pct"/>
          <w:gridSpan w:val="2"/>
          <w:shd w:val="clear" w:color="auto" w:fill="auto"/>
          <w:tcMar>
            <w:top w:w="0" w:type="dxa"/>
          </w:tcMar>
        </w:tcPr>
        <w:p w:rsidR="0045499C" w:rsidRPr="00AD7BF2" w:rsidRDefault="0045499C" w:rsidP="004F54B2">
          <w:pPr>
            <w:pStyle w:val="FooterText"/>
          </w:pPr>
          <w:r>
            <w:t>CM 4483/15</w:t>
          </w:r>
          <w:r w:rsidRPr="002511D8">
            <w:t xml:space="preserve"> </w:t>
          </w:r>
        </w:p>
      </w:tc>
      <w:tc>
        <w:tcPr>
          <w:tcW w:w="625" w:type="pct"/>
          <w:shd w:val="clear" w:color="auto" w:fill="auto"/>
          <w:tcMar>
            <w:top w:w="0" w:type="dxa"/>
          </w:tcMar>
        </w:tcPr>
        <w:p w:rsidR="0045499C" w:rsidRPr="00AD7BF2" w:rsidRDefault="0045499C" w:rsidP="00D94637">
          <w:pPr>
            <w:pStyle w:val="FooterText"/>
            <w:jc w:val="center"/>
          </w:pPr>
        </w:p>
      </w:tc>
      <w:tc>
        <w:tcPr>
          <w:tcW w:w="1287" w:type="pct"/>
          <w:gridSpan w:val="3"/>
          <w:shd w:val="clear" w:color="auto" w:fill="auto"/>
          <w:tcMar>
            <w:top w:w="0" w:type="dxa"/>
          </w:tcMar>
        </w:tcPr>
        <w:p w:rsidR="0045499C" w:rsidRPr="002511D8" w:rsidRDefault="0045499C" w:rsidP="00D94637">
          <w:pPr>
            <w:pStyle w:val="FooterText"/>
            <w:jc w:val="center"/>
          </w:pPr>
        </w:p>
      </w:tc>
      <w:tc>
        <w:tcPr>
          <w:tcW w:w="588" w:type="pct"/>
          <w:shd w:val="clear" w:color="auto" w:fill="auto"/>
          <w:tcMar>
            <w:top w:w="0" w:type="dxa"/>
          </w:tcMar>
        </w:tcPr>
        <w:p w:rsidR="0045499C" w:rsidRPr="00B310DC" w:rsidRDefault="0045499C"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45499C" w:rsidRPr="00D94637" w:rsidTr="0045499C">
      <w:trPr>
        <w:jc w:val="center"/>
      </w:trPr>
      <w:tc>
        <w:tcPr>
          <w:tcW w:w="1774" w:type="pct"/>
          <w:shd w:val="clear" w:color="auto" w:fill="auto"/>
        </w:tcPr>
        <w:p w:rsidR="0045499C" w:rsidRPr="00AD7BF2" w:rsidRDefault="0045499C" w:rsidP="00D94637">
          <w:pPr>
            <w:pStyle w:val="FooterText"/>
            <w:spacing w:before="40"/>
          </w:pPr>
        </w:p>
      </w:tc>
      <w:tc>
        <w:tcPr>
          <w:tcW w:w="1455" w:type="pct"/>
          <w:gridSpan w:val="3"/>
          <w:shd w:val="clear" w:color="auto" w:fill="auto"/>
        </w:tcPr>
        <w:p w:rsidR="0045499C" w:rsidRPr="00AD7BF2" w:rsidRDefault="0045499C" w:rsidP="00D204D6">
          <w:pPr>
            <w:pStyle w:val="FooterText"/>
            <w:spacing w:before="40"/>
            <w:jc w:val="center"/>
          </w:pPr>
        </w:p>
      </w:tc>
      <w:tc>
        <w:tcPr>
          <w:tcW w:w="1147" w:type="pct"/>
          <w:shd w:val="clear" w:color="auto" w:fill="auto"/>
        </w:tcPr>
        <w:p w:rsidR="0045499C" w:rsidRPr="00D94637" w:rsidRDefault="0045499C" w:rsidP="00D94637">
          <w:pPr>
            <w:pStyle w:val="FooterText"/>
            <w:jc w:val="right"/>
            <w:rPr>
              <w:b/>
              <w:position w:val="-4"/>
              <w:sz w:val="36"/>
            </w:rPr>
          </w:pPr>
        </w:p>
      </w:tc>
      <w:tc>
        <w:tcPr>
          <w:tcW w:w="625" w:type="pct"/>
          <w:gridSpan w:val="2"/>
          <w:shd w:val="clear" w:color="auto" w:fill="auto"/>
        </w:tcPr>
        <w:p w:rsidR="0045499C" w:rsidRPr="00D94637" w:rsidRDefault="0045499C" w:rsidP="00D94637">
          <w:pPr>
            <w:pStyle w:val="FooterText"/>
            <w:jc w:val="right"/>
            <w:rPr>
              <w:sz w:val="16"/>
            </w:rPr>
          </w:pPr>
          <w:r>
            <w:rPr>
              <w:b/>
              <w:position w:val="-4"/>
              <w:sz w:val="36"/>
            </w:rPr>
            <w:t>BG</w:t>
          </w:r>
        </w:p>
      </w:tc>
    </w:tr>
    <w:bookmarkEnd w:id="2"/>
  </w:tbl>
  <w:p w:rsidR="00733B7D" w:rsidRPr="0045499C" w:rsidRDefault="00733B7D" w:rsidP="0045499C">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45499C" w:rsidRPr="00D94637" w:rsidTr="0045499C">
      <w:trPr>
        <w:jc w:val="center"/>
      </w:trPr>
      <w:tc>
        <w:tcPr>
          <w:tcW w:w="5000" w:type="pct"/>
          <w:gridSpan w:val="7"/>
          <w:shd w:val="clear" w:color="auto" w:fill="auto"/>
          <w:tcMar>
            <w:top w:w="57" w:type="dxa"/>
          </w:tcMar>
        </w:tcPr>
        <w:p w:rsidR="0045499C" w:rsidRPr="00D94637" w:rsidRDefault="0045499C" w:rsidP="00D94637">
          <w:pPr>
            <w:pStyle w:val="FooterText"/>
            <w:pBdr>
              <w:top w:val="single" w:sz="4" w:space="1" w:color="auto"/>
            </w:pBdr>
            <w:spacing w:before="200"/>
            <w:rPr>
              <w:sz w:val="2"/>
              <w:szCs w:val="2"/>
            </w:rPr>
          </w:pPr>
        </w:p>
      </w:tc>
    </w:tr>
    <w:tr w:rsidR="0045499C" w:rsidRPr="00B310DC" w:rsidTr="0045499C">
      <w:trPr>
        <w:jc w:val="center"/>
      </w:trPr>
      <w:tc>
        <w:tcPr>
          <w:tcW w:w="2500" w:type="pct"/>
          <w:gridSpan w:val="2"/>
          <w:shd w:val="clear" w:color="auto" w:fill="auto"/>
          <w:tcMar>
            <w:top w:w="0" w:type="dxa"/>
          </w:tcMar>
        </w:tcPr>
        <w:p w:rsidR="0045499C" w:rsidRPr="00AD7BF2" w:rsidRDefault="0045499C" w:rsidP="004F54B2">
          <w:pPr>
            <w:pStyle w:val="FooterText"/>
          </w:pPr>
          <w:r>
            <w:t>CM 4483/15</w:t>
          </w:r>
          <w:r w:rsidRPr="002511D8">
            <w:t xml:space="preserve"> </w:t>
          </w:r>
        </w:p>
      </w:tc>
      <w:tc>
        <w:tcPr>
          <w:tcW w:w="625" w:type="pct"/>
          <w:shd w:val="clear" w:color="auto" w:fill="auto"/>
          <w:tcMar>
            <w:top w:w="0" w:type="dxa"/>
          </w:tcMar>
        </w:tcPr>
        <w:p w:rsidR="0045499C" w:rsidRPr="00AD7BF2" w:rsidRDefault="0045499C" w:rsidP="00D94637">
          <w:pPr>
            <w:pStyle w:val="FooterText"/>
            <w:jc w:val="center"/>
          </w:pPr>
        </w:p>
      </w:tc>
      <w:tc>
        <w:tcPr>
          <w:tcW w:w="1287" w:type="pct"/>
          <w:gridSpan w:val="3"/>
          <w:shd w:val="clear" w:color="auto" w:fill="auto"/>
          <w:tcMar>
            <w:top w:w="0" w:type="dxa"/>
          </w:tcMar>
        </w:tcPr>
        <w:p w:rsidR="0045499C" w:rsidRPr="002511D8" w:rsidRDefault="0045499C" w:rsidP="00D94637">
          <w:pPr>
            <w:pStyle w:val="FooterText"/>
            <w:jc w:val="center"/>
          </w:pPr>
        </w:p>
      </w:tc>
      <w:tc>
        <w:tcPr>
          <w:tcW w:w="588" w:type="pct"/>
          <w:shd w:val="clear" w:color="auto" w:fill="auto"/>
          <w:tcMar>
            <w:top w:w="0" w:type="dxa"/>
          </w:tcMar>
        </w:tcPr>
        <w:p w:rsidR="0045499C" w:rsidRPr="00B310DC" w:rsidRDefault="0045499C"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45499C" w:rsidRPr="00D94637" w:rsidTr="0045499C">
      <w:trPr>
        <w:jc w:val="center"/>
      </w:trPr>
      <w:tc>
        <w:tcPr>
          <w:tcW w:w="1774" w:type="pct"/>
          <w:shd w:val="clear" w:color="auto" w:fill="auto"/>
        </w:tcPr>
        <w:p w:rsidR="0045499C" w:rsidRPr="00AD7BF2" w:rsidRDefault="0045499C" w:rsidP="00D94637">
          <w:pPr>
            <w:pStyle w:val="FooterText"/>
            <w:spacing w:before="40"/>
          </w:pPr>
        </w:p>
      </w:tc>
      <w:tc>
        <w:tcPr>
          <w:tcW w:w="1455" w:type="pct"/>
          <w:gridSpan w:val="3"/>
          <w:shd w:val="clear" w:color="auto" w:fill="auto"/>
        </w:tcPr>
        <w:p w:rsidR="0045499C" w:rsidRPr="00AD7BF2" w:rsidRDefault="0045499C" w:rsidP="00D204D6">
          <w:pPr>
            <w:pStyle w:val="FooterText"/>
            <w:spacing w:before="40"/>
            <w:jc w:val="center"/>
          </w:pPr>
        </w:p>
      </w:tc>
      <w:tc>
        <w:tcPr>
          <w:tcW w:w="1147" w:type="pct"/>
          <w:shd w:val="clear" w:color="auto" w:fill="auto"/>
        </w:tcPr>
        <w:p w:rsidR="0045499C" w:rsidRPr="00D94637" w:rsidRDefault="0045499C" w:rsidP="00D94637">
          <w:pPr>
            <w:pStyle w:val="FooterText"/>
            <w:jc w:val="right"/>
            <w:rPr>
              <w:b/>
              <w:position w:val="-4"/>
              <w:sz w:val="36"/>
            </w:rPr>
          </w:pPr>
        </w:p>
      </w:tc>
      <w:tc>
        <w:tcPr>
          <w:tcW w:w="625" w:type="pct"/>
          <w:gridSpan w:val="2"/>
          <w:shd w:val="clear" w:color="auto" w:fill="auto"/>
        </w:tcPr>
        <w:p w:rsidR="0045499C" w:rsidRPr="00D94637" w:rsidRDefault="0045499C" w:rsidP="00D94637">
          <w:pPr>
            <w:pStyle w:val="FooterText"/>
            <w:jc w:val="right"/>
            <w:rPr>
              <w:sz w:val="16"/>
            </w:rPr>
          </w:pPr>
          <w:r>
            <w:rPr>
              <w:b/>
              <w:position w:val="-4"/>
              <w:sz w:val="36"/>
            </w:rPr>
            <w:t>BG</w:t>
          </w:r>
        </w:p>
      </w:tc>
    </w:tr>
  </w:tbl>
  <w:p w:rsidR="00733B7D" w:rsidRPr="0045499C" w:rsidRDefault="00733B7D" w:rsidP="0045499C">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B7D" w:rsidRDefault="00733B7D" w:rsidP="00733B7D">
      <w:r>
        <w:separator/>
      </w:r>
    </w:p>
  </w:footnote>
  <w:footnote w:type="continuationSeparator" w:id="0">
    <w:p w:rsidR="00733B7D" w:rsidRDefault="00733B7D" w:rsidP="00733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83" w:rsidRPr="0045499C" w:rsidRDefault="00DF1283" w:rsidP="004549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83" w:rsidRPr="0045499C" w:rsidRDefault="00DF1283" w:rsidP="0045499C">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83" w:rsidRPr="0045499C" w:rsidRDefault="00DF1283" w:rsidP="0045499C">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9A7C1A"/>
    <w:lvl w:ilvl="0">
      <w:start w:val="1"/>
      <w:numFmt w:val="decimal"/>
      <w:lvlText w:val="%1."/>
      <w:lvlJc w:val="left"/>
      <w:pPr>
        <w:tabs>
          <w:tab w:val="num" w:pos="1492"/>
        </w:tabs>
        <w:ind w:left="1492" w:hanging="360"/>
      </w:pPr>
    </w:lvl>
  </w:abstractNum>
  <w:abstractNum w:abstractNumId="1">
    <w:nsid w:val="FFFFFF7D"/>
    <w:multiLevelType w:val="singleLevel"/>
    <w:tmpl w:val="F52C1F22"/>
    <w:lvl w:ilvl="0">
      <w:start w:val="1"/>
      <w:numFmt w:val="decimal"/>
      <w:lvlText w:val="%1."/>
      <w:lvlJc w:val="left"/>
      <w:pPr>
        <w:tabs>
          <w:tab w:val="num" w:pos="1209"/>
        </w:tabs>
        <w:ind w:left="1209" w:hanging="360"/>
      </w:pPr>
    </w:lvl>
  </w:abstractNum>
  <w:abstractNum w:abstractNumId="2">
    <w:nsid w:val="FFFFFF7E"/>
    <w:multiLevelType w:val="singleLevel"/>
    <w:tmpl w:val="62EC62C8"/>
    <w:lvl w:ilvl="0">
      <w:start w:val="1"/>
      <w:numFmt w:val="decimal"/>
      <w:lvlText w:val="%1."/>
      <w:lvlJc w:val="left"/>
      <w:pPr>
        <w:tabs>
          <w:tab w:val="num" w:pos="926"/>
        </w:tabs>
        <w:ind w:left="926" w:hanging="360"/>
      </w:pPr>
    </w:lvl>
  </w:abstractNum>
  <w:abstractNum w:abstractNumId="3">
    <w:nsid w:val="FFFFFF7F"/>
    <w:multiLevelType w:val="singleLevel"/>
    <w:tmpl w:val="6FB29EAA"/>
    <w:lvl w:ilvl="0">
      <w:start w:val="1"/>
      <w:numFmt w:val="decimal"/>
      <w:lvlText w:val="%1."/>
      <w:lvlJc w:val="left"/>
      <w:pPr>
        <w:tabs>
          <w:tab w:val="num" w:pos="643"/>
        </w:tabs>
        <w:ind w:left="643" w:hanging="360"/>
      </w:pPr>
    </w:lvl>
  </w:abstractNum>
  <w:abstractNum w:abstractNumId="4">
    <w:nsid w:val="FFFFFF80"/>
    <w:multiLevelType w:val="singleLevel"/>
    <w:tmpl w:val="AD1EC6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9C9B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3028F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B463A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426EA34"/>
    <w:lvl w:ilvl="0">
      <w:start w:val="1"/>
      <w:numFmt w:val="decimal"/>
      <w:lvlText w:val="%1."/>
      <w:lvlJc w:val="left"/>
      <w:pPr>
        <w:tabs>
          <w:tab w:val="num" w:pos="360"/>
        </w:tabs>
        <w:ind w:left="360" w:hanging="360"/>
      </w:pPr>
    </w:lvl>
  </w:abstractNum>
  <w:abstractNum w:abstractNumId="9">
    <w:nsid w:val="FFFFFF89"/>
    <w:multiLevelType w:val="singleLevel"/>
    <w:tmpl w:val="EFF882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6">
    <w:nsid w:val="2F296E77"/>
    <w:multiLevelType w:val="multilevel"/>
    <w:tmpl w:val="EF3A307C"/>
    <w:name w:val="Points"/>
    <w:lvl w:ilvl="0">
      <w:start w:val="1"/>
      <w:numFmt w:val="decimal"/>
      <w:lvlRestart w:val="0"/>
      <w:pStyle w:val="Point123"/>
      <w:lvlText w:val="%1."/>
      <w:lvlJc w:val="left"/>
      <w:pPr>
        <w:tabs>
          <w:tab w:val="num" w:pos="567"/>
        </w:tabs>
        <w:ind w:left="567" w:hanging="567"/>
      </w:pPr>
      <w:rPr>
        <w:rFonts w:hint="default"/>
      </w:rPr>
    </w:lvl>
    <w:lvl w:ilvl="1">
      <w:start w:val="1"/>
      <w:numFmt w:val="lowerLetter"/>
      <w:pStyle w:val="Pointabc"/>
      <w:lvlText w:val="%2)"/>
      <w:lvlJc w:val="left"/>
      <w:pPr>
        <w:tabs>
          <w:tab w:val="num" w:pos="567"/>
        </w:tabs>
        <w:ind w:left="567" w:hanging="567"/>
      </w:pPr>
      <w:rPr>
        <w:rFonts w:hint="default"/>
      </w:rPr>
    </w:lvl>
    <w:lvl w:ilvl="2">
      <w:start w:val="1"/>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1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2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7"/>
  </w:num>
  <w:num w:numId="4">
    <w:abstractNumId w:val="15"/>
  </w:num>
  <w:num w:numId="5">
    <w:abstractNumId w:val="23"/>
  </w:num>
  <w:num w:numId="6">
    <w:abstractNumId w:val="13"/>
  </w:num>
  <w:num w:numId="7">
    <w:abstractNumId w:val="28"/>
  </w:num>
  <w:num w:numId="8">
    <w:abstractNumId w:val="20"/>
  </w:num>
  <w:num w:numId="9">
    <w:abstractNumId w:val="22"/>
  </w:num>
  <w:num w:numId="10">
    <w:abstractNumId w:val="24"/>
  </w:num>
  <w:num w:numId="11">
    <w:abstractNumId w:val="19"/>
  </w:num>
  <w:num w:numId="12">
    <w:abstractNumId w:val="11"/>
  </w:num>
  <w:num w:numId="13">
    <w:abstractNumId w:val="25"/>
  </w:num>
  <w:num w:numId="14">
    <w:abstractNumId w:val="18"/>
  </w:num>
  <w:num w:numId="15">
    <w:abstractNumId w:val="14"/>
  </w:num>
  <w:num w:numId="16">
    <w:abstractNumId w:val="26"/>
  </w:num>
  <w:num w:numId="17">
    <w:abstractNumId w:val="16"/>
  </w:num>
  <w:num w:numId="18">
    <w:abstractNumId w:val="10"/>
  </w:num>
  <w:num w:numId="19">
    <w:abstractNumId w:val="12"/>
  </w:num>
  <w:num w:numId="20">
    <w:abstractNumId w:val="17"/>
  </w:num>
  <w:num w:numId="21">
    <w:abstractNumId w:val="27"/>
    <w:lvlOverride w:ilvl="0">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9cbf6638-ec99-4c9b-aad9-5c9379c7e65a&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 /&gt;_x000d__x000a_  &lt;/metadata&gt;_x000d__x000a_  &lt;metadata key=&quot;md_UniqueHeading&quot;&gt;_x000d__x000a_    &lt;basicdatatype&gt;_x000d__x000a_      &lt;heading key=&quot;uh_07&quot; text=&quot;&amp;#1048;&amp;#1047;&amp;#1042;&amp;#1045;&amp;#1057;&amp;#1058;&amp;#1048;&amp;#1045; &amp;#1047;&amp;#1040; &amp;#1047;&amp;#1040;&amp;#1057;&amp;#1045;&amp;#1044;&amp;#1040;&amp;#1053;&amp;#1048;&amp;#1045; &amp;#1048; &amp;#1055;&amp;#1056;&amp;#1045;&amp;#1044;&amp;#1042;&amp;#1040;&amp;#1056;&amp;#1048;&amp;#1058;&amp;#1045;&amp;#1051;&amp;#1045;&amp;#1053; &amp;#1044;&amp;#1053;&amp;#1045;&amp;#1042;&amp;#1045;&amp;#1053; &amp;#1056;&amp;#1045;&amp;#1044;&quot; /&gt;_x000d__x000a_    &lt;/basicdatatype&gt;_x000d__x000a_  &lt;/metadata&gt;_x000d__x000a_  &lt;metadata key=&quot;md_HeadingText&quot; translate=&quot;false&quot;&gt;_x000d__x000a_    &lt;headingtext text=&quot;&amp;#1048;&amp;#1047;&amp;#1042;&amp;#1045;&amp;#1057;&amp;#1058;&amp;#1048;&amp;#1045; &amp;#1047;&amp;#1040; &amp;#1047;&amp;#1040;&amp;#1057;&amp;#1045;&amp;#1044;&amp;#1040;&amp;#1053;&amp;#1048;&amp;#1045; &amp;#1048; &amp;#1055;&amp;#1056;&amp;#1045;&amp;#1044;&amp;#1042;&amp;#1040;&amp;#1056;&amp;#1048;&amp;#1058;&amp;#1045;&amp;#1051;&amp;#1045;&amp;#1053; &amp;#1044;&amp;#1053;&amp;#1045;&amp;#1042;&amp;#1045;&amp;#1053; &amp;#1056;&amp;#1045;&amp;#1044;&quot;&gt;_x000d__x000a_      &lt;formattedtext&gt;_x000d__x000a_        &lt;xaml text=&quot;&amp;#1048;&amp;#1047;&amp;#1042;&amp;#1045;&amp;#1057;&amp;#1058;&amp;#1048;&amp;#1045; &amp;#1047;&amp;#1040; &amp;#1047;&amp;#1040;&amp;#1057;&amp;#1045;&amp;#1044;&amp;#1040;&amp;#1053;&amp;#1048;&amp;#1045; &amp;#1048; &amp;#1055;&amp;#1056;&amp;#1045;&amp;#1044;&amp;#1042;&amp;#1040;&amp;#1056;&amp;#1048;&amp;#1058;&amp;#1045;&amp;#1051;&amp;#1045;&amp;#1053; &amp;#1044;&amp;#1053;&amp;#1045;&amp;#1042;&amp;#1045;&amp;#1053; &amp;#1056;&amp;#1045;&amp;#1044;&quot;&gt;&amp;lt;FlowDocument xmlns=&quot;http://schemas.microsoft.com/winfx/2006/xaml/presentation&quot;&amp;gt;&amp;lt;Paragraph&amp;gt;&amp;#1048;&amp;#1047;&amp;#1042;&amp;#1045;&amp;#1057;&amp;#1058;&amp;#1048;&amp;#1045; &amp;#1047;&amp;#1040; &amp;#1047;&amp;#1040;&amp;#1057;&amp;#1045;&amp;#1044;&amp;#1040;&amp;#1053;&amp;#1048;&amp;#1045; &amp;#1048; &amp;#1055;&amp;#1056;&amp;#1045;&amp;#1044;&amp;#1042;&amp;#1040;&amp;#1056;&amp;#1048;&amp;#1058;&amp;#1045;&amp;#1051;&amp;#1045;&amp;#1053; &amp;#1044;&amp;#1053;&amp;#1045;&amp;#1042;&amp;#1045;&amp;#1053; &amp;#1056;&amp;#1045;&amp;#1044;&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3&quot; text=&quot;&amp;#1057;&amp;#1066;&amp;#1054;&amp;#1041;&amp;#1065;&amp;#1045;&amp;#1053;&amp;#1048;&amp;#1045;&quot; /&gt;_x000d__x000a_    &lt;/basicdatatype&gt;_x000d__x000a_  &lt;/metadata&gt;_x000d__x000a_  &lt;metadata key=&quot;md_DocumentType&quot; translate=&quot;fals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amp;#1057;&amp;#1098;&amp;#1074;&amp;#1077;&amp;#1090; &amp;#1085;&amp;#1072; &amp;#1045;&amp;#1074;&amp;#1088;&amp;#1086;&amp;#1087;&amp;#1077;&amp;#1081;&amp;#1089;&amp;#1082;&amp;#1080;&amp;#1103; &amp;#1089;&amp;#1098;&amp;#1102;&amp;#1079; &amp;#1043;&amp;#1077;&amp;#1085;&amp;#1077;&amp;#1088;&amp;#1072;&amp;#1083;&amp;#1077;&amp;#1085; &amp;#1089;&amp;#1077;&amp;#1082;&amp;#1088;&amp;#1077;&amp;#1090;&amp;#1072;&amp;#1088;&amp;#1080;&amp;#1072;&amp;#1090;&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11-06&lt;/text&gt;_x000d__x000a_  &lt;/metadata&gt;_x000d__x000a_  &lt;metadata key=&quot;md_Prefix&quot; translate=&quot;false&quot;&gt;_x000d__x000a_    &lt;text&gt;CM&lt;/text&gt;_x000d__x000a_  &lt;/metadata&gt;_x000d__x000a_  &lt;metadata key=&quot;md_DocumentNumber&quot; translate=&quot;false&quot;&gt;_x000d__x000a_    &lt;text&gt;4483&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 CONS&lt;/text&gt;_x000d__x000a_      &lt;text&gt;EDUC&lt;/text&gt;_x000d__x000a_      &lt;text&gt;JEUN&lt;/text&gt;_x000d__x000a_      &lt;text&gt;CULT&lt;/text&gt;_x000d__x000a_      &lt;text&gt;AUDIO&lt;/text&gt;_x000d__x000a_      &lt;text&gt;SPORT&lt;/text&gt;_x000d__x000a_    &lt;/textlist&gt;_x000d__x000a_  &lt;/metadata&gt;_x000d__x000a_  &lt;metadata key=&quot;md_Contact&quot; translate=&quot;false&quot;&gt;_x000d__x000a_    &lt;text&gt;coreper.1@consilium.europa.eu&lt;/text&gt;_x000d__x000a_  &lt;/metadata&gt;_x000d__x000a_  &lt;metadata key=&quot;md_ContactPhoneFax&quot; translate=&quot;false&quot;&gt;_x000d__x000a_    &lt;text&gt;0032.2.281.6167/8100&lt;/text&gt;_x000d__x000a_  &lt;/metadata&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28-&amp;#1086; &amp;#1079;&amp;#1072;&amp;#1089;&amp;#1077;&amp;#1076;&amp;#1072;&amp;#1085;&amp;#1080;&amp;#1077; &amp;#1085;&amp;#1072; &amp;#1057;&amp;#1066;&amp;#1042;&amp;#1045;&amp;#1058;&amp;#1040; &amp;#1053;&amp;#1040; &amp;#1045;&amp;#1042;&amp;#1056;&amp;#1054;&amp;#1055;&amp;#1045;&amp;#1049;&amp;#1057;&amp;#1050;&amp;#1048;&amp;#1071; &amp;#1057;&amp;#1066;&amp;#1070;&amp;#1047; (&amp;#1054;&amp;#1073;&amp;#1088;&amp;#1072;&amp;#1079;&amp;#1086;&amp;#1074;&amp;#1072;&amp;#1085;&amp;#1080;&amp;#1077;, &amp;#1084;&amp;#1083;&amp;#1072;&amp;#1076;&amp;#1077;&amp;#1078;, &amp;#1082;&amp;#1091;&amp;#1083;&amp;#1090;&amp;#1091;&amp;#1088;&amp;#1072; &amp;#1080; &amp;#1089;&amp;#1087;&amp;#1086;&amp;#1088;&amp;#1090;)&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xml:lang=&quot;fr-be&quot; xml:space=&quot;preserve&quot;&amp;gt;3428-&amp;#1086; &amp;lt;/Run&amp;gt;&amp;#1079;&amp;#1072;&amp;#1089;&amp;#1077;&amp;#1076;&amp;#1072;&amp;#1085;&amp;#1080;&amp;#1077; &amp;#1085;&amp;#1072; &amp;#1057;&amp;#1066;&amp;#1042;&amp;#1045;&amp;#1058;&amp;#1040; &amp;#1053;&amp;#1040; &amp;#1045;&amp;#1042;&amp;#1056;&amp;#1054;&amp;#1055;&amp;#1045;&amp;#1049;&amp;#1057;&amp;#1050;&amp;#1048;&amp;#1071; &amp;#1057;&amp;#1066;&amp;#1070;&amp;#1047;&amp;lt;LineBreak /&amp;gt;(&amp;lt;Run FontWeight=&quot;Bold&quot;&amp;gt;&amp;#1054;&amp;#1073;&amp;#1088;&amp;#1072;&amp;#1079;&amp;#1086;&amp;#1074;&amp;#1072;&amp;#1085;&amp;#1080;&amp;#1077;, &amp;#1084;&amp;#1083;&amp;#1072;&amp;#1076;&amp;#1077;&amp;#1078;, &amp;#1082;&amp;#1091;&amp;#1083;&amp;#1090;&amp;#1091;&amp;#1088;&amp;#1072; &amp;#1080; &amp;#1089;&amp;#1087;&amp;#1086;&amp;#1088;&amp;#1090;&amp;lt;/Run&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false&lt;/text&gt;_x000d__x000a_  &lt;/metadata&gt;_x000d__x000a_  &lt;metadata key=&quot;md_NB2&quot; translate=&quot;false&quot;&gt;_x000d__x000a_    &lt;text&gt;true&lt;/text&gt;_x000d__x000a_  &lt;/metadata&gt;_x000d__x000a_  &lt;metadata key=&quot;md_NB3&quot; translate=&quot;false&quot;&gt;_x000d__x000a_    &lt;text&gt;true&lt;/text&gt;_x000d__x000a_  &lt;/metadata&gt;_x000d__x000a_  &lt;metadata key=&quot;md_Meetings&quot; translate=&quot;false&quot;&gt;_x000d__x000a_    &lt;meetings&gt;_x000d__x000a_      &lt;meeting date=&quot;2015-11-23T10:00:00&quot;&gt;_x000d__x000a_        &lt;meetingvenue&gt;_x000d__x000a_          &lt;basicdatatype&gt;_x000d__x000a_            &lt;meetingvenue key=&quot;mw_01&quot; text=&quot;&amp;#1057;&amp;#1066;&amp;#1042;&amp;#1045;&amp;#1058; &amp;#1057;&amp;#1043;&amp;#1056;&amp;#1040;&amp;#1044;&amp;#1040; JUSTUS LIPSIUS Rue de la Loi 175, 1048 BRUXELLES&quot; /&gt;_x000d__x000a_          &lt;/basicdatatype&gt;_x000d__x000a_        &lt;/meetingvenue&gt;_x000d__x000a_      &lt;/meeting&gt;_x000d__x000a_      &lt;meeting date=&quot;2015-11-24T10:00:00&quot;&gt;_x000d__x000a_        &lt;meetingvenue&gt;_x000d__x000a_          &lt;basicdatatype&gt;_x000d__x000a_            &lt;meetingvenue key=&quot;mw_01&quot; text=&quot;&amp;#1057;&amp;#1066;&amp;#1042;&amp;#1045;&amp;#1058; &amp;#1057;&amp;#1043;&amp;#1056;&amp;#1040;&amp;#1044;&amp;#1040; JUSTUS LIPSIUS Rue de la Loi 175, 1048 BRUXELLES&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originator key=&quot;visrep_02&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733B7D"/>
    <w:rsid w:val="00010C1D"/>
    <w:rsid w:val="00077FE9"/>
    <w:rsid w:val="0009656C"/>
    <w:rsid w:val="000D516C"/>
    <w:rsid w:val="00145CDA"/>
    <w:rsid w:val="00165755"/>
    <w:rsid w:val="00182F2F"/>
    <w:rsid w:val="001C1958"/>
    <w:rsid w:val="00213F1F"/>
    <w:rsid w:val="00222EB7"/>
    <w:rsid w:val="002531EF"/>
    <w:rsid w:val="00270E7C"/>
    <w:rsid w:val="00284A56"/>
    <w:rsid w:val="002A2AE8"/>
    <w:rsid w:val="002C37EA"/>
    <w:rsid w:val="002F535D"/>
    <w:rsid w:val="00314EBC"/>
    <w:rsid w:val="00340D30"/>
    <w:rsid w:val="003C6E8B"/>
    <w:rsid w:val="0045499C"/>
    <w:rsid w:val="00473BCF"/>
    <w:rsid w:val="00491667"/>
    <w:rsid w:val="004C7FAE"/>
    <w:rsid w:val="005157F5"/>
    <w:rsid w:val="0052697D"/>
    <w:rsid w:val="00526FC0"/>
    <w:rsid w:val="0063379B"/>
    <w:rsid w:val="0068185E"/>
    <w:rsid w:val="00686270"/>
    <w:rsid w:val="006A38C5"/>
    <w:rsid w:val="006A735E"/>
    <w:rsid w:val="006C1AD4"/>
    <w:rsid w:val="006E33E2"/>
    <w:rsid w:val="006F4741"/>
    <w:rsid w:val="007167B7"/>
    <w:rsid w:val="00733B7D"/>
    <w:rsid w:val="00745BA6"/>
    <w:rsid w:val="0075756A"/>
    <w:rsid w:val="0076213F"/>
    <w:rsid w:val="007A7071"/>
    <w:rsid w:val="00825503"/>
    <w:rsid w:val="00837C70"/>
    <w:rsid w:val="00853CBB"/>
    <w:rsid w:val="008826F8"/>
    <w:rsid w:val="008A5BAF"/>
    <w:rsid w:val="008F5E08"/>
    <w:rsid w:val="0091057E"/>
    <w:rsid w:val="009434FC"/>
    <w:rsid w:val="00951310"/>
    <w:rsid w:val="00964582"/>
    <w:rsid w:val="0096720C"/>
    <w:rsid w:val="00975A66"/>
    <w:rsid w:val="009A370E"/>
    <w:rsid w:val="009F160F"/>
    <w:rsid w:val="009F6D41"/>
    <w:rsid w:val="00A469D7"/>
    <w:rsid w:val="00A604A3"/>
    <w:rsid w:val="00AA7D78"/>
    <w:rsid w:val="00B60015"/>
    <w:rsid w:val="00B86477"/>
    <w:rsid w:val="00B91C16"/>
    <w:rsid w:val="00BE1373"/>
    <w:rsid w:val="00CB32CB"/>
    <w:rsid w:val="00D029FA"/>
    <w:rsid w:val="00D451E4"/>
    <w:rsid w:val="00D96F83"/>
    <w:rsid w:val="00DF0B41"/>
    <w:rsid w:val="00DF1283"/>
    <w:rsid w:val="00E113B4"/>
    <w:rsid w:val="00E240F5"/>
    <w:rsid w:val="00EE1FF0"/>
    <w:rsid w:val="00F30086"/>
    <w:rsid w:val="00F30ED3"/>
    <w:rsid w:val="00F73758"/>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F12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F12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F128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128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733B7D"/>
    <w:pPr>
      <w:spacing w:after="440"/>
      <w:ind w:left="-1134" w:right="-1134"/>
    </w:pPr>
    <w:rPr>
      <w:sz w:val="2"/>
    </w:rPr>
  </w:style>
  <w:style w:type="character" w:customStyle="1" w:styleId="TechnicalBlockChar">
    <w:name w:val="Technical Block Char"/>
    <w:basedOn w:val="DefaultParagraphFont"/>
    <w:rsid w:val="00733B7D"/>
    <w:rPr>
      <w:sz w:val="24"/>
      <w:szCs w:val="24"/>
      <w:lang w:val="bg-BG" w:eastAsia="bg-BG"/>
    </w:rPr>
  </w:style>
  <w:style w:type="character" w:customStyle="1" w:styleId="HeaderCouncilLargeChar">
    <w:name w:val="Header Council Large Char"/>
    <w:basedOn w:val="TechnicalBlockChar"/>
    <w:link w:val="HeaderCouncilLarge"/>
    <w:rsid w:val="00733B7D"/>
    <w:rPr>
      <w:sz w:val="2"/>
      <w:szCs w:val="24"/>
      <w:lang w:val="bg-BG" w:eastAsia="bg-BG"/>
    </w:rPr>
  </w:style>
  <w:style w:type="paragraph" w:customStyle="1" w:styleId="FooterText">
    <w:name w:val="Footer Text"/>
    <w:basedOn w:val="Normal"/>
    <w:rsid w:val="00733B7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6A735E"/>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7"/>
      </w:numPr>
      <w:spacing w:before="200"/>
    </w:pPr>
  </w:style>
  <w:style w:type="paragraph" w:customStyle="1" w:styleId="Pointabc1">
    <w:name w:val="Point abc (1)"/>
    <w:basedOn w:val="Normal"/>
    <w:rsid w:val="006E33E2"/>
    <w:pPr>
      <w:numPr>
        <w:ilvl w:val="3"/>
        <w:numId w:val="17"/>
      </w:numPr>
      <w:outlineLvl w:val="0"/>
    </w:pPr>
  </w:style>
  <w:style w:type="paragraph" w:customStyle="1" w:styleId="Pointabc2">
    <w:name w:val="Point abc (2)"/>
    <w:basedOn w:val="Normal"/>
    <w:rsid w:val="006E33E2"/>
    <w:pPr>
      <w:numPr>
        <w:ilvl w:val="5"/>
        <w:numId w:val="17"/>
      </w:numPr>
      <w:outlineLvl w:val="1"/>
    </w:pPr>
  </w:style>
  <w:style w:type="paragraph" w:customStyle="1" w:styleId="Pointabc3">
    <w:name w:val="Point abc (3)"/>
    <w:basedOn w:val="Normal"/>
    <w:rsid w:val="006E33E2"/>
    <w:pPr>
      <w:numPr>
        <w:ilvl w:val="7"/>
        <w:numId w:val="17"/>
      </w:numPr>
      <w:outlineLvl w:val="2"/>
    </w:pPr>
  </w:style>
  <w:style w:type="paragraph" w:customStyle="1" w:styleId="Pointabc4">
    <w:name w:val="Point abc (4)"/>
    <w:basedOn w:val="Normal"/>
    <w:rsid w:val="006E33E2"/>
    <w:pPr>
      <w:numPr>
        <w:ilvl w:val="8"/>
        <w:numId w:val="17"/>
      </w:numPr>
      <w:outlineLvl w:val="3"/>
    </w:pPr>
  </w:style>
  <w:style w:type="paragraph" w:customStyle="1" w:styleId="Point123">
    <w:name w:val="Point 123"/>
    <w:basedOn w:val="Normal"/>
    <w:rsid w:val="006E33E2"/>
    <w:pPr>
      <w:numPr>
        <w:numId w:val="17"/>
      </w:numPr>
      <w:spacing w:before="200"/>
    </w:pPr>
  </w:style>
  <w:style w:type="paragraph" w:customStyle="1" w:styleId="Point1231">
    <w:name w:val="Point 123 (1)"/>
    <w:basedOn w:val="Normal"/>
    <w:rsid w:val="006E33E2"/>
    <w:pPr>
      <w:numPr>
        <w:ilvl w:val="2"/>
        <w:numId w:val="17"/>
      </w:numPr>
      <w:outlineLvl w:val="0"/>
    </w:pPr>
  </w:style>
  <w:style w:type="paragraph" w:customStyle="1" w:styleId="Point1232">
    <w:name w:val="Point 123 (2)"/>
    <w:basedOn w:val="Normal"/>
    <w:rsid w:val="006E33E2"/>
    <w:pPr>
      <w:numPr>
        <w:ilvl w:val="4"/>
        <w:numId w:val="17"/>
      </w:numPr>
      <w:outlineLvl w:val="1"/>
    </w:pPr>
  </w:style>
  <w:style w:type="paragraph" w:customStyle="1" w:styleId="Point1233">
    <w:name w:val="Point 123 (3)"/>
    <w:basedOn w:val="Normal"/>
    <w:rsid w:val="006E33E2"/>
    <w:pPr>
      <w:numPr>
        <w:ilvl w:val="6"/>
        <w:numId w:val="17"/>
      </w:numPr>
      <w:outlineLvl w:val="2"/>
    </w:pPr>
  </w:style>
  <w:style w:type="paragraph" w:customStyle="1" w:styleId="Pointivx">
    <w:name w:val="Point ivx"/>
    <w:basedOn w:val="Normal"/>
    <w:rsid w:val="006E33E2"/>
    <w:pPr>
      <w:numPr>
        <w:numId w:val="18"/>
      </w:numPr>
      <w:spacing w:before="200"/>
    </w:pPr>
  </w:style>
  <w:style w:type="paragraph" w:customStyle="1" w:styleId="Pointivx1">
    <w:name w:val="Point ivx (1)"/>
    <w:basedOn w:val="Normal"/>
    <w:rsid w:val="006E33E2"/>
    <w:pPr>
      <w:numPr>
        <w:ilvl w:val="1"/>
        <w:numId w:val="18"/>
      </w:numPr>
      <w:outlineLvl w:val="0"/>
    </w:pPr>
  </w:style>
  <w:style w:type="paragraph" w:customStyle="1" w:styleId="Pointivx2">
    <w:name w:val="Point ivx (2)"/>
    <w:basedOn w:val="Normal"/>
    <w:rsid w:val="006E33E2"/>
    <w:pPr>
      <w:numPr>
        <w:ilvl w:val="2"/>
        <w:numId w:val="18"/>
      </w:numPr>
      <w:outlineLvl w:val="1"/>
    </w:pPr>
  </w:style>
  <w:style w:type="paragraph" w:customStyle="1" w:styleId="Pointivx3">
    <w:name w:val="Point ivx (3)"/>
    <w:basedOn w:val="Normal"/>
    <w:rsid w:val="006E33E2"/>
    <w:pPr>
      <w:numPr>
        <w:ilvl w:val="3"/>
        <w:numId w:val="18"/>
      </w:numPr>
      <w:outlineLvl w:val="2"/>
    </w:pPr>
  </w:style>
  <w:style w:type="paragraph" w:customStyle="1" w:styleId="Pointivx4">
    <w:name w:val="Point ivx (4)"/>
    <w:basedOn w:val="Normal"/>
    <w:rsid w:val="006E33E2"/>
    <w:pPr>
      <w:numPr>
        <w:ilvl w:val="4"/>
        <w:numId w:val="18"/>
      </w:numPr>
      <w:outlineLvl w:val="3"/>
    </w:pPr>
  </w:style>
  <w:style w:type="paragraph" w:customStyle="1" w:styleId="Bullet">
    <w:name w:val="Bullet"/>
    <w:basedOn w:val="Normal"/>
    <w:rsid w:val="006E33E2"/>
    <w:pPr>
      <w:numPr>
        <w:numId w:val="12"/>
      </w:numPr>
      <w:spacing w:before="200"/>
    </w:pPr>
  </w:style>
  <w:style w:type="paragraph" w:customStyle="1" w:styleId="Bullet1">
    <w:name w:val="Bullet 1"/>
    <w:basedOn w:val="Normal"/>
    <w:rsid w:val="006E33E2"/>
    <w:pPr>
      <w:numPr>
        <w:numId w:val="13"/>
      </w:numPr>
      <w:outlineLvl w:val="0"/>
    </w:pPr>
  </w:style>
  <w:style w:type="paragraph" w:customStyle="1" w:styleId="Bullet2">
    <w:name w:val="Bullet 2"/>
    <w:basedOn w:val="Normal"/>
    <w:rsid w:val="006E33E2"/>
    <w:pPr>
      <w:numPr>
        <w:numId w:val="14"/>
      </w:numPr>
      <w:outlineLvl w:val="1"/>
    </w:pPr>
  </w:style>
  <w:style w:type="paragraph" w:customStyle="1" w:styleId="Bullet3">
    <w:name w:val="Bullet 3"/>
    <w:basedOn w:val="Normal"/>
    <w:rsid w:val="006E33E2"/>
    <w:pPr>
      <w:numPr>
        <w:numId w:val="15"/>
      </w:numPr>
      <w:outlineLvl w:val="2"/>
    </w:pPr>
  </w:style>
  <w:style w:type="paragraph" w:customStyle="1" w:styleId="Bullet4">
    <w:name w:val="Bullet 4"/>
    <w:basedOn w:val="Normal"/>
    <w:rsid w:val="006E33E2"/>
    <w:pPr>
      <w:numPr>
        <w:numId w:val="16"/>
      </w:numPr>
      <w:outlineLvl w:val="3"/>
    </w:pPr>
  </w:style>
  <w:style w:type="paragraph" w:customStyle="1" w:styleId="Dash">
    <w:name w:val="Dash"/>
    <w:basedOn w:val="Normal"/>
    <w:rsid w:val="006E33E2"/>
    <w:pPr>
      <w:numPr>
        <w:numId w:val="2"/>
      </w:numPr>
      <w:spacing w:before="200"/>
    </w:pPr>
  </w:style>
  <w:style w:type="paragraph" w:customStyle="1" w:styleId="Dash1">
    <w:name w:val="Dash 1"/>
    <w:basedOn w:val="Normal"/>
    <w:rsid w:val="006E33E2"/>
    <w:pPr>
      <w:numPr>
        <w:numId w:val="3"/>
      </w:numPr>
      <w:outlineLvl w:val="0"/>
    </w:pPr>
  </w:style>
  <w:style w:type="paragraph" w:customStyle="1" w:styleId="Dash2">
    <w:name w:val="Dash 2"/>
    <w:basedOn w:val="Normal"/>
    <w:rsid w:val="006E33E2"/>
    <w:pPr>
      <w:numPr>
        <w:numId w:val="4"/>
      </w:numPr>
      <w:outlineLvl w:val="1"/>
    </w:pPr>
  </w:style>
  <w:style w:type="paragraph" w:customStyle="1" w:styleId="Dash3">
    <w:name w:val="Dash 3"/>
    <w:basedOn w:val="Normal"/>
    <w:rsid w:val="006E33E2"/>
    <w:pPr>
      <w:numPr>
        <w:numId w:val="5"/>
      </w:numPr>
      <w:outlineLvl w:val="2"/>
    </w:pPr>
  </w:style>
  <w:style w:type="paragraph" w:customStyle="1" w:styleId="Dash4">
    <w:name w:val="Dash 4"/>
    <w:basedOn w:val="Normal"/>
    <w:rsid w:val="006E33E2"/>
    <w:pPr>
      <w:numPr>
        <w:numId w:val="6"/>
      </w:numPr>
      <w:outlineLvl w:val="3"/>
    </w:pPr>
  </w:style>
  <w:style w:type="paragraph" w:customStyle="1" w:styleId="DashEqual">
    <w:name w:val="Dash Equal"/>
    <w:basedOn w:val="Dash"/>
    <w:rsid w:val="006E33E2"/>
    <w:pPr>
      <w:numPr>
        <w:numId w:val="7"/>
      </w:numPr>
    </w:pPr>
  </w:style>
  <w:style w:type="paragraph" w:customStyle="1" w:styleId="DashEqual1">
    <w:name w:val="Dash Equal 1"/>
    <w:basedOn w:val="Dash1"/>
    <w:rsid w:val="006E33E2"/>
    <w:pPr>
      <w:numPr>
        <w:numId w:val="8"/>
      </w:numPr>
    </w:pPr>
  </w:style>
  <w:style w:type="paragraph" w:customStyle="1" w:styleId="DashEqual2">
    <w:name w:val="Dash Equal 2"/>
    <w:basedOn w:val="Dash2"/>
    <w:rsid w:val="006E33E2"/>
    <w:pPr>
      <w:numPr>
        <w:numId w:val="9"/>
      </w:numPr>
    </w:pPr>
  </w:style>
  <w:style w:type="paragraph" w:customStyle="1" w:styleId="DashEqual3">
    <w:name w:val="Dash Equal 3"/>
    <w:basedOn w:val="Dash3"/>
    <w:rsid w:val="006E33E2"/>
    <w:pPr>
      <w:numPr>
        <w:numId w:val="10"/>
      </w:numPr>
    </w:pPr>
  </w:style>
  <w:style w:type="paragraph" w:customStyle="1" w:styleId="DashEqual4">
    <w:name w:val="Dash Equal 4"/>
    <w:basedOn w:val="Dash4"/>
    <w:rsid w:val="006E33E2"/>
    <w:pPr>
      <w:numPr>
        <w:numId w:val="11"/>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837C70"/>
    <w:rPr>
      <w:lang w:val="bg-BG" w:eastAsia="bg-BG"/>
    </w:rPr>
  </w:style>
  <w:style w:type="paragraph" w:styleId="CommentSubject">
    <w:name w:val="annotation subject"/>
    <w:basedOn w:val="CommentText"/>
    <w:next w:val="CommentText"/>
    <w:link w:val="CommentSubjectChar"/>
    <w:uiPriority w:val="99"/>
    <w:semiHidden/>
    <w:unhideWhenUsed/>
    <w:rsid w:val="00837C70"/>
    <w:rPr>
      <w:b/>
      <w:bCs/>
    </w:rPr>
  </w:style>
  <w:style w:type="character" w:customStyle="1" w:styleId="CommentSubjectChar">
    <w:name w:val="Comment Subject Char"/>
    <w:basedOn w:val="CommentTextChar"/>
    <w:link w:val="CommentSubject"/>
    <w:uiPriority w:val="99"/>
    <w:semiHidden/>
    <w:rsid w:val="00837C70"/>
    <w:rPr>
      <w:b/>
      <w:bCs/>
      <w:lang w:val="bg-BG" w:eastAsia="bg-BG"/>
    </w:rPr>
  </w:style>
  <w:style w:type="character" w:styleId="Hyperlink">
    <w:name w:val="Hyperlink"/>
    <w:basedOn w:val="DefaultParagraphFont"/>
    <w:uiPriority w:val="99"/>
    <w:unhideWhenUsed/>
    <w:rsid w:val="00837C70"/>
    <w:rPr>
      <w:color w:val="0000FF" w:themeColor="hyperlink"/>
      <w:u w:val="single"/>
    </w:rPr>
  </w:style>
  <w:style w:type="paragraph" w:styleId="BalloonText">
    <w:name w:val="Balloon Text"/>
    <w:basedOn w:val="Normal"/>
    <w:link w:val="BalloonTextChar"/>
    <w:uiPriority w:val="99"/>
    <w:semiHidden/>
    <w:unhideWhenUsed/>
    <w:rsid w:val="00837C70"/>
    <w:rPr>
      <w:rFonts w:ascii="Tahoma" w:hAnsi="Tahoma" w:cs="Tahoma"/>
      <w:sz w:val="16"/>
      <w:szCs w:val="16"/>
    </w:rPr>
  </w:style>
  <w:style w:type="character" w:customStyle="1" w:styleId="BalloonTextChar">
    <w:name w:val="Balloon Text Char"/>
    <w:basedOn w:val="DefaultParagraphFont"/>
    <w:link w:val="BalloonText"/>
    <w:uiPriority w:val="99"/>
    <w:semiHidden/>
    <w:rsid w:val="00837C70"/>
    <w:rPr>
      <w:rFonts w:ascii="Tahoma" w:hAnsi="Tahoma" w:cs="Tahoma"/>
      <w:sz w:val="16"/>
      <w:szCs w:val="16"/>
      <w:lang w:val="bg-BG" w:eastAsia="bg-BG"/>
    </w:rPr>
  </w:style>
  <w:style w:type="character" w:customStyle="1" w:styleId="Heading1Char">
    <w:name w:val="Heading 1 Char"/>
    <w:basedOn w:val="DefaultParagraphFont"/>
    <w:link w:val="Heading1"/>
    <w:uiPriority w:val="9"/>
    <w:rsid w:val="00DF1283"/>
    <w:rPr>
      <w:rFonts w:asciiTheme="majorHAnsi" w:eastAsiaTheme="majorEastAsia" w:hAnsiTheme="majorHAnsi" w:cstheme="majorBidi"/>
      <w:b/>
      <w:bCs/>
      <w:color w:val="365F91" w:themeColor="accent1" w:themeShade="BF"/>
      <w:sz w:val="28"/>
      <w:szCs w:val="28"/>
      <w:lang w:val="bg-BG" w:eastAsia="bg-BG"/>
    </w:rPr>
  </w:style>
  <w:style w:type="character" w:customStyle="1" w:styleId="Heading2Char">
    <w:name w:val="Heading 2 Char"/>
    <w:basedOn w:val="DefaultParagraphFont"/>
    <w:link w:val="Heading2"/>
    <w:uiPriority w:val="9"/>
    <w:semiHidden/>
    <w:rsid w:val="00DF1283"/>
    <w:rPr>
      <w:rFonts w:asciiTheme="majorHAnsi" w:eastAsiaTheme="majorEastAsia" w:hAnsiTheme="majorHAnsi" w:cstheme="majorBidi"/>
      <w:b/>
      <w:bCs/>
      <w:color w:val="4F81BD" w:themeColor="accent1"/>
      <w:sz w:val="26"/>
      <w:szCs w:val="26"/>
      <w:lang w:val="bg-BG" w:eastAsia="bg-BG"/>
    </w:rPr>
  </w:style>
  <w:style w:type="character" w:customStyle="1" w:styleId="Heading3Char">
    <w:name w:val="Heading 3 Char"/>
    <w:basedOn w:val="DefaultParagraphFont"/>
    <w:link w:val="Heading3"/>
    <w:uiPriority w:val="9"/>
    <w:semiHidden/>
    <w:rsid w:val="00DF1283"/>
    <w:rPr>
      <w:rFonts w:asciiTheme="majorHAnsi" w:eastAsiaTheme="majorEastAsia" w:hAnsiTheme="majorHAnsi" w:cstheme="majorBidi"/>
      <w:b/>
      <w:bCs/>
      <w:color w:val="4F81BD" w:themeColor="accent1"/>
      <w:sz w:val="24"/>
      <w:szCs w:val="24"/>
      <w:lang w:val="bg-BG" w:eastAsia="bg-BG"/>
    </w:rPr>
  </w:style>
  <w:style w:type="character" w:customStyle="1" w:styleId="Heading4Char">
    <w:name w:val="Heading 4 Char"/>
    <w:basedOn w:val="DefaultParagraphFont"/>
    <w:link w:val="Heading4"/>
    <w:uiPriority w:val="9"/>
    <w:semiHidden/>
    <w:rsid w:val="00DF1283"/>
    <w:rPr>
      <w:rFonts w:asciiTheme="majorHAnsi" w:eastAsiaTheme="majorEastAsia" w:hAnsiTheme="majorHAnsi" w:cstheme="majorBidi"/>
      <w:b/>
      <w:bCs/>
      <w:i/>
      <w:iCs/>
      <w:color w:val="4F81BD" w:themeColor="accent1"/>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F12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F12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F128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128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733B7D"/>
    <w:pPr>
      <w:spacing w:after="440"/>
      <w:ind w:left="-1134" w:right="-1134"/>
    </w:pPr>
    <w:rPr>
      <w:sz w:val="2"/>
    </w:rPr>
  </w:style>
  <w:style w:type="character" w:customStyle="1" w:styleId="TechnicalBlockChar">
    <w:name w:val="Technical Block Char"/>
    <w:basedOn w:val="DefaultParagraphFont"/>
    <w:rsid w:val="00733B7D"/>
    <w:rPr>
      <w:sz w:val="24"/>
      <w:szCs w:val="24"/>
      <w:lang w:val="bg-BG" w:eastAsia="bg-BG"/>
    </w:rPr>
  </w:style>
  <w:style w:type="character" w:customStyle="1" w:styleId="HeaderCouncilLargeChar">
    <w:name w:val="Header Council Large Char"/>
    <w:basedOn w:val="TechnicalBlockChar"/>
    <w:link w:val="HeaderCouncilLarge"/>
    <w:rsid w:val="00733B7D"/>
    <w:rPr>
      <w:sz w:val="2"/>
      <w:szCs w:val="24"/>
      <w:lang w:val="bg-BG" w:eastAsia="bg-BG"/>
    </w:rPr>
  </w:style>
  <w:style w:type="paragraph" w:customStyle="1" w:styleId="FooterText">
    <w:name w:val="Footer Text"/>
    <w:basedOn w:val="Normal"/>
    <w:rsid w:val="00733B7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6A735E"/>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7"/>
      </w:numPr>
      <w:spacing w:before="200"/>
    </w:pPr>
  </w:style>
  <w:style w:type="paragraph" w:customStyle="1" w:styleId="Pointabc1">
    <w:name w:val="Point abc (1)"/>
    <w:basedOn w:val="Normal"/>
    <w:rsid w:val="006E33E2"/>
    <w:pPr>
      <w:numPr>
        <w:ilvl w:val="3"/>
        <w:numId w:val="17"/>
      </w:numPr>
      <w:outlineLvl w:val="0"/>
    </w:pPr>
  </w:style>
  <w:style w:type="paragraph" w:customStyle="1" w:styleId="Pointabc2">
    <w:name w:val="Point abc (2)"/>
    <w:basedOn w:val="Normal"/>
    <w:rsid w:val="006E33E2"/>
    <w:pPr>
      <w:numPr>
        <w:ilvl w:val="5"/>
        <w:numId w:val="17"/>
      </w:numPr>
      <w:outlineLvl w:val="1"/>
    </w:pPr>
  </w:style>
  <w:style w:type="paragraph" w:customStyle="1" w:styleId="Pointabc3">
    <w:name w:val="Point abc (3)"/>
    <w:basedOn w:val="Normal"/>
    <w:rsid w:val="006E33E2"/>
    <w:pPr>
      <w:numPr>
        <w:ilvl w:val="7"/>
        <w:numId w:val="17"/>
      </w:numPr>
      <w:outlineLvl w:val="2"/>
    </w:pPr>
  </w:style>
  <w:style w:type="paragraph" w:customStyle="1" w:styleId="Pointabc4">
    <w:name w:val="Point abc (4)"/>
    <w:basedOn w:val="Normal"/>
    <w:rsid w:val="006E33E2"/>
    <w:pPr>
      <w:numPr>
        <w:ilvl w:val="8"/>
        <w:numId w:val="17"/>
      </w:numPr>
      <w:outlineLvl w:val="3"/>
    </w:pPr>
  </w:style>
  <w:style w:type="paragraph" w:customStyle="1" w:styleId="Point123">
    <w:name w:val="Point 123"/>
    <w:basedOn w:val="Normal"/>
    <w:rsid w:val="006E33E2"/>
    <w:pPr>
      <w:numPr>
        <w:numId w:val="17"/>
      </w:numPr>
      <w:spacing w:before="200"/>
    </w:pPr>
  </w:style>
  <w:style w:type="paragraph" w:customStyle="1" w:styleId="Point1231">
    <w:name w:val="Point 123 (1)"/>
    <w:basedOn w:val="Normal"/>
    <w:rsid w:val="006E33E2"/>
    <w:pPr>
      <w:numPr>
        <w:ilvl w:val="2"/>
        <w:numId w:val="17"/>
      </w:numPr>
      <w:outlineLvl w:val="0"/>
    </w:pPr>
  </w:style>
  <w:style w:type="paragraph" w:customStyle="1" w:styleId="Point1232">
    <w:name w:val="Point 123 (2)"/>
    <w:basedOn w:val="Normal"/>
    <w:rsid w:val="006E33E2"/>
    <w:pPr>
      <w:numPr>
        <w:ilvl w:val="4"/>
        <w:numId w:val="17"/>
      </w:numPr>
      <w:outlineLvl w:val="1"/>
    </w:pPr>
  </w:style>
  <w:style w:type="paragraph" w:customStyle="1" w:styleId="Point1233">
    <w:name w:val="Point 123 (3)"/>
    <w:basedOn w:val="Normal"/>
    <w:rsid w:val="006E33E2"/>
    <w:pPr>
      <w:numPr>
        <w:ilvl w:val="6"/>
        <w:numId w:val="17"/>
      </w:numPr>
      <w:outlineLvl w:val="2"/>
    </w:pPr>
  </w:style>
  <w:style w:type="paragraph" w:customStyle="1" w:styleId="Pointivx">
    <w:name w:val="Point ivx"/>
    <w:basedOn w:val="Normal"/>
    <w:rsid w:val="006E33E2"/>
    <w:pPr>
      <w:numPr>
        <w:numId w:val="18"/>
      </w:numPr>
      <w:spacing w:before="200"/>
    </w:pPr>
  </w:style>
  <w:style w:type="paragraph" w:customStyle="1" w:styleId="Pointivx1">
    <w:name w:val="Point ivx (1)"/>
    <w:basedOn w:val="Normal"/>
    <w:rsid w:val="006E33E2"/>
    <w:pPr>
      <w:numPr>
        <w:ilvl w:val="1"/>
        <w:numId w:val="18"/>
      </w:numPr>
      <w:outlineLvl w:val="0"/>
    </w:pPr>
  </w:style>
  <w:style w:type="paragraph" w:customStyle="1" w:styleId="Pointivx2">
    <w:name w:val="Point ivx (2)"/>
    <w:basedOn w:val="Normal"/>
    <w:rsid w:val="006E33E2"/>
    <w:pPr>
      <w:numPr>
        <w:ilvl w:val="2"/>
        <w:numId w:val="18"/>
      </w:numPr>
      <w:outlineLvl w:val="1"/>
    </w:pPr>
  </w:style>
  <w:style w:type="paragraph" w:customStyle="1" w:styleId="Pointivx3">
    <w:name w:val="Point ivx (3)"/>
    <w:basedOn w:val="Normal"/>
    <w:rsid w:val="006E33E2"/>
    <w:pPr>
      <w:numPr>
        <w:ilvl w:val="3"/>
        <w:numId w:val="18"/>
      </w:numPr>
      <w:outlineLvl w:val="2"/>
    </w:pPr>
  </w:style>
  <w:style w:type="paragraph" w:customStyle="1" w:styleId="Pointivx4">
    <w:name w:val="Point ivx (4)"/>
    <w:basedOn w:val="Normal"/>
    <w:rsid w:val="006E33E2"/>
    <w:pPr>
      <w:numPr>
        <w:ilvl w:val="4"/>
        <w:numId w:val="18"/>
      </w:numPr>
      <w:outlineLvl w:val="3"/>
    </w:pPr>
  </w:style>
  <w:style w:type="paragraph" w:customStyle="1" w:styleId="Bullet">
    <w:name w:val="Bullet"/>
    <w:basedOn w:val="Normal"/>
    <w:rsid w:val="006E33E2"/>
    <w:pPr>
      <w:numPr>
        <w:numId w:val="12"/>
      </w:numPr>
      <w:spacing w:before="200"/>
    </w:pPr>
  </w:style>
  <w:style w:type="paragraph" w:customStyle="1" w:styleId="Bullet1">
    <w:name w:val="Bullet 1"/>
    <w:basedOn w:val="Normal"/>
    <w:rsid w:val="006E33E2"/>
    <w:pPr>
      <w:numPr>
        <w:numId w:val="13"/>
      </w:numPr>
      <w:outlineLvl w:val="0"/>
    </w:pPr>
  </w:style>
  <w:style w:type="paragraph" w:customStyle="1" w:styleId="Bullet2">
    <w:name w:val="Bullet 2"/>
    <w:basedOn w:val="Normal"/>
    <w:rsid w:val="006E33E2"/>
    <w:pPr>
      <w:numPr>
        <w:numId w:val="14"/>
      </w:numPr>
      <w:outlineLvl w:val="1"/>
    </w:pPr>
  </w:style>
  <w:style w:type="paragraph" w:customStyle="1" w:styleId="Bullet3">
    <w:name w:val="Bullet 3"/>
    <w:basedOn w:val="Normal"/>
    <w:rsid w:val="006E33E2"/>
    <w:pPr>
      <w:numPr>
        <w:numId w:val="15"/>
      </w:numPr>
      <w:outlineLvl w:val="2"/>
    </w:pPr>
  </w:style>
  <w:style w:type="paragraph" w:customStyle="1" w:styleId="Bullet4">
    <w:name w:val="Bullet 4"/>
    <w:basedOn w:val="Normal"/>
    <w:rsid w:val="006E33E2"/>
    <w:pPr>
      <w:numPr>
        <w:numId w:val="16"/>
      </w:numPr>
      <w:outlineLvl w:val="3"/>
    </w:pPr>
  </w:style>
  <w:style w:type="paragraph" w:customStyle="1" w:styleId="Dash">
    <w:name w:val="Dash"/>
    <w:basedOn w:val="Normal"/>
    <w:rsid w:val="006E33E2"/>
    <w:pPr>
      <w:numPr>
        <w:numId w:val="2"/>
      </w:numPr>
      <w:spacing w:before="200"/>
    </w:pPr>
  </w:style>
  <w:style w:type="paragraph" w:customStyle="1" w:styleId="Dash1">
    <w:name w:val="Dash 1"/>
    <w:basedOn w:val="Normal"/>
    <w:rsid w:val="006E33E2"/>
    <w:pPr>
      <w:numPr>
        <w:numId w:val="3"/>
      </w:numPr>
      <w:outlineLvl w:val="0"/>
    </w:pPr>
  </w:style>
  <w:style w:type="paragraph" w:customStyle="1" w:styleId="Dash2">
    <w:name w:val="Dash 2"/>
    <w:basedOn w:val="Normal"/>
    <w:rsid w:val="006E33E2"/>
    <w:pPr>
      <w:numPr>
        <w:numId w:val="4"/>
      </w:numPr>
      <w:outlineLvl w:val="1"/>
    </w:pPr>
  </w:style>
  <w:style w:type="paragraph" w:customStyle="1" w:styleId="Dash3">
    <w:name w:val="Dash 3"/>
    <w:basedOn w:val="Normal"/>
    <w:rsid w:val="006E33E2"/>
    <w:pPr>
      <w:numPr>
        <w:numId w:val="5"/>
      </w:numPr>
      <w:outlineLvl w:val="2"/>
    </w:pPr>
  </w:style>
  <w:style w:type="paragraph" w:customStyle="1" w:styleId="Dash4">
    <w:name w:val="Dash 4"/>
    <w:basedOn w:val="Normal"/>
    <w:rsid w:val="006E33E2"/>
    <w:pPr>
      <w:numPr>
        <w:numId w:val="6"/>
      </w:numPr>
      <w:outlineLvl w:val="3"/>
    </w:pPr>
  </w:style>
  <w:style w:type="paragraph" w:customStyle="1" w:styleId="DashEqual">
    <w:name w:val="Dash Equal"/>
    <w:basedOn w:val="Dash"/>
    <w:rsid w:val="006E33E2"/>
    <w:pPr>
      <w:numPr>
        <w:numId w:val="7"/>
      </w:numPr>
    </w:pPr>
  </w:style>
  <w:style w:type="paragraph" w:customStyle="1" w:styleId="DashEqual1">
    <w:name w:val="Dash Equal 1"/>
    <w:basedOn w:val="Dash1"/>
    <w:rsid w:val="006E33E2"/>
    <w:pPr>
      <w:numPr>
        <w:numId w:val="8"/>
      </w:numPr>
    </w:pPr>
  </w:style>
  <w:style w:type="paragraph" w:customStyle="1" w:styleId="DashEqual2">
    <w:name w:val="Dash Equal 2"/>
    <w:basedOn w:val="Dash2"/>
    <w:rsid w:val="006E33E2"/>
    <w:pPr>
      <w:numPr>
        <w:numId w:val="9"/>
      </w:numPr>
    </w:pPr>
  </w:style>
  <w:style w:type="paragraph" w:customStyle="1" w:styleId="DashEqual3">
    <w:name w:val="Dash Equal 3"/>
    <w:basedOn w:val="Dash3"/>
    <w:rsid w:val="006E33E2"/>
    <w:pPr>
      <w:numPr>
        <w:numId w:val="10"/>
      </w:numPr>
    </w:pPr>
  </w:style>
  <w:style w:type="paragraph" w:customStyle="1" w:styleId="DashEqual4">
    <w:name w:val="Dash Equal 4"/>
    <w:basedOn w:val="Dash4"/>
    <w:rsid w:val="006E33E2"/>
    <w:pPr>
      <w:numPr>
        <w:numId w:val="11"/>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9"/>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0"/>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837C70"/>
    <w:rPr>
      <w:lang w:val="bg-BG" w:eastAsia="bg-BG"/>
    </w:rPr>
  </w:style>
  <w:style w:type="paragraph" w:styleId="CommentSubject">
    <w:name w:val="annotation subject"/>
    <w:basedOn w:val="CommentText"/>
    <w:next w:val="CommentText"/>
    <w:link w:val="CommentSubjectChar"/>
    <w:uiPriority w:val="99"/>
    <w:semiHidden/>
    <w:unhideWhenUsed/>
    <w:rsid w:val="00837C70"/>
    <w:rPr>
      <w:b/>
      <w:bCs/>
    </w:rPr>
  </w:style>
  <w:style w:type="character" w:customStyle="1" w:styleId="CommentSubjectChar">
    <w:name w:val="Comment Subject Char"/>
    <w:basedOn w:val="CommentTextChar"/>
    <w:link w:val="CommentSubject"/>
    <w:uiPriority w:val="99"/>
    <w:semiHidden/>
    <w:rsid w:val="00837C70"/>
    <w:rPr>
      <w:b/>
      <w:bCs/>
      <w:lang w:val="bg-BG" w:eastAsia="bg-BG"/>
    </w:rPr>
  </w:style>
  <w:style w:type="character" w:styleId="Hyperlink">
    <w:name w:val="Hyperlink"/>
    <w:basedOn w:val="DefaultParagraphFont"/>
    <w:uiPriority w:val="99"/>
    <w:unhideWhenUsed/>
    <w:rsid w:val="00837C70"/>
    <w:rPr>
      <w:color w:val="0000FF" w:themeColor="hyperlink"/>
      <w:u w:val="single"/>
    </w:rPr>
  </w:style>
  <w:style w:type="paragraph" w:styleId="BalloonText">
    <w:name w:val="Balloon Text"/>
    <w:basedOn w:val="Normal"/>
    <w:link w:val="BalloonTextChar"/>
    <w:uiPriority w:val="99"/>
    <w:semiHidden/>
    <w:unhideWhenUsed/>
    <w:rsid w:val="00837C70"/>
    <w:rPr>
      <w:rFonts w:ascii="Tahoma" w:hAnsi="Tahoma" w:cs="Tahoma"/>
      <w:sz w:val="16"/>
      <w:szCs w:val="16"/>
    </w:rPr>
  </w:style>
  <w:style w:type="character" w:customStyle="1" w:styleId="BalloonTextChar">
    <w:name w:val="Balloon Text Char"/>
    <w:basedOn w:val="DefaultParagraphFont"/>
    <w:link w:val="BalloonText"/>
    <w:uiPriority w:val="99"/>
    <w:semiHidden/>
    <w:rsid w:val="00837C70"/>
    <w:rPr>
      <w:rFonts w:ascii="Tahoma" w:hAnsi="Tahoma" w:cs="Tahoma"/>
      <w:sz w:val="16"/>
      <w:szCs w:val="16"/>
      <w:lang w:val="bg-BG" w:eastAsia="bg-BG"/>
    </w:rPr>
  </w:style>
  <w:style w:type="character" w:customStyle="1" w:styleId="Heading1Char">
    <w:name w:val="Heading 1 Char"/>
    <w:basedOn w:val="DefaultParagraphFont"/>
    <w:link w:val="Heading1"/>
    <w:uiPriority w:val="9"/>
    <w:rsid w:val="00DF1283"/>
    <w:rPr>
      <w:rFonts w:asciiTheme="majorHAnsi" w:eastAsiaTheme="majorEastAsia" w:hAnsiTheme="majorHAnsi" w:cstheme="majorBidi"/>
      <w:b/>
      <w:bCs/>
      <w:color w:val="365F91" w:themeColor="accent1" w:themeShade="BF"/>
      <w:sz w:val="28"/>
      <w:szCs w:val="28"/>
      <w:lang w:val="bg-BG" w:eastAsia="bg-BG"/>
    </w:rPr>
  </w:style>
  <w:style w:type="character" w:customStyle="1" w:styleId="Heading2Char">
    <w:name w:val="Heading 2 Char"/>
    <w:basedOn w:val="DefaultParagraphFont"/>
    <w:link w:val="Heading2"/>
    <w:uiPriority w:val="9"/>
    <w:semiHidden/>
    <w:rsid w:val="00DF1283"/>
    <w:rPr>
      <w:rFonts w:asciiTheme="majorHAnsi" w:eastAsiaTheme="majorEastAsia" w:hAnsiTheme="majorHAnsi" w:cstheme="majorBidi"/>
      <w:b/>
      <w:bCs/>
      <w:color w:val="4F81BD" w:themeColor="accent1"/>
      <w:sz w:val="26"/>
      <w:szCs w:val="26"/>
      <w:lang w:val="bg-BG" w:eastAsia="bg-BG"/>
    </w:rPr>
  </w:style>
  <w:style w:type="character" w:customStyle="1" w:styleId="Heading3Char">
    <w:name w:val="Heading 3 Char"/>
    <w:basedOn w:val="DefaultParagraphFont"/>
    <w:link w:val="Heading3"/>
    <w:uiPriority w:val="9"/>
    <w:semiHidden/>
    <w:rsid w:val="00DF1283"/>
    <w:rPr>
      <w:rFonts w:asciiTheme="majorHAnsi" w:eastAsiaTheme="majorEastAsia" w:hAnsiTheme="majorHAnsi" w:cstheme="majorBidi"/>
      <w:b/>
      <w:bCs/>
      <w:color w:val="4F81BD" w:themeColor="accent1"/>
      <w:sz w:val="24"/>
      <w:szCs w:val="24"/>
      <w:lang w:val="bg-BG" w:eastAsia="bg-BG"/>
    </w:rPr>
  </w:style>
  <w:style w:type="character" w:customStyle="1" w:styleId="Heading4Char">
    <w:name w:val="Heading 4 Char"/>
    <w:basedOn w:val="DefaultParagraphFont"/>
    <w:link w:val="Heading4"/>
    <w:uiPriority w:val="9"/>
    <w:semiHidden/>
    <w:rsid w:val="00DF1283"/>
    <w:rPr>
      <w:rFonts w:asciiTheme="majorHAnsi" w:eastAsiaTheme="majorEastAsia" w:hAnsiTheme="majorHAnsi" w:cstheme="majorBidi"/>
      <w:b/>
      <w:bCs/>
      <w:i/>
      <w:iCs/>
      <w:color w:val="4F81BD" w:themeColor="accent1"/>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FAFF1-0E76-489C-9795-C1D6281C7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0</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VASILEVA Sokolova Veselina</dc:creator>
  <cp:lastModifiedBy>VASILEVA Sokolova Veselina</cp:lastModifiedBy>
  <cp:revision>3</cp:revision>
  <cp:lastPrinted>2015-11-06T14:23:00Z</cp:lastPrinted>
  <dcterms:created xsi:type="dcterms:W3CDTF">2015-11-09T13:37:00Z</dcterms:created>
  <dcterms:modified xsi:type="dcterms:W3CDTF">2015-11-09T13:37:00Z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3.6.7, Build 20150916</vt:lpwstr>
  </property>
</Properties>
</file>