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60" w:rsidRPr="00BC13D9" w:rsidRDefault="00DF1B75" w:rsidP="00BC13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4c4f03c-85d6-4af6-9cef-86b44924e3ff_0" style="width:568.5pt;height:285.75pt">
            <v:imagedata r:id="rId8" o:title=""/>
          </v:shape>
        </w:pict>
      </w:r>
      <w:bookmarkEnd w:id="0"/>
    </w:p>
    <w:p w:rsidR="00656BEE" w:rsidRPr="00654064" w:rsidRDefault="00656BEE" w:rsidP="00656BEE">
      <w:pPr>
        <w:pStyle w:val="NormalRight"/>
        <w:spacing w:before="0"/>
        <w:rPr>
          <w:b/>
          <w:u w:val="single"/>
        </w:rPr>
      </w:pPr>
      <w:r w:rsidRPr="00654064">
        <w:br w:type="page"/>
      </w:r>
      <w:r w:rsidRPr="00654064">
        <w:rPr>
          <w:b/>
          <w:u w:val="single"/>
        </w:rPr>
        <w:lastRenderedPageBreak/>
        <w:t>ПРИЛОЖЕНИЕ</w:t>
      </w:r>
    </w:p>
    <w:p w:rsidR="007A1715" w:rsidRPr="00654064" w:rsidRDefault="007A1715" w:rsidP="00486CEA">
      <w:pPr>
        <w:pStyle w:val="HeadingCentered"/>
        <w:spacing w:before="600" w:after="800"/>
      </w:pPr>
      <w:r w:rsidRPr="00654064">
        <w:t xml:space="preserve">ИЗЯВЛЕНИЯ ЗА ПРОТОКОЛА НА СЪВЕТА, </w:t>
      </w:r>
      <w:r w:rsidRPr="00654064">
        <w:br/>
        <w:t>ПРЕДНАЗНАЧЕНИ ЗА ОБЩЕСТВЕНОСТТА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620"/>
      </w:tblGrid>
      <w:tr w:rsidR="007A1715" w:rsidRPr="00654064" w:rsidTr="00B83158">
        <w:trPr>
          <w:trHeight w:val="567"/>
        </w:trPr>
        <w:tc>
          <w:tcPr>
            <w:tcW w:w="2235" w:type="dxa"/>
            <w:shd w:val="clear" w:color="auto" w:fill="auto"/>
          </w:tcPr>
          <w:p w:rsidR="007A1715" w:rsidRPr="00654064" w:rsidRDefault="007A1715" w:rsidP="00B83158">
            <w:pPr>
              <w:rPr>
                <w:b/>
              </w:rPr>
            </w:pPr>
            <w:r w:rsidRPr="00654064">
              <w:rPr>
                <w:b/>
                <w:u w:val="single"/>
              </w:rPr>
              <w:t>По точка 3 от списъка на точки Б</w:t>
            </w:r>
            <w:r w:rsidRPr="00654064">
              <w:t>:</w:t>
            </w:r>
          </w:p>
        </w:tc>
        <w:tc>
          <w:tcPr>
            <w:tcW w:w="7620" w:type="dxa"/>
            <w:shd w:val="clear" w:color="auto" w:fill="auto"/>
          </w:tcPr>
          <w:p w:rsidR="007A1715" w:rsidRPr="00654064" w:rsidRDefault="007A1715" w:rsidP="00B83158">
            <w:pPr>
              <w:rPr>
                <w:b/>
              </w:rPr>
            </w:pPr>
            <w:r w:rsidRPr="00654064">
              <w:rPr>
                <w:b/>
              </w:rPr>
              <w:t>Проект за заключения на представителите на правителствата на държавите членки, заседаващи в рамките на Съвета, относно презаселването посредством многостранни и национални схеми на 20 000 разселени лица, явно нуждаещи се от международна закрила</w:t>
            </w:r>
          </w:p>
        </w:tc>
      </w:tr>
    </w:tbl>
    <w:p w:rsidR="007A1715" w:rsidRPr="00654064" w:rsidRDefault="007A1715" w:rsidP="00656BEE">
      <w:pPr>
        <w:spacing w:before="240"/>
        <w:rPr>
          <w:b/>
        </w:rPr>
      </w:pPr>
      <w:r w:rsidRPr="00654064">
        <w:rPr>
          <w:b/>
        </w:rPr>
        <w:t>ИЗЯВЛЕНИЕ НА ГЕРМАНИЯ И ФРАНЦИЯ</w:t>
      </w:r>
    </w:p>
    <w:p w:rsidR="00FC2BB8" w:rsidRPr="00654064" w:rsidRDefault="007A1715" w:rsidP="007A1715">
      <w:pPr>
        <w:spacing w:before="160"/>
        <w:rPr>
          <w:rFonts w:asciiTheme="majorBidi" w:eastAsiaTheme="minorHAnsi" w:hAnsiTheme="majorBidi" w:cstheme="majorBidi"/>
          <w:color w:val="000000"/>
        </w:rPr>
      </w:pPr>
      <w:r w:rsidRPr="00654064">
        <w:t>„</w:t>
      </w:r>
      <w:r w:rsidRPr="00654064">
        <w:rPr>
          <w:u w:val="single"/>
        </w:rPr>
        <w:t>Франция и Германия</w:t>
      </w:r>
      <w:r w:rsidRPr="00654064">
        <w:t xml:space="preserve"> са готови да поемат изцяло своята роля в областта на приемането на бежанци, които бягат от преследване, по-специално от Сирия, Ирак или Еритрея.</w:t>
      </w:r>
    </w:p>
    <w:p w:rsidR="007A1715" w:rsidRPr="00654064" w:rsidRDefault="007A1715" w:rsidP="00695A6F">
      <w:pPr>
        <w:spacing w:before="160"/>
        <w:rPr>
          <w:rFonts w:asciiTheme="majorBidi" w:eastAsiaTheme="minorHAnsi" w:hAnsiTheme="majorBidi" w:cstheme="majorBidi"/>
          <w:color w:val="000000"/>
        </w:rPr>
      </w:pPr>
      <w:r w:rsidRPr="00654064">
        <w:rPr>
          <w:rFonts w:asciiTheme="majorBidi" w:eastAsiaTheme="minorHAnsi" w:hAnsiTheme="majorBidi" w:cstheme="majorBidi"/>
          <w:color w:val="000000"/>
        </w:rPr>
        <w:t>Въз основа на първоначалното предложение на Европейската комисия Франция ще приеме за период от 2 години 6 752 души, явно нуждаещи се от закрила, посредством механизма за преместване, и 2 375 души по програмата за презаселване. Германия ще приеме до 10 500 души по програмата за преместване за период от 2 години и 1 600 души по програмата за презаселване.</w:t>
      </w:r>
    </w:p>
    <w:p w:rsidR="00FC2BB8" w:rsidRPr="00654064" w:rsidRDefault="007A1715" w:rsidP="007A1715">
      <w:pPr>
        <w:spacing w:before="160"/>
        <w:rPr>
          <w:rFonts w:asciiTheme="majorBidi" w:eastAsiaTheme="minorHAnsi" w:hAnsiTheme="majorBidi" w:cstheme="majorBidi"/>
          <w:color w:val="000000"/>
        </w:rPr>
      </w:pPr>
      <w:r w:rsidRPr="00654064">
        <w:t>Франция и Германия подкрепят програмата за преместване, и по-специално припомнят, че солидарността и отговорността са тясно свързани помежду си.</w:t>
      </w:r>
      <w:r w:rsidRPr="00654064">
        <w:rPr>
          <w:rFonts w:asciiTheme="majorBidi" w:eastAsiaTheme="minorHAnsi" w:hAnsiTheme="majorBidi" w:cstheme="majorBidi"/>
          <w:color w:val="000000"/>
        </w:rPr>
        <w:t xml:space="preserve"> В това отношение специално се подчертава значението на следните договорени условия:</w:t>
      </w:r>
    </w:p>
    <w:p w:rsidR="007A1715" w:rsidRPr="00654064" w:rsidRDefault="007A1715" w:rsidP="00FC2BB8">
      <w:pPr>
        <w:pStyle w:val="Dash"/>
        <w:numPr>
          <w:ilvl w:val="0"/>
          <w:numId w:val="20"/>
        </w:numPr>
        <w:rPr>
          <w:rFonts w:eastAsiaTheme="minorHAnsi"/>
        </w:rPr>
      </w:pPr>
      <w:r w:rsidRPr="00654064">
        <w:t>Всички държави — членки на ЕС, които са засегнати от тези програми, участват в тях с цел да се постигне балансирано разпределение на усилията;</w:t>
      </w:r>
    </w:p>
    <w:p w:rsidR="007A1715" w:rsidRPr="00654064" w:rsidRDefault="007A1715" w:rsidP="00FC2BB8">
      <w:pPr>
        <w:pStyle w:val="Dash"/>
        <w:rPr>
          <w:rFonts w:asciiTheme="majorBidi" w:eastAsiaTheme="minorHAnsi" w:hAnsiTheme="majorBidi" w:cstheme="majorBidi"/>
          <w:color w:val="000000"/>
        </w:rPr>
      </w:pPr>
      <w:r w:rsidRPr="00654064">
        <w:t>Същевременно, когато решението относно преместването влезе в сила, следва да бъдат създадени т.нар. „горещи точки“, включващи национални структури за приемане (зони на изчакване), разположени в близост до точките на пристигане в държавите членки на първо влизане.</w:t>
      </w:r>
      <w:r w:rsidRPr="00654064">
        <w:rPr>
          <w:rFonts w:asciiTheme="majorBidi" w:eastAsiaTheme="minorHAnsi" w:hAnsiTheme="majorBidi" w:cstheme="majorBidi"/>
          <w:color w:val="000000"/>
        </w:rPr>
        <w:t xml:space="preserve"> В рамките на „горещите точки“ трябва да бъде установена координация за преместването между Регионалната работна група на ЕС (EURTF), оперативните експертни екипи и намиращите се на първа линия държави членки, като по този начин се създаде възможност за идентифициране и регистриране на мигрантите в базата данни Евродак, както и да се осъществи нужното разграничение между кандидатите за убежище, които бягат от преследване и които ще бъдат преместени в държавите членки, и незаконните мигранти, които не търсят убежище или чиято молба е била отхвърлена, които трябва да бъдат върнати в тяхната страна на произход;</w:t>
      </w:r>
    </w:p>
    <w:p w:rsidR="00FC2BB8" w:rsidRPr="00654064" w:rsidRDefault="007A1715" w:rsidP="00FC2BB8">
      <w:pPr>
        <w:pStyle w:val="Dash"/>
        <w:rPr>
          <w:rFonts w:asciiTheme="majorBidi" w:eastAsiaTheme="minorHAnsi" w:hAnsiTheme="majorBidi" w:cstheme="majorBidi"/>
          <w:color w:val="000000"/>
        </w:rPr>
      </w:pPr>
      <w:r w:rsidRPr="00654064">
        <w:t>Европейската комисия и всички държави членки вземат всички мерки, за да се избегне вторично придвижване на преместените лица, а държавата членка на преместване незабавно приема обратно преместеното лице при поискване от друга държава членка.</w:t>
      </w:r>
    </w:p>
    <w:p w:rsidR="007A1715" w:rsidRPr="00654064" w:rsidRDefault="007A1715" w:rsidP="007A1715">
      <w:pPr>
        <w:pStyle w:val="Dash"/>
        <w:rPr>
          <w:rFonts w:eastAsiaTheme="minorHAnsi"/>
        </w:rPr>
      </w:pPr>
      <w:r w:rsidRPr="00654064">
        <w:t>ЕС следва също така да продължи решителните действия срещу незаконната имиграция, включително чрез разбиване на мрежите на контрабандистите на хора и осигуряване връщането на незаконните имигранти в техните страни на произход;</w:t>
      </w:r>
    </w:p>
    <w:p w:rsidR="007A1715" w:rsidRPr="00654064" w:rsidRDefault="007A1715" w:rsidP="007A1715">
      <w:pPr>
        <w:pStyle w:val="Dash"/>
        <w:rPr>
          <w:rFonts w:asciiTheme="majorBidi" w:eastAsiaTheme="minorHAnsi" w:hAnsiTheme="majorBidi" w:cstheme="majorBidi"/>
          <w:color w:val="000000"/>
        </w:rPr>
      </w:pPr>
      <w:r w:rsidRPr="00654064">
        <w:rPr>
          <w:rFonts w:asciiTheme="majorBidi" w:eastAsiaTheme="minorHAnsi" w:hAnsiTheme="majorBidi" w:cstheme="majorBidi"/>
          <w:color w:val="000000"/>
        </w:rPr>
        <w:t>Посрещането на бежанците по програмите за презаселване и преместване следва да бъде осъществено в рамките на период от 2 години, за да се гарантира устойчивостта на тези операции.</w:t>
      </w:r>
    </w:p>
    <w:p w:rsidR="00FC2BB8" w:rsidRPr="00654064" w:rsidRDefault="007A1715" w:rsidP="00A161F7">
      <w:pPr>
        <w:pageBreakBefore/>
        <w:spacing w:before="240"/>
        <w:rPr>
          <w:rFonts w:asciiTheme="majorBidi" w:eastAsiaTheme="minorHAnsi" w:hAnsiTheme="majorBidi" w:cstheme="majorBidi"/>
        </w:rPr>
      </w:pPr>
      <w:r w:rsidRPr="00654064">
        <w:rPr>
          <w:u w:val="single"/>
        </w:rPr>
        <w:lastRenderedPageBreak/>
        <w:t>Франция и Германия</w:t>
      </w:r>
      <w:r w:rsidRPr="00654064">
        <w:t xml:space="preserve"> ще обърнат особено внимание на спазването на тези условия, които са от основно значение за търсения баланс между отговорността и солидарността, необходим за преодоляване на настоящата свързана с миграцията криза.“</w:t>
      </w:r>
    </w:p>
    <w:p w:rsidR="007A1715" w:rsidRPr="00654064" w:rsidRDefault="00656BEE" w:rsidP="007A1715">
      <w:pPr>
        <w:spacing w:before="360"/>
        <w:rPr>
          <w:b/>
        </w:rPr>
      </w:pPr>
      <w:r w:rsidRPr="00654064">
        <w:rPr>
          <w:b/>
        </w:rPr>
        <w:t>ИЗЯВЛЕНИЕ НА ДАНИЯ</w:t>
      </w:r>
    </w:p>
    <w:p w:rsidR="007A1715" w:rsidRPr="00654064" w:rsidRDefault="007A1715" w:rsidP="007A1715">
      <w:pPr>
        <w:spacing w:before="160"/>
        <w:rPr>
          <w:rFonts w:asciiTheme="majorBidi" w:eastAsiaTheme="minorHAnsi" w:hAnsiTheme="majorBidi" w:cstheme="majorBidi"/>
        </w:rPr>
      </w:pPr>
      <w:r w:rsidRPr="00654064">
        <w:t xml:space="preserve">„Презаселването в </w:t>
      </w:r>
      <w:r w:rsidRPr="00654064">
        <w:rPr>
          <w:u w:val="single"/>
        </w:rPr>
        <w:t>Дания</w:t>
      </w:r>
      <w:r w:rsidRPr="00654064">
        <w:t xml:space="preserve"> на около 500 бежанци през 2015 г. се основава на съществуваща национална схема за презаселване, която съдържа критерии и условия, договорени между Дания и ВКБООН.</w:t>
      </w:r>
      <w:r w:rsidRPr="00654064">
        <w:rPr>
          <w:rFonts w:asciiTheme="majorBidi" w:eastAsiaTheme="minorHAnsi" w:hAnsiTheme="majorBidi" w:cstheme="majorBidi"/>
        </w:rPr>
        <w:t xml:space="preserve"> За евентуалното презаселване през 2016 г. на около 500 бежанци по съществуващата национална схема се изчаква резултатът от националните процедури за вземане на решение.“</w:t>
      </w:r>
    </w:p>
    <w:p w:rsidR="007A1715" w:rsidRPr="00654064" w:rsidRDefault="003B6B53" w:rsidP="007A1715">
      <w:pPr>
        <w:spacing w:before="360"/>
        <w:rPr>
          <w:b/>
        </w:rPr>
      </w:pPr>
      <w:r w:rsidRPr="00654064">
        <w:rPr>
          <w:b/>
        </w:rPr>
        <w:t>ИЗЯВЛЕНИЕ НА ОБЕДИНЕНОТО КРАЛСТВО</w:t>
      </w:r>
    </w:p>
    <w:p w:rsidR="007A1715" w:rsidRPr="00654064" w:rsidRDefault="007A1715" w:rsidP="007A1715">
      <w:pPr>
        <w:spacing w:before="160"/>
        <w:rPr>
          <w:rFonts w:asciiTheme="majorBidi" w:eastAsiaTheme="minorHAnsi" w:hAnsiTheme="majorBidi" w:cstheme="majorBidi"/>
        </w:rPr>
      </w:pPr>
      <w:r w:rsidRPr="00654064">
        <w:rPr>
          <w:rFonts w:asciiTheme="majorBidi" w:eastAsiaTheme="minorHAnsi" w:hAnsiTheme="majorBidi" w:cstheme="majorBidi"/>
        </w:rPr>
        <w:t xml:space="preserve">„Презаселването в </w:t>
      </w:r>
      <w:r w:rsidRPr="00654064">
        <w:rPr>
          <w:rFonts w:asciiTheme="majorBidi" w:eastAsiaTheme="minorHAnsi" w:hAnsiTheme="majorBidi" w:cstheme="majorBidi"/>
          <w:u w:val="single"/>
        </w:rPr>
        <w:t>Обединеното кралство</w:t>
      </w:r>
      <w:r w:rsidRPr="00654064">
        <w:rPr>
          <w:rFonts w:asciiTheme="majorBidi" w:eastAsiaTheme="minorHAnsi" w:hAnsiTheme="majorBidi" w:cstheme="majorBidi"/>
        </w:rPr>
        <w:t xml:space="preserve"> ще се осъществява в рамките на съществуващите национални схеми. </w:t>
      </w:r>
      <w:r w:rsidRPr="00654064">
        <w:t>Посоченият брой е изцяло индикативен, като се основава на настоящите разчети за дейността по презаселване.</w:t>
      </w:r>
      <w:r w:rsidRPr="00654064">
        <w:rPr>
          <w:rFonts w:asciiTheme="majorBidi" w:eastAsiaTheme="minorHAnsi" w:hAnsiTheme="majorBidi" w:cstheme="majorBidi"/>
        </w:rPr>
        <w:t xml:space="preserve"> Това не е твърдо установена цел, тъй като някои схеми за презаселване се основават на нужди, а не на квоти.“</w:t>
      </w:r>
    </w:p>
    <w:p w:rsidR="007A1715" w:rsidRPr="00654064" w:rsidRDefault="007A1715" w:rsidP="007A1715">
      <w:pPr>
        <w:spacing w:before="240" w:after="60"/>
        <w:jc w:val="center"/>
        <w:rPr>
          <w:rFonts w:asciiTheme="majorBidi" w:eastAsiaTheme="minorHAnsi" w:hAnsiTheme="majorBidi" w:cstheme="majorBidi"/>
        </w:rPr>
      </w:pPr>
      <w:r w:rsidRPr="00654064">
        <w:rPr>
          <w:rFonts w:asciiTheme="majorBidi" w:eastAsiaTheme="minorHAnsi" w:hAnsiTheme="majorBidi" w:cstheme="majorBidi"/>
        </w:rPr>
        <w:t>*</w:t>
      </w:r>
    </w:p>
    <w:p w:rsidR="007A1715" w:rsidRPr="00654064" w:rsidRDefault="007A1715" w:rsidP="00FC2BB8">
      <w:pPr>
        <w:spacing w:before="60" w:after="800"/>
        <w:jc w:val="center"/>
        <w:rPr>
          <w:rFonts w:asciiTheme="majorBidi" w:eastAsiaTheme="minorHAnsi" w:hAnsiTheme="majorBidi" w:cstheme="majorBidi"/>
        </w:rPr>
      </w:pPr>
      <w:r w:rsidRPr="00654064">
        <w:rPr>
          <w:rFonts w:asciiTheme="majorBidi" w:eastAsiaTheme="minorHAnsi" w:hAnsiTheme="majorBidi" w:cstheme="majorBidi"/>
        </w:rPr>
        <w:t>*</w:t>
      </w:r>
      <w:r w:rsidRPr="00654064">
        <w:tab/>
      </w:r>
      <w:r w:rsidRPr="00654064">
        <w:rPr>
          <w:rFonts w:asciiTheme="majorBidi" w:eastAsiaTheme="minorHAnsi" w:hAnsiTheme="majorBidi" w:cstheme="majorBidi"/>
        </w:rPr>
        <w:t>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620"/>
      </w:tblGrid>
      <w:tr w:rsidR="007A1715" w:rsidRPr="00654064" w:rsidTr="00B83158">
        <w:trPr>
          <w:trHeight w:val="567"/>
        </w:trPr>
        <w:tc>
          <w:tcPr>
            <w:tcW w:w="2235" w:type="dxa"/>
            <w:shd w:val="clear" w:color="auto" w:fill="auto"/>
          </w:tcPr>
          <w:p w:rsidR="007A1715" w:rsidRPr="00654064" w:rsidRDefault="007A1715" w:rsidP="00B83158">
            <w:pPr>
              <w:rPr>
                <w:b/>
              </w:rPr>
            </w:pPr>
            <w:r w:rsidRPr="00654064">
              <w:rPr>
                <w:b/>
                <w:u w:val="single"/>
              </w:rPr>
              <w:t>По точка 4 от списъка на точки Б</w:t>
            </w:r>
            <w:r w:rsidRPr="00654064">
              <w:t>:</w:t>
            </w:r>
          </w:p>
        </w:tc>
        <w:tc>
          <w:tcPr>
            <w:tcW w:w="7620" w:type="dxa"/>
            <w:shd w:val="clear" w:color="auto" w:fill="auto"/>
          </w:tcPr>
          <w:p w:rsidR="007A1715" w:rsidRPr="00654064" w:rsidRDefault="007A1715" w:rsidP="00B83158">
            <w:pPr>
              <w:rPr>
                <w:b/>
              </w:rPr>
            </w:pPr>
            <w:r w:rsidRPr="00654064">
              <w:rPr>
                <w:b/>
              </w:rPr>
              <w:t>Проект за резолюция на представителите на правителствата на държавите членки, заседаващи в рамките на Съвета, относно преместването от Гърция и Италия на 40 000 лица, които имат явна нужда от международна закрила</w:t>
            </w:r>
          </w:p>
        </w:tc>
      </w:tr>
    </w:tbl>
    <w:p w:rsidR="007A1715" w:rsidRPr="00654064" w:rsidRDefault="007A1715" w:rsidP="00656BEE">
      <w:pPr>
        <w:spacing w:before="360"/>
        <w:rPr>
          <w:b/>
        </w:rPr>
      </w:pPr>
      <w:r w:rsidRPr="00654064">
        <w:rPr>
          <w:b/>
        </w:rPr>
        <w:t>ИЗЯВЛЕНИЕ НА АВСТРИЯ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>„</w:t>
      </w:r>
      <w:r w:rsidRPr="00654064">
        <w:rPr>
          <w:u w:val="single"/>
        </w:rPr>
        <w:t>Австрия</w:t>
      </w:r>
      <w:r w:rsidRPr="00654064">
        <w:t xml:space="preserve"> подкрепя настоящата резолюция, но самата тя изпитва непропорционално силен натиск върху системата си за предоставяне на убежище. Поради това изключително трудно положение и несъразмерния ангажимент в областта на презаселването Австрия може да приеме лица, които явно се нуждаят от международна закрила, в контекста на преместване от Гърция и Италия само ако или когато тази сложна ситуация приключи.“</w:t>
      </w:r>
    </w:p>
    <w:p w:rsidR="007A1715" w:rsidRPr="00654064" w:rsidRDefault="00656BEE" w:rsidP="007A1715">
      <w:pPr>
        <w:spacing w:before="360"/>
        <w:rPr>
          <w:b/>
        </w:rPr>
      </w:pPr>
      <w:r w:rsidRPr="00654064">
        <w:rPr>
          <w:b/>
        </w:rPr>
        <w:t>ИЗЯВЛЕНИЕ НА ЧЕШКАТА РЕПУБЛИКА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>„</w:t>
      </w:r>
      <w:r w:rsidRPr="00654064">
        <w:rPr>
          <w:u w:val="single"/>
        </w:rPr>
        <w:t>Чешката република</w:t>
      </w:r>
      <w:r w:rsidRPr="00654064">
        <w:t xml:space="preserve"> заявява, че предложената схема за преместване е временна, извънредна и участието на Чешката република в нея е доброволно. Предложената схема не следва да въвежда нов системен аспект на общата европейска система за убежище. Ако в бъдеще изобщо се обсъжда евентуална постоянна схема за преместване, тези обсъждания следва да се проведат само след задълбочена оценка на функционирането на предложената временна схема, в т.ч. аспектите на вторичното придвижване, въздействието върху преместените лица и държавите членки на преместване, както и на цялостната добавена стойност на общото функциониране на управлението на миграцията в ЕС. Спазването на принципа на пропорционалност трябва да бъде задълбочено проучено.</w:t>
      </w:r>
    </w:p>
    <w:p w:rsidR="00FC2BB8" w:rsidRPr="00654064" w:rsidRDefault="007A1715" w:rsidP="00A161F7">
      <w:pPr>
        <w:pageBreakBefore/>
        <w:spacing w:before="240"/>
        <w:rPr>
          <w:bCs/>
        </w:rPr>
      </w:pPr>
      <w:r w:rsidRPr="00654064">
        <w:lastRenderedPageBreak/>
        <w:t>Чешката република счита, че изпълнението на решението на Съвета за създаване на временни мерки в областта на международната закрила в полза на Италия и Гърция следва да се ръководи от неделимостта на въпроса за солидарността и  отговорността на държавите членки в областта на управлението на миграцията.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>Във връзка с това Чешката република заявява още, че трансферите с цел преместване от Гърция и Италия зависят от осезаемите резултати, постигнати от тези отделни държави членки по отношение на регистрацията, идентификацията и снемането на пръстови отпечатъци на мигрантите, както и от напредъка по отношение на връщането на незаконните мигранти, които не отговарят на изискванията за международна закрила, включително с помощта по линия на прилагането на концепцията за „горещите точки“.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>Накрая Чешката република заявява, че счита въпроса за вътрешната сигурност за решаваща част от управлението на миграцията в ЕС. Като се вземе предвид това, всички възможности, предвидени в решението на Съвета, следва да се използват в пълна степен при процедурата по преместване, включително проверки на място от служителите за връзка на държавите членки на преместване.“</w:t>
      </w:r>
    </w:p>
    <w:p w:rsidR="007A1715" w:rsidRPr="00654064" w:rsidRDefault="00656BEE" w:rsidP="00695A6F">
      <w:pPr>
        <w:spacing w:before="480"/>
        <w:rPr>
          <w:b/>
        </w:rPr>
      </w:pPr>
      <w:r w:rsidRPr="00654064">
        <w:rPr>
          <w:b/>
        </w:rPr>
        <w:t>ИЗЯВЛЕНИЕ НА ГЕРМАНИЯ И ФРАНЦИЯ</w:t>
      </w:r>
    </w:p>
    <w:p w:rsidR="00FC2BB8" w:rsidRPr="00654064" w:rsidRDefault="007A1715" w:rsidP="007A1715">
      <w:pPr>
        <w:spacing w:before="160"/>
        <w:rPr>
          <w:bCs/>
        </w:rPr>
      </w:pPr>
      <w:r w:rsidRPr="00654064">
        <w:t>„</w:t>
      </w:r>
      <w:r w:rsidRPr="00654064">
        <w:rPr>
          <w:u w:val="single"/>
        </w:rPr>
        <w:t>Франция и Германия</w:t>
      </w:r>
      <w:r w:rsidRPr="00654064">
        <w:t xml:space="preserve"> са готови да поемат изцяло своята роля в областта на приемането на бежанци, които бягат от преследване, по-специално от Сирия, Ирак или Еритрея.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>Въз основа на първоначалното предложение на Европейската комисия Франция ще приеме за период от 2 години 6752 души, явно нуждаещи се от закрила, посредством механизма за преместване на лица, и 2375 души от програмата за презаселване. Германия ще приеме до 10 500 души по програмата за преместване за период от 2 години и 1 600 души по програмата за презаселване.</w:t>
      </w:r>
    </w:p>
    <w:p w:rsidR="00FC2BB8" w:rsidRPr="00654064" w:rsidRDefault="007A1715" w:rsidP="007A1715">
      <w:pPr>
        <w:spacing w:before="160"/>
        <w:rPr>
          <w:bCs/>
        </w:rPr>
      </w:pPr>
      <w:r w:rsidRPr="00654064">
        <w:t>Франция и Германия подкрепят програмата за преместване, и по-специално припомнят, че солидарността и отговорността са тясно свързани помежду си. В това отношение специално се подчертава значението на следните договорени условия:</w:t>
      </w:r>
    </w:p>
    <w:p w:rsidR="007A1715" w:rsidRPr="00654064" w:rsidRDefault="007A1715" w:rsidP="007A1715">
      <w:pPr>
        <w:pStyle w:val="Dash"/>
        <w:rPr>
          <w:bCs/>
        </w:rPr>
      </w:pPr>
      <w:r w:rsidRPr="00654064">
        <w:t>Всички държави — членки на ЕС, които са засегнати от тези програми, участват в тях с цел да се постигне балансирано разпределение на усилията;</w:t>
      </w:r>
    </w:p>
    <w:p w:rsidR="007A1715" w:rsidRPr="00654064" w:rsidRDefault="007A1715" w:rsidP="00FC2BB8">
      <w:pPr>
        <w:pStyle w:val="Dash"/>
        <w:spacing w:before="120"/>
        <w:rPr>
          <w:bCs/>
        </w:rPr>
      </w:pPr>
      <w:r w:rsidRPr="00654064">
        <w:t>Същевременно, когато решението относно преместването влезе в сила, следва да бъдат създадени т.нар. „горещи точки“, включващи националните структури за приемане (зони на изчакване), разположени в близост до точките на пристигане в държавите членки на първо влизане. В рамките на „горещите точки“ трябва да бъде установена координация за преместването между Регионалната работна група на ЕС (EURTF), оперативните експертни екипи и намиращите се на първа линия държави членки, като по този начин се създаде възможност за идентифициране и регистриране на мигрантите в базата данни Евродак, както и да се осъществи нужното разграничение между кандидатите за убежище, които бягат от преследване и които ще бъдат преместени в държавите членки, и незаконните мигранти, които не търсят убежище или чиято молба е била отхвърлена, които трябва да бъдат върнати в тяхната страна на произход;</w:t>
      </w:r>
    </w:p>
    <w:p w:rsidR="00A161F7" w:rsidRPr="00654064" w:rsidRDefault="00A161F7" w:rsidP="00FC2BB8">
      <w:pPr>
        <w:pStyle w:val="Dash"/>
        <w:spacing w:before="120"/>
        <w:rPr>
          <w:bCs/>
        </w:rPr>
      </w:pPr>
      <w:r w:rsidRPr="00654064">
        <w:t>Европейската комисия и всички държави членки вземат всички мерки, за да се избегне вторично придвижване на преместените лица, а държавата членка на преместване незабавно приема обратно преместеното лице при поискване от друга държава членка.</w:t>
      </w:r>
    </w:p>
    <w:p w:rsidR="007A1715" w:rsidRPr="00654064" w:rsidRDefault="007A1715" w:rsidP="00656BEE">
      <w:pPr>
        <w:pStyle w:val="Dash"/>
        <w:pageBreakBefore/>
        <w:rPr>
          <w:bCs/>
        </w:rPr>
      </w:pPr>
      <w:r w:rsidRPr="00654064">
        <w:t>ЕС следва също така да продължи решителните действия срещу незаконната имиграция, включително като се разбиват мрежите на трафикантите на хора и се гарантира завръщането на незаконните имигранти в техните страни на произход;</w:t>
      </w:r>
    </w:p>
    <w:p w:rsidR="007A1715" w:rsidRPr="00654064" w:rsidRDefault="007A1715" w:rsidP="00656BEE">
      <w:pPr>
        <w:pStyle w:val="Dash"/>
        <w:rPr>
          <w:bCs/>
        </w:rPr>
      </w:pPr>
      <w:r w:rsidRPr="00654064">
        <w:t>Посрещането на бежанците за програмите за презаселване и преместване следва да бъде осъществено в рамките на период от 2 години, така че да се гарантира устойчивостта на тези операции.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rPr>
          <w:u w:val="single"/>
        </w:rPr>
        <w:t>Франция и Германия</w:t>
      </w:r>
      <w:r w:rsidRPr="00654064">
        <w:t xml:space="preserve"> ще обърнат особено внимание на спазването на тези условия, които са от основно значение за търсения баланс между отговорност и солидарност, необходим за преодоляване на настоящата миграционна криза.“</w:t>
      </w:r>
    </w:p>
    <w:p w:rsidR="007A1715" w:rsidRPr="00654064" w:rsidRDefault="00656BEE" w:rsidP="00BC13D9">
      <w:pPr>
        <w:spacing w:before="360"/>
        <w:rPr>
          <w:b/>
        </w:rPr>
      </w:pPr>
      <w:r w:rsidRPr="00654064">
        <w:rPr>
          <w:b/>
        </w:rPr>
        <w:t>ИЗЯВЛЕНИЕ НА ГЪРЦИЯ</w:t>
      </w:r>
    </w:p>
    <w:p w:rsidR="00FC2BB8" w:rsidRPr="00654064" w:rsidRDefault="007A1715" w:rsidP="007A1715">
      <w:pPr>
        <w:spacing w:before="160"/>
        <w:rPr>
          <w:bCs/>
        </w:rPr>
      </w:pPr>
      <w:r w:rsidRPr="00654064">
        <w:t xml:space="preserve">„Като припомня заключенията на Европейския съвет от 25—26 юни 2015 г., с оглед на засилването на вътрешната солидарност и отговорност във връзка с увеличаването на спешната помощ за държавите членки на първа линия по външните граници на Съюза, както и на активизирането на усилията си в тази област по отношение на държавите членки, приемащи най-голям брой бежанци и търсещи международна закрила лица, </w:t>
      </w:r>
      <w:r w:rsidRPr="00654064">
        <w:rPr>
          <w:u w:val="single"/>
        </w:rPr>
        <w:t>Гърция</w:t>
      </w:r>
      <w:r w:rsidRPr="00654064">
        <w:t xml:space="preserve"> желае да уточни, че е обвързана от текста на </w:t>
      </w:r>
      <w:r w:rsidRPr="00654064">
        <w:rPr>
          <w:i/>
        </w:rPr>
        <w:t>РЕШЕНИЕТО НА СЪВЕТА от 20 юли 2015 г. за установяване на временни мерки в областта на международната закрила в полза на Италия и Гърция</w:t>
      </w:r>
      <w:r w:rsidRPr="00654064">
        <w:t xml:space="preserve"> и </w:t>
      </w:r>
      <w:r w:rsidRPr="00654064">
        <w:rPr>
          <w:i/>
        </w:rPr>
        <w:t xml:space="preserve">Резолюцията от юли 20 юли 2015 г. на представителите на правителствата на държавите членки, заседаващи в рамките на Съвета, относно преместването от Гърция и Италия на 40 000 лица, които имат явна нужда от международна закрила, заедно с приложението към нея, </w:t>
      </w:r>
      <w:r w:rsidRPr="00654064">
        <w:t>във вида, в който са, без никакви резерви.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 xml:space="preserve">Гърция също така заявява, че изпълнението на </w:t>
      </w:r>
      <w:r w:rsidRPr="00654064">
        <w:rPr>
          <w:i/>
        </w:rPr>
        <w:t>заключенията от 20 юли 2015 г. на представителите на правителствата на държавите членки, заседаващи в рамките на Съвета, относно презаселването посредством многостранни и национални схеми на 20 000 лица, явно нуждаещи се от международна закрила,</w:t>
      </w:r>
      <w:r w:rsidRPr="00654064">
        <w:t xml:space="preserve"> зависи от пълното и безусловно прилагане на </w:t>
      </w:r>
      <w:r w:rsidRPr="00654064">
        <w:rPr>
          <w:i/>
        </w:rPr>
        <w:t xml:space="preserve">РЕШЕНИЕТО НА СЪВЕТА от 20 юли 2015 г. за установяване на временни мерки в областта на международната закрила в полза на Италия и Гърция </w:t>
      </w:r>
      <w:r w:rsidRPr="00654064">
        <w:t xml:space="preserve">и </w:t>
      </w:r>
      <w:r w:rsidRPr="00654064">
        <w:rPr>
          <w:i/>
        </w:rPr>
        <w:t>Резолюцията от 20 юли 2015 г. на представителите на правителствата на държавите членки, заседаващи в рамките на Съвета, относно преместването от Гърция и Италия на 40 000 лица, които имат явна нужда от международна закрила.</w:t>
      </w:r>
      <w:r w:rsidRPr="00654064">
        <w:t>“</w:t>
      </w:r>
    </w:p>
    <w:p w:rsidR="007A1715" w:rsidRPr="00654064" w:rsidRDefault="00656BEE" w:rsidP="00BC13D9">
      <w:pPr>
        <w:spacing w:before="360"/>
        <w:rPr>
          <w:b/>
        </w:rPr>
      </w:pPr>
      <w:r w:rsidRPr="00654064">
        <w:rPr>
          <w:b/>
        </w:rPr>
        <w:t>ИЗЯВЛЕНИЕ НА НИДЕРЛАНДИЯ</w:t>
      </w:r>
    </w:p>
    <w:p w:rsidR="007A1715" w:rsidRPr="00654064" w:rsidRDefault="007A1715" w:rsidP="007A1715">
      <w:pPr>
        <w:spacing w:before="160"/>
        <w:rPr>
          <w:bCs/>
        </w:rPr>
      </w:pPr>
      <w:r w:rsidRPr="00654064">
        <w:t xml:space="preserve">„Настоящият миграционен натиск върху Италия и Гърция изисква конкретна проява на солидарност от всички държави членки. Във връзка с това </w:t>
      </w:r>
      <w:r w:rsidRPr="00654064">
        <w:rPr>
          <w:u w:val="single"/>
        </w:rPr>
        <w:t>Нидерландия</w:t>
      </w:r>
      <w:r w:rsidRPr="00654064">
        <w:t xml:space="preserve"> е готова да допринесе съществено за преместването от Италия и Гърция на лица, търсещи убежище, в съответствие с първоначалното предложение на Европейската комисия, като същевременно подчертава, че солидарността трябва да върви ръка за ръка с отговорността. Във връзка с това Нидерландия отдава особено значение на приноса на другите държави членки за механизма за преместване, както и на изпълнението на задълженията по линия на общата европейска система за убежище от страна на Италия и Гърция. Недостатъчните резултати по отношение на тези аспекти може да доведе до преразглеждане на заявения от Нидерландия ангажимент.“</w:t>
      </w:r>
    </w:p>
    <w:p w:rsidR="007A1715" w:rsidRPr="00692DC6" w:rsidRDefault="007A1715" w:rsidP="007A1715">
      <w:pPr>
        <w:pStyle w:val="FinalLine"/>
      </w:pPr>
    </w:p>
    <w:sectPr w:rsidR="007A1715" w:rsidRPr="00692DC6" w:rsidSect="00DF1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60" w:rsidRDefault="00C37760" w:rsidP="00C37760">
      <w:r>
        <w:separator/>
      </w:r>
    </w:p>
  </w:endnote>
  <w:endnote w:type="continuationSeparator" w:id="0">
    <w:p w:rsidR="00C37760" w:rsidRDefault="00C37760" w:rsidP="00C3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3" w:rsidRPr="00DF1B75" w:rsidRDefault="00980F03" w:rsidP="00DF1B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1B75" w:rsidRPr="00D94637" w:rsidTr="00DF1B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1B75" w:rsidRPr="00D94637" w:rsidRDefault="00DF1B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F1B75" w:rsidRPr="00B310DC" w:rsidTr="00DF1B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1B75" w:rsidRPr="00AD7BF2" w:rsidRDefault="00DF1B75" w:rsidP="004F54B2">
          <w:pPr>
            <w:pStyle w:val="FooterText"/>
          </w:pPr>
          <w:r>
            <w:t>11088/15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1B75" w:rsidRPr="00AD7BF2" w:rsidRDefault="00DF1B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1B75" w:rsidRPr="002511D8" w:rsidRDefault="00DF1B75" w:rsidP="00D94637">
          <w:pPr>
            <w:pStyle w:val="FooterText"/>
            <w:jc w:val="center"/>
          </w:pPr>
          <w:r>
            <w:t>mk/SGN/nb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1B75" w:rsidRPr="00B310DC" w:rsidRDefault="00DF1B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DF1B75" w:rsidRPr="00D94637" w:rsidTr="00DF1B75">
      <w:trPr>
        <w:jc w:val="center"/>
      </w:trPr>
      <w:tc>
        <w:tcPr>
          <w:tcW w:w="1774" w:type="pct"/>
          <w:shd w:val="clear" w:color="auto" w:fill="auto"/>
        </w:tcPr>
        <w:p w:rsidR="00DF1B75" w:rsidRPr="00AD7BF2" w:rsidRDefault="00DF1B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1B75" w:rsidRPr="00AD7BF2" w:rsidRDefault="00DF1B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1B75" w:rsidRPr="00D94637" w:rsidRDefault="00DF1B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1B75" w:rsidRPr="00D94637" w:rsidRDefault="00DF1B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C37760" w:rsidRPr="00DF1B75" w:rsidRDefault="00C37760" w:rsidP="00DF1B7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F1B75" w:rsidRPr="00D94637" w:rsidTr="00DF1B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F1B75" w:rsidRPr="00D94637" w:rsidRDefault="00DF1B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F1B75" w:rsidRPr="00B310DC" w:rsidTr="00DF1B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F1B75" w:rsidRPr="00AD7BF2" w:rsidRDefault="00DF1B75" w:rsidP="004F54B2">
          <w:pPr>
            <w:pStyle w:val="FooterText"/>
          </w:pPr>
          <w:r>
            <w:t>11088/15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F1B75" w:rsidRPr="00AD7BF2" w:rsidRDefault="00DF1B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F1B75" w:rsidRPr="002511D8" w:rsidRDefault="00DF1B75" w:rsidP="00D94637">
          <w:pPr>
            <w:pStyle w:val="FooterText"/>
            <w:jc w:val="center"/>
          </w:pPr>
          <w:r>
            <w:t>mk/SGN/nb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F1B75" w:rsidRPr="00B310DC" w:rsidRDefault="00DF1B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F1B75" w:rsidRPr="00D94637" w:rsidTr="00DF1B75">
      <w:trPr>
        <w:jc w:val="center"/>
      </w:trPr>
      <w:tc>
        <w:tcPr>
          <w:tcW w:w="1774" w:type="pct"/>
          <w:shd w:val="clear" w:color="auto" w:fill="auto"/>
        </w:tcPr>
        <w:p w:rsidR="00DF1B75" w:rsidRPr="00AD7BF2" w:rsidRDefault="00DF1B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F1B75" w:rsidRPr="00AD7BF2" w:rsidRDefault="00DF1B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F1B75" w:rsidRPr="00D94637" w:rsidRDefault="00DF1B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F1B75" w:rsidRPr="00D94637" w:rsidRDefault="00DF1B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37760" w:rsidRPr="00DF1B75" w:rsidRDefault="00C37760" w:rsidP="00DF1B7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60" w:rsidRDefault="00C37760" w:rsidP="00C37760">
      <w:r>
        <w:separator/>
      </w:r>
    </w:p>
  </w:footnote>
  <w:footnote w:type="continuationSeparator" w:id="0">
    <w:p w:rsidR="00C37760" w:rsidRDefault="00C37760" w:rsidP="00C3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3" w:rsidRPr="00DF1B75" w:rsidRDefault="00980F03" w:rsidP="00DF1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3" w:rsidRPr="00DF1B75" w:rsidRDefault="00980F03" w:rsidP="00DF1B7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3" w:rsidRPr="00DF1B75" w:rsidRDefault="00980F03" w:rsidP="00DF1B7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4c4f03c-85d6-4af6-9cef-86b44924e3ff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2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108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42&lt;/text&gt;_x000d__x000a_      &lt;text&gt;JAI 58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5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5;&amp;#1056;&amp;#1040;&amp;#1042;&amp;#1054;&amp;#1057;&amp;#1066;&amp;#1044;&amp;#1048;&amp;#1045; &amp;#1048; &amp;#1042;&amp;#1066;&amp;#1058;&amp;#1056;&amp;#1045;&amp;#1064;&amp;#1053;&amp;#1048; &amp;#1056;&amp;#1040;&amp;#1041;&amp;#1054;&amp;#1058;&amp;#1048;), &amp;#1087;&amp;#1088;&amp;#1086;&amp;#1074;&amp;#1077;&amp;#1076;&amp;#1077;&amp;#1085;&amp;#1086; &amp;#1074; &amp;#1041;&amp;#1088;&amp;#1102;&amp;#1082;&amp;#1089;&amp;#1077;&amp;#1083; &amp;#1085;&amp;#1072; 20 &amp;#1102;&amp;#1083;&amp;#1080; 2015 &amp;#1075;.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Weight=&quot;Bold&quot; xml:space=&quot;preserve&quot;&amp;gt;3405-&amp;#1086; &amp;lt;/Run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Run FontWeight=&quot;Bold&quot;&amp;gt;(&amp;#1055;&amp;#1056;&amp;#1040;&amp;#1042;&amp;#1054;&amp;#1057;&amp;#1066;&amp;#1044;&amp;#1048;&amp;#1045; &amp;#1048; &amp;#1042;&amp;#1066;&amp;#1058;&amp;#1056;&amp;#1045;&amp;#1064;&amp;#1053;&amp;#1048; &amp;#1056;&amp;#1040;&amp;#1041;&amp;#1054;&amp;#1058;&amp;#1048;)&amp;lt;/Run&amp;gt;, &amp;#1087;&amp;#1088;&amp;#1086;&amp;#1074;&amp;#1077;&amp;#1076;&amp;#1077;&amp;#1085;&amp;#1086; &amp;#1074; &amp;#1041;&amp;#1088;&amp;#1102;&amp;#1082;&amp;#1089;&amp;#1077;&amp;#1083; &amp;#1085;&amp;#1072; 20 &amp;#1102;&amp;#1083;&amp;#1080; 2015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k/SGN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C37760"/>
    <w:rsid w:val="00010C1D"/>
    <w:rsid w:val="0009656C"/>
    <w:rsid w:val="000A3F31"/>
    <w:rsid w:val="000C0CFE"/>
    <w:rsid w:val="00165755"/>
    <w:rsid w:val="00182F2F"/>
    <w:rsid w:val="001901FE"/>
    <w:rsid w:val="001C1958"/>
    <w:rsid w:val="001D111C"/>
    <w:rsid w:val="001D2327"/>
    <w:rsid w:val="00213F1F"/>
    <w:rsid w:val="00230D9D"/>
    <w:rsid w:val="002907C5"/>
    <w:rsid w:val="002924BA"/>
    <w:rsid w:val="002A2AE8"/>
    <w:rsid w:val="002B7631"/>
    <w:rsid w:val="00363075"/>
    <w:rsid w:val="00395297"/>
    <w:rsid w:val="003B6B53"/>
    <w:rsid w:val="003C6E8B"/>
    <w:rsid w:val="003D712B"/>
    <w:rsid w:val="0047419F"/>
    <w:rsid w:val="00486CEA"/>
    <w:rsid w:val="005157F5"/>
    <w:rsid w:val="005F3C9A"/>
    <w:rsid w:val="0063379B"/>
    <w:rsid w:val="00654064"/>
    <w:rsid w:val="00656BEE"/>
    <w:rsid w:val="00692DC6"/>
    <w:rsid w:val="00695A6F"/>
    <w:rsid w:val="006A38C5"/>
    <w:rsid w:val="006C1AD4"/>
    <w:rsid w:val="006E33E2"/>
    <w:rsid w:val="006F4741"/>
    <w:rsid w:val="0075756A"/>
    <w:rsid w:val="00795683"/>
    <w:rsid w:val="007A1715"/>
    <w:rsid w:val="007C2F04"/>
    <w:rsid w:val="00825503"/>
    <w:rsid w:val="008826F8"/>
    <w:rsid w:val="009017FD"/>
    <w:rsid w:val="00980F03"/>
    <w:rsid w:val="009A376E"/>
    <w:rsid w:val="009C5302"/>
    <w:rsid w:val="00A161F7"/>
    <w:rsid w:val="00A469D7"/>
    <w:rsid w:val="00A5714F"/>
    <w:rsid w:val="00A64F77"/>
    <w:rsid w:val="00B12471"/>
    <w:rsid w:val="00BC13D9"/>
    <w:rsid w:val="00BE1373"/>
    <w:rsid w:val="00C03327"/>
    <w:rsid w:val="00C37760"/>
    <w:rsid w:val="00D214DC"/>
    <w:rsid w:val="00D36EFA"/>
    <w:rsid w:val="00D451E4"/>
    <w:rsid w:val="00D45CBE"/>
    <w:rsid w:val="00D51556"/>
    <w:rsid w:val="00D93093"/>
    <w:rsid w:val="00DF1B75"/>
    <w:rsid w:val="00E00E0D"/>
    <w:rsid w:val="00E55BD6"/>
    <w:rsid w:val="00E62E93"/>
    <w:rsid w:val="00E76EF6"/>
    <w:rsid w:val="00E96907"/>
    <w:rsid w:val="00FC2BB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6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6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6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3776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37760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C37760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C37760"/>
  </w:style>
  <w:style w:type="character" w:customStyle="1" w:styleId="FootnoteTextChar">
    <w:name w:val="Footnote Text Char"/>
    <w:rsid w:val="007A1715"/>
    <w:rPr>
      <w:sz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95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6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6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97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C13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6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6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6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C37760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C37760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C37760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C37760"/>
  </w:style>
  <w:style w:type="character" w:customStyle="1" w:styleId="FootnoteTextChar">
    <w:name w:val="Footnote Text Char"/>
    <w:rsid w:val="007A1715"/>
    <w:rPr>
      <w:sz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95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6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6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97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BC13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BORANOVA Nevina</cp:lastModifiedBy>
  <cp:revision>4</cp:revision>
  <cp:lastPrinted>2015-09-25T09:09:00Z</cp:lastPrinted>
  <dcterms:created xsi:type="dcterms:W3CDTF">2015-10-07T15:09:00Z</dcterms:created>
  <dcterms:modified xsi:type="dcterms:W3CDTF">2015-10-07T15:11:00Z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/>
  </property>
</Properties>
</file>