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4D" w:rsidRPr="004D2391" w:rsidRDefault="00BE5070" w:rsidP="004D239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67a028b-009d-487b-a5d0-4fe7d89185c7_0" style="width:573.7pt;height:425.1pt">
            <v:imagedata r:id="rId9" o:title=""/>
          </v:shape>
        </w:pict>
      </w:r>
      <w:bookmarkEnd w:id="0"/>
    </w:p>
    <w:p w:rsidR="00D06C98" w:rsidRPr="008A6503" w:rsidRDefault="00D06C98" w:rsidP="00D06C98">
      <w:pPr>
        <w:pStyle w:val="TechnicalBlock"/>
        <w:ind w:left="-1134" w:right="-1134"/>
        <w:sectPr w:rsidR="00D06C98" w:rsidRPr="008A6503" w:rsidSect="004D239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335D39" w:rsidRDefault="008C5AF3" w:rsidP="008C5AF3">
      <w:pPr>
        <w:pStyle w:val="TOCHeading"/>
      </w:pPr>
      <w:r>
        <w:lastRenderedPageBreak/>
        <w:t>SOMMAIRE</w:t>
      </w:r>
      <w:r w:rsidRPr="008C5AF3">
        <w:rPr>
          <w:vertAlign w:val="superscript"/>
        </w:rPr>
        <w:t>1</w:t>
      </w:r>
    </w:p>
    <w:p w:rsidR="008C5AF3" w:rsidRDefault="008C5AF3" w:rsidP="008C5AF3">
      <w:pPr>
        <w:pStyle w:val="TOC5"/>
      </w:pPr>
      <w:r>
        <w:t>POINTS AYANT FAIT L'OBJET D'UN DÉBAT</w:t>
      </w:r>
    </w:p>
    <w:p w:rsidR="008C5AF3" w:rsidRDefault="008C5AF3" w:rsidP="008C5AF3">
      <w:pPr>
        <w:pStyle w:val="TOC6"/>
        <w:keepNext/>
        <w:rPr>
          <w:rFonts w:asciiTheme="minorHAnsi" w:eastAsiaTheme="minorEastAsia" w:hAnsiTheme="minorHAnsi" w:cstheme="minorBidi"/>
          <w:noProof/>
          <w:sz w:val="22"/>
          <w:szCs w:val="22"/>
          <w:lang w:val="fr-BE" w:eastAsia="fr-BE" w:bidi="ar-SA"/>
        </w:rPr>
      </w:pPr>
      <w:r>
        <w:rPr>
          <w:noProof/>
        </w:rPr>
        <w:t>AGRICULTURE</w:t>
      </w:r>
      <w:r>
        <w:rPr>
          <w:noProof/>
        </w:rPr>
        <w:tab/>
      </w:r>
      <w:r>
        <w:rPr>
          <w:noProof/>
        </w:rPr>
        <w:fldChar w:fldCharType="begin"/>
      </w:r>
      <w:r>
        <w:rPr>
          <w:noProof/>
        </w:rPr>
        <w:instrText xml:space="preserve"> PAGEREF \h _Toc429728573 \* MERGEFORMAT </w:instrText>
      </w:r>
      <w:r>
        <w:rPr>
          <w:noProof/>
        </w:rPr>
      </w:r>
      <w:r>
        <w:rPr>
          <w:noProof/>
        </w:rPr>
        <w:fldChar w:fldCharType="separate"/>
      </w:r>
      <w:r w:rsidR="004D2391">
        <w:rPr>
          <w:noProof/>
        </w:rPr>
        <w:t>3</w:t>
      </w:r>
      <w:r>
        <w:rPr>
          <w:noProof/>
        </w:rPr>
        <w:fldChar w:fldCharType="end"/>
      </w:r>
    </w:p>
    <w:p w:rsidR="008C5AF3" w:rsidRDefault="008C5AF3" w:rsidP="008C5AF3">
      <w:pPr>
        <w:pStyle w:val="TOC7"/>
        <w:rPr>
          <w:rFonts w:asciiTheme="minorHAnsi" w:eastAsiaTheme="minorEastAsia" w:hAnsiTheme="minorHAnsi" w:cstheme="minorBidi"/>
          <w:noProof/>
          <w:sz w:val="22"/>
          <w:szCs w:val="22"/>
          <w:lang w:val="fr-BE" w:eastAsia="fr-BE" w:bidi="ar-SA"/>
        </w:rPr>
      </w:pPr>
      <w:r>
        <w:rPr>
          <w:noProof/>
        </w:rPr>
        <w:t>Évolution des marchés</w:t>
      </w:r>
      <w:r>
        <w:rPr>
          <w:noProof/>
        </w:rPr>
        <w:tab/>
      </w:r>
      <w:r>
        <w:rPr>
          <w:noProof/>
        </w:rPr>
        <w:fldChar w:fldCharType="begin"/>
      </w:r>
      <w:r>
        <w:rPr>
          <w:noProof/>
        </w:rPr>
        <w:instrText xml:space="preserve"> PAGEREF \h _Toc429728574 \* MERGEFORMAT </w:instrText>
      </w:r>
      <w:r>
        <w:rPr>
          <w:noProof/>
        </w:rPr>
      </w:r>
      <w:r>
        <w:rPr>
          <w:noProof/>
        </w:rPr>
        <w:fldChar w:fldCharType="separate"/>
      </w:r>
      <w:r w:rsidR="004D2391">
        <w:rPr>
          <w:noProof/>
        </w:rPr>
        <w:t>3</w:t>
      </w:r>
      <w:r>
        <w:rPr>
          <w:noProof/>
        </w:rPr>
        <w:fldChar w:fldCharType="end"/>
      </w:r>
    </w:p>
    <w:p w:rsidR="008C5AF3" w:rsidRDefault="008C5AF3" w:rsidP="008C5AF3">
      <w:pPr>
        <w:pStyle w:val="TOC6"/>
        <w:rPr>
          <w:rFonts w:asciiTheme="minorHAnsi" w:eastAsiaTheme="minorEastAsia" w:hAnsiTheme="minorHAnsi" w:cstheme="minorBidi"/>
          <w:noProof/>
          <w:sz w:val="22"/>
          <w:szCs w:val="22"/>
          <w:lang w:val="fr-BE" w:eastAsia="fr-BE" w:bidi="ar-SA"/>
        </w:rPr>
      </w:pPr>
      <w:r>
        <w:rPr>
          <w:noProof/>
        </w:rPr>
        <w:t>Divers</w:t>
      </w:r>
      <w:r>
        <w:rPr>
          <w:noProof/>
        </w:rPr>
        <w:tab/>
      </w:r>
      <w:r>
        <w:rPr>
          <w:noProof/>
        </w:rPr>
        <w:fldChar w:fldCharType="begin"/>
      </w:r>
      <w:r>
        <w:rPr>
          <w:noProof/>
        </w:rPr>
        <w:instrText xml:space="preserve"> PAGEREF \h _Toc429728575 \* MERGEFORMAT </w:instrText>
      </w:r>
      <w:r>
        <w:rPr>
          <w:noProof/>
        </w:rPr>
      </w:r>
      <w:r>
        <w:rPr>
          <w:noProof/>
        </w:rPr>
        <w:fldChar w:fldCharType="separate"/>
      </w:r>
      <w:r w:rsidR="004D2391">
        <w:rPr>
          <w:noProof/>
        </w:rPr>
        <w:t>5</w:t>
      </w:r>
      <w:r>
        <w:rPr>
          <w:noProof/>
        </w:rPr>
        <w:fldChar w:fldCharType="end"/>
      </w:r>
    </w:p>
    <w:p w:rsidR="008C5AF3" w:rsidRDefault="008C5AF3" w:rsidP="008C5AF3">
      <w:pPr>
        <w:pStyle w:val="TOC9"/>
        <w:rPr>
          <w:rFonts w:asciiTheme="minorHAnsi" w:eastAsiaTheme="minorEastAsia" w:hAnsiTheme="minorHAnsi" w:cstheme="minorBidi"/>
          <w:noProof/>
          <w:sz w:val="22"/>
          <w:szCs w:val="22"/>
          <w:lang w:val="fr-BE" w:eastAsia="fr-BE" w:bidi="ar-SA"/>
        </w:rPr>
      </w:pPr>
      <w:r>
        <w:rPr>
          <w:noProof/>
        </w:rPr>
        <w:t>Peste porcine africaine</w:t>
      </w:r>
      <w:r>
        <w:rPr>
          <w:noProof/>
        </w:rPr>
        <w:tab/>
      </w:r>
      <w:r>
        <w:rPr>
          <w:noProof/>
        </w:rPr>
        <w:fldChar w:fldCharType="begin"/>
      </w:r>
      <w:r>
        <w:rPr>
          <w:noProof/>
        </w:rPr>
        <w:instrText xml:space="preserve"> PAGEREF \h _Toc429728576 \* MERGEFORMAT </w:instrText>
      </w:r>
      <w:r>
        <w:rPr>
          <w:noProof/>
        </w:rPr>
      </w:r>
      <w:r>
        <w:rPr>
          <w:noProof/>
        </w:rPr>
        <w:fldChar w:fldCharType="separate"/>
      </w:r>
      <w:r w:rsidR="004D2391">
        <w:rPr>
          <w:noProof/>
        </w:rPr>
        <w:t>5</w:t>
      </w:r>
      <w:r>
        <w:rPr>
          <w:noProof/>
        </w:rPr>
        <w:fldChar w:fldCharType="end"/>
      </w:r>
    </w:p>
    <w:p w:rsidR="008C5AF3" w:rsidRPr="008C5AF3" w:rsidRDefault="008C5AF3" w:rsidP="008C5AF3">
      <w:pPr>
        <w:pStyle w:val="TOC9"/>
      </w:pPr>
      <w:r>
        <w:rPr>
          <w:noProof/>
        </w:rPr>
        <w:t>Sécheresse en Europe de l'Est</w:t>
      </w:r>
      <w:r>
        <w:rPr>
          <w:noProof/>
        </w:rPr>
        <w:tab/>
      </w:r>
      <w:r>
        <w:rPr>
          <w:noProof/>
        </w:rPr>
        <w:fldChar w:fldCharType="begin"/>
      </w:r>
      <w:r>
        <w:rPr>
          <w:noProof/>
        </w:rPr>
        <w:instrText xml:space="preserve"> PAGEREF \h _Toc429728577 \* MERGEFORMAT </w:instrText>
      </w:r>
      <w:r>
        <w:rPr>
          <w:noProof/>
        </w:rPr>
      </w:r>
      <w:r>
        <w:rPr>
          <w:noProof/>
        </w:rPr>
        <w:fldChar w:fldCharType="separate"/>
      </w:r>
      <w:r w:rsidR="004D2391">
        <w:rPr>
          <w:noProof/>
        </w:rPr>
        <w:t>5</w:t>
      </w:r>
      <w:r>
        <w:rPr>
          <w:noProof/>
        </w:rPr>
        <w:fldChar w:fldCharType="end"/>
      </w:r>
    </w:p>
    <w:p w:rsidR="008C5AF3" w:rsidRDefault="008C5AF3" w:rsidP="008C5AF3">
      <w:pPr>
        <w:pStyle w:val="TOC5"/>
      </w:pPr>
      <w:r>
        <w:t>AUTRES POINTS APPROUVÉS</w:t>
      </w:r>
    </w:p>
    <w:p w:rsidR="008C5AF3" w:rsidRDefault="00BE5070" w:rsidP="008C5AF3">
      <w:pPr>
        <w:pStyle w:val="TOC8"/>
      </w:pPr>
      <w:r>
        <w:t>néant</w:t>
      </w:r>
      <w:bookmarkStart w:id="3" w:name="_GoBack"/>
      <w:bookmarkEnd w:id="3"/>
    </w:p>
    <w:p w:rsidR="008C5AF3" w:rsidRPr="008A6503" w:rsidRDefault="008C5AF3" w:rsidP="00D06C98">
      <w:pPr>
        <w:sectPr w:rsidR="008C5AF3" w:rsidRPr="008A6503" w:rsidSect="004D2391">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D06C98" w:rsidRPr="008A6503" w:rsidRDefault="00751CD0" w:rsidP="00604DAD">
      <w:pPr>
        <w:pStyle w:val="ItemsDebatedHeading"/>
        <w:spacing w:line="216" w:lineRule="auto"/>
      </w:pPr>
      <w:r w:rsidRPr="008A6503">
        <w:lastRenderedPageBreak/>
        <w:t>POINTS AYANT FAIT L'OBJET D'UN DÉBAT</w:t>
      </w:r>
    </w:p>
    <w:p w:rsidR="005709CC" w:rsidRPr="008A6503" w:rsidRDefault="005709CC" w:rsidP="00604DAD">
      <w:pPr>
        <w:pStyle w:val="ItemDebated"/>
        <w:spacing w:line="216" w:lineRule="auto"/>
      </w:pPr>
      <w:bookmarkStart w:id="6" w:name="_Toc429728573"/>
      <w:r w:rsidRPr="008A6503">
        <w:t>AGRICULTURE</w:t>
      </w:r>
      <w:bookmarkEnd w:id="6"/>
    </w:p>
    <w:p w:rsidR="005709CC" w:rsidRPr="008A6503" w:rsidRDefault="005709CC" w:rsidP="00604DAD">
      <w:pPr>
        <w:pStyle w:val="Sub-itemDebated"/>
        <w:spacing w:line="216" w:lineRule="auto"/>
      </w:pPr>
      <w:bookmarkStart w:id="7" w:name="_Toc429728574"/>
      <w:r w:rsidRPr="008A6503">
        <w:t>Évolution des marchés</w:t>
      </w:r>
      <w:bookmarkEnd w:id="7"/>
    </w:p>
    <w:p w:rsidR="005709CC" w:rsidRPr="008A6503" w:rsidRDefault="005709CC" w:rsidP="00604DAD">
      <w:pPr>
        <w:spacing w:line="216" w:lineRule="auto"/>
      </w:pPr>
      <w:r w:rsidRPr="008A6503">
        <w:t xml:space="preserve">Le Conseil a reçu des informations de la Commission sur un train de mesures visant à faire face à la situation difficile dans plusieurs secteurs agricoles. Les ministres ont ensuite procédé à un échange de vues (doc. </w:t>
      </w:r>
      <w:hyperlink r:id="rId19" w:history="1">
        <w:r w:rsidRPr="00B94AC0">
          <w:rPr>
            <w:rStyle w:val="Hyperlink"/>
            <w:i/>
          </w:rPr>
          <w:t>11588/15</w:t>
        </w:r>
      </w:hyperlink>
      <w:r w:rsidRPr="008A6503">
        <w:t>).</w:t>
      </w:r>
    </w:p>
    <w:p w:rsidR="005709CC" w:rsidRPr="008A6503" w:rsidRDefault="005709CC" w:rsidP="00604DAD">
      <w:pPr>
        <w:spacing w:line="216" w:lineRule="auto"/>
      </w:pPr>
      <w:r w:rsidRPr="008A6503">
        <w:t>En réponse aux difficultés que connaissent actuellement ces secteurs, la Commission a présenté un train de mesures, pour un montant de 500 millions d'euros, qui devraient contribuer à résoudre les problèmes de flux de trésorerie auxquels sont confrontés les agriculteurs, à stabiliser</w:t>
      </w:r>
      <w:r w:rsidR="001D0A31">
        <w:t xml:space="preserve"> les marchés et </w:t>
      </w:r>
      <w:r w:rsidRPr="008A6503">
        <w:t>à améliorer le fonctionnement de la chaîne d'approvisionnement.</w:t>
      </w:r>
    </w:p>
    <w:p w:rsidR="005709CC" w:rsidRPr="008A6503" w:rsidRDefault="005709CC" w:rsidP="00604DAD">
      <w:pPr>
        <w:spacing w:line="216" w:lineRule="auto"/>
      </w:pPr>
      <w:r w:rsidRPr="008A6503">
        <w:t>Au cours du débat, les ministres se sont dit très préoccupés par l'évolution récente dans un certain nombre de secteurs agricoles, en particulier les secteurs des produits laitiers et de la viande de porc et ont indiqué qu'il fallait réagir rapidement et efficacement aux problèmes auxquels les agriculteurs doivent actuellement faire face.</w:t>
      </w:r>
    </w:p>
    <w:p w:rsidR="005709CC" w:rsidRPr="008A6503" w:rsidRDefault="005709CC" w:rsidP="00604DAD">
      <w:pPr>
        <w:spacing w:line="216" w:lineRule="auto"/>
      </w:pPr>
      <w:r w:rsidRPr="008A6503">
        <w:t>Bien qu'elles appuient l'ensemble de mesures présenté par la Commission, les délégations ont fait ressortir qu'il fallait en préciser davantage le contenu. La fourniture de l'aide directe ciblée prévue par la Commission, en particulier sa répartition entre les États membres et les secteurs touchés, constitue un point essentiel pour de nombreuses délégations. Pour ce</w:t>
      </w:r>
      <w:r w:rsidR="001D0A31">
        <w:t xml:space="preserve"> qui est du mécanisme destiné à </w:t>
      </w:r>
      <w:r w:rsidRPr="008A6503">
        <w:t>avancer une partie des paiements directs et des paiements en fa</w:t>
      </w:r>
      <w:r w:rsidR="001D0A31">
        <w:t>veur du développement rural, la </w:t>
      </w:r>
      <w:r w:rsidRPr="008A6503">
        <w:t>plupart des ministres ont souligné qu'une certaine flexibilité dans les contrôles était nécessaire pour en favoriser la mise en œuvre. D'une manière générale, ils ont</w:t>
      </w:r>
      <w:r w:rsidR="001D0A31">
        <w:t xml:space="preserve"> estimé que le renforcement des </w:t>
      </w:r>
      <w:r w:rsidRPr="008A6503">
        <w:t xml:space="preserve">actions de promotion et les travaux prévus concernant la chaîne </w:t>
      </w:r>
      <w:r w:rsidR="001D0A31">
        <w:t>d'approvisionnement étaient des </w:t>
      </w:r>
      <w:r w:rsidRPr="008A6503">
        <w:t>questions importantes à moyen terme.</w:t>
      </w:r>
    </w:p>
    <w:p w:rsidR="005709CC" w:rsidRPr="008A6503" w:rsidRDefault="005709CC" w:rsidP="00604DAD">
      <w:pPr>
        <w:spacing w:line="216" w:lineRule="auto"/>
      </w:pPr>
      <w:r w:rsidRPr="008A6503">
        <w:t>Parmi les mesures proposées par la Commission, le Conseil a notamment noté:</w:t>
      </w:r>
    </w:p>
    <w:p w:rsidR="005709CC" w:rsidRPr="008A6503" w:rsidRDefault="005709CC" w:rsidP="00604DAD">
      <w:pPr>
        <w:pStyle w:val="Tiret0"/>
        <w:numPr>
          <w:ilvl w:val="0"/>
          <w:numId w:val="2"/>
        </w:numPr>
        <w:spacing w:line="216" w:lineRule="auto"/>
      </w:pPr>
      <w:r w:rsidRPr="008A6503">
        <w:t>le mécanisme destiné à permettre aux États membres d'avancer le 16 octobre jusqu'à 70 % des paiements directs comprenant d'autres éléments de ce régime de paiement (en particulier pour les jeunes agriculteurs) et 85 % des paiements en faveur du développement rural;</w:t>
      </w:r>
    </w:p>
    <w:p w:rsidR="005709CC" w:rsidRPr="008A6503" w:rsidRDefault="005709CC" w:rsidP="00604DAD">
      <w:pPr>
        <w:pStyle w:val="Tiret0"/>
        <w:spacing w:line="216" w:lineRule="auto"/>
      </w:pPr>
      <w:r w:rsidRPr="008A6503">
        <w:t>un nouveau régime de stockage privé pour les produits l</w:t>
      </w:r>
      <w:r w:rsidR="001D0A31">
        <w:t>aitiers comme le lait écrémé en </w:t>
      </w:r>
      <w:r w:rsidRPr="008A6503">
        <w:t>poudre et le fromage;</w:t>
      </w:r>
    </w:p>
    <w:p w:rsidR="005709CC" w:rsidRPr="008A6503" w:rsidRDefault="005709CC" w:rsidP="00604DAD">
      <w:pPr>
        <w:pStyle w:val="Tiret0"/>
        <w:spacing w:line="216" w:lineRule="auto"/>
      </w:pPr>
      <w:r w:rsidRPr="008A6503">
        <w:t>la réouverture du stockage privé pour la viande de porc;</w:t>
      </w:r>
    </w:p>
    <w:p w:rsidR="005709CC" w:rsidRPr="008A6503" w:rsidRDefault="005709CC" w:rsidP="00604DAD">
      <w:pPr>
        <w:pStyle w:val="Tiret0"/>
        <w:spacing w:line="216" w:lineRule="auto"/>
      </w:pPr>
      <w:r w:rsidRPr="008A6503">
        <w:t>un financement complémentaire pour la promotion des produits laitiers et de la viande de porc dans l'UE et les pays tiers et une poursuite de l'intensification des efforts pour faire face aux obstacles non tarifaires dans les pays tiers;</w:t>
      </w:r>
    </w:p>
    <w:p w:rsidR="005709CC" w:rsidRPr="008A6503" w:rsidRDefault="004A5E02" w:rsidP="00604DAD">
      <w:pPr>
        <w:pStyle w:val="Tiret0"/>
        <w:spacing w:line="216" w:lineRule="auto"/>
      </w:pPr>
      <w:r w:rsidRPr="008A6503">
        <w:t>le renforcement de l'Observatoire du marché du lait;</w:t>
      </w:r>
    </w:p>
    <w:p w:rsidR="005709CC" w:rsidRPr="008A6503" w:rsidRDefault="005709CC" w:rsidP="00604DAD">
      <w:pPr>
        <w:pStyle w:val="Tiret0"/>
        <w:spacing w:line="216" w:lineRule="auto"/>
      </w:pPr>
      <w:r w:rsidRPr="008A6503">
        <w:t>la mise en place d'un groupe de haut niveau visant à améliorer le fonctionnement de la chaîne d'approvisionnement au profit des agriculteurs;</w:t>
      </w:r>
    </w:p>
    <w:p w:rsidR="005709CC" w:rsidRPr="008A6503" w:rsidRDefault="00604DAD" w:rsidP="00AC4697">
      <w:pPr>
        <w:pStyle w:val="Tiret0"/>
      </w:pPr>
      <w:r>
        <w:br w:type="page"/>
      </w:r>
      <w:r w:rsidR="005709CC" w:rsidRPr="008A6503">
        <w:t>une meilleure utilisation du "paquet lait";</w:t>
      </w:r>
    </w:p>
    <w:p w:rsidR="005709CC" w:rsidRPr="008A6503" w:rsidRDefault="00AC4697" w:rsidP="004A5E02">
      <w:pPr>
        <w:pStyle w:val="Tiret0"/>
      </w:pPr>
      <w:r w:rsidRPr="008A6503">
        <w:t>un accord politique rapide sur la proposition concernant le régime d'aide à la distribution de fruits et légumes et de lait dans les écoles;</w:t>
      </w:r>
    </w:p>
    <w:p w:rsidR="006C6DE0" w:rsidRPr="008A6503" w:rsidRDefault="00AC4697" w:rsidP="004A5E02">
      <w:pPr>
        <w:pStyle w:val="Tiret0"/>
      </w:pPr>
      <w:r w:rsidRPr="008A6503">
        <w:t>l'utilisation de certains produits comme le lait en poudre pour répondre aux besoins nutritionnels des réfugiés;</w:t>
      </w:r>
    </w:p>
    <w:p w:rsidR="00AC4697" w:rsidRPr="008A6503" w:rsidRDefault="001E5CCF" w:rsidP="004A5E02">
      <w:pPr>
        <w:pStyle w:val="Tiret0"/>
      </w:pPr>
      <w:r w:rsidRPr="008A6503">
        <w:t>une mise en œuvre complète des possibilités de financement proposées par le Fonds européen pour les investissements stratégiques.</w:t>
      </w:r>
    </w:p>
    <w:p w:rsidR="006C6DE0" w:rsidRPr="008A6503" w:rsidRDefault="0063572F" w:rsidP="0063572F">
      <w:pPr>
        <w:spacing w:line="280" w:lineRule="atLeast"/>
      </w:pPr>
      <w:r w:rsidRPr="008A6503">
        <w:t>D'autres mesures ou initiatives ont été mentionnées par les États membres, certaines d'entre elles dépendant des États membres ou des producteurs eux-mêmes, notamment:</w:t>
      </w:r>
    </w:p>
    <w:p w:rsidR="0063572F" w:rsidRPr="008A6503" w:rsidRDefault="0063572F" w:rsidP="0063572F">
      <w:pPr>
        <w:pStyle w:val="Tiret0"/>
      </w:pPr>
      <w:r w:rsidRPr="008A6503">
        <w:t>le Conseil a pris note de l'intérêt de certains États membres, même s'il n'est pas unanime, pour une augmentation temporaire du prix d</w:t>
      </w:r>
      <w:r w:rsidR="0022723D">
        <w:t>'</w:t>
      </w:r>
      <w:r w:rsidRPr="008A6503">
        <w:t>intervention pour le lait écrémé en poudre;</w:t>
      </w:r>
    </w:p>
    <w:p w:rsidR="006C6DE0" w:rsidRPr="008A6503" w:rsidRDefault="0063572F" w:rsidP="0063572F">
      <w:pPr>
        <w:pStyle w:val="Tiret0"/>
      </w:pPr>
      <w:r w:rsidRPr="008A6503">
        <w:t>la conclusion des négociations avec la Russie concernant les barrières sanitaires en ce qui concerne la viande de porc non touchée par l'embargo;</w:t>
      </w:r>
    </w:p>
    <w:p w:rsidR="006C6DE0" w:rsidRPr="008A6503" w:rsidRDefault="0063572F" w:rsidP="0063572F">
      <w:pPr>
        <w:pStyle w:val="Tiret0"/>
      </w:pPr>
      <w:r w:rsidRPr="008A6503">
        <w:t>des mesures ciblées pour les pays les plus touchés par l'embargo russe;</w:t>
      </w:r>
    </w:p>
    <w:p w:rsidR="006C6DE0" w:rsidRPr="008A6503" w:rsidRDefault="0063572F" w:rsidP="0063572F">
      <w:pPr>
        <w:pStyle w:val="Tiret0"/>
      </w:pPr>
      <w:r w:rsidRPr="008A6503">
        <w:t>un appel à la flexibilité dans la mise en œuvre de la nouvelle politique agricole commune (PAC) au cours de cette année de transition;</w:t>
      </w:r>
    </w:p>
    <w:p w:rsidR="006C6DE0" w:rsidRPr="008A6503" w:rsidRDefault="0063572F" w:rsidP="0063572F">
      <w:pPr>
        <w:pStyle w:val="Tiret0"/>
      </w:pPr>
      <w:r w:rsidRPr="008A6503">
        <w:t>le Conseil a également pris note du souhait exprimé par certaines délégations d'assouplir les règles en matière d'aides d'État;</w:t>
      </w:r>
    </w:p>
    <w:p w:rsidR="006C6DE0" w:rsidRPr="008A6503" w:rsidRDefault="0063572F" w:rsidP="0063572F">
      <w:pPr>
        <w:pStyle w:val="Tiret0"/>
      </w:pPr>
      <w:r w:rsidRPr="008A6503">
        <w:t>la mise en place d'un groupe de haut niveau sur l'avenir du secteur laitier;</w:t>
      </w:r>
    </w:p>
    <w:p w:rsidR="006C6DE0" w:rsidRPr="008A6503" w:rsidRDefault="0063572F" w:rsidP="0063572F">
      <w:pPr>
        <w:pStyle w:val="Tiret0"/>
      </w:pPr>
      <w:r w:rsidRPr="008A6503">
        <w:t xml:space="preserve">une mise en œuvre du programme de simplification donnant la </w:t>
      </w:r>
      <w:r w:rsidR="001D0A31">
        <w:t>priorité à la réduction des </w:t>
      </w:r>
      <w:r w:rsidRPr="008A6503">
        <w:t>coûts des agriculteurs;</w:t>
      </w:r>
    </w:p>
    <w:p w:rsidR="006C6DE0" w:rsidRPr="008A6503" w:rsidRDefault="0063572F" w:rsidP="0063572F">
      <w:pPr>
        <w:pStyle w:val="Tiret0"/>
      </w:pPr>
      <w:r w:rsidRPr="008A6503">
        <w:t>une coopération renforcée dans les organisations de producteurs et le recours à leurs programmes opérationnels pour mettre en place des mesures structurelles;</w:t>
      </w:r>
    </w:p>
    <w:p w:rsidR="006C6DE0" w:rsidRPr="008A6503" w:rsidRDefault="00662899" w:rsidP="00662899">
      <w:pPr>
        <w:pStyle w:val="Tiret0"/>
      </w:pPr>
      <w:r w:rsidRPr="008A6503">
        <w:t>un examen attentif des outils permettant de faire face à la volatilité des prix.</w:t>
      </w:r>
    </w:p>
    <w:p w:rsidR="005709CC" w:rsidRPr="008A6503" w:rsidRDefault="005709CC" w:rsidP="00DE2F71">
      <w:pPr>
        <w:spacing w:line="280" w:lineRule="atLeast"/>
      </w:pPr>
      <w:r w:rsidRPr="008A6503">
        <w:t xml:space="preserve">La présidence a indiqué que les aspects techniques du train de mesures de la Commission seront examinés par les instances préparatoires du Conseil dans les jours à venir. Les ministres reviendront sur cette question à l'occasion de la réunion informelle consacrée à </w:t>
      </w:r>
      <w:r w:rsidR="001D0A31">
        <w:t>l'agriculture le 15 septembre à </w:t>
      </w:r>
      <w:r w:rsidRPr="008A6503">
        <w:t>Luxembourg.</w:t>
      </w:r>
    </w:p>
    <w:p w:rsidR="005709CC" w:rsidRPr="008A6503" w:rsidRDefault="005709CC" w:rsidP="005709CC">
      <w:pPr>
        <w:pStyle w:val="ItemDebated"/>
      </w:pPr>
      <w:r w:rsidRPr="008A6503">
        <w:br w:type="page"/>
      </w:r>
      <w:bookmarkStart w:id="8" w:name="_Toc429728575"/>
      <w:r w:rsidRPr="008A6503">
        <w:t>Divers</w:t>
      </w:r>
      <w:bookmarkEnd w:id="8"/>
    </w:p>
    <w:p w:rsidR="005709CC" w:rsidRPr="008A6503" w:rsidRDefault="005709CC" w:rsidP="006C6DE0">
      <w:pPr>
        <w:pStyle w:val="Sub-sub-itemDebated"/>
        <w:numPr>
          <w:ilvl w:val="0"/>
          <w:numId w:val="3"/>
        </w:numPr>
      </w:pPr>
      <w:bookmarkStart w:id="9" w:name="_Toc429728576"/>
      <w:r w:rsidRPr="008A6503">
        <w:t>Peste porcine africaine</w:t>
      </w:r>
      <w:bookmarkEnd w:id="9"/>
    </w:p>
    <w:p w:rsidR="005709CC" w:rsidRPr="008A6503" w:rsidRDefault="005709CC" w:rsidP="00EB6DBF">
      <w:pPr>
        <w:spacing w:line="280" w:lineRule="atLeast"/>
      </w:pPr>
      <w:r w:rsidRPr="008A6503">
        <w:t>Le Conseil a pris note de la demande de la délégation estonienn</w:t>
      </w:r>
      <w:r w:rsidR="001D0A31">
        <w:t>e, soutenue par la Lituanie, la </w:t>
      </w:r>
      <w:r w:rsidRPr="008A6503">
        <w:t>Lettonie et la Pologne, concernant la peste porcine afric</w:t>
      </w:r>
      <w:r w:rsidR="001D0A31">
        <w:t>aine (PPA) et de la réaction du </w:t>
      </w:r>
      <w:r w:rsidRPr="008A6503">
        <w:t xml:space="preserve">représentant de la Commission (doc. </w:t>
      </w:r>
      <w:hyperlink r:id="rId20" w:tooltip="http://data.consilium.europa.eu/doc/document/ST-11555-2015-INIT/en/pdf">
        <w:r w:rsidRPr="006111F0">
          <w:rPr>
            <w:rStyle w:val="Hyperlink"/>
            <w:i/>
            <w:color w:val="0000FF"/>
          </w:rPr>
          <w:t>11555/15</w:t>
        </w:r>
      </w:hyperlink>
      <w:r w:rsidRPr="008A6503">
        <w:t>).</w:t>
      </w:r>
    </w:p>
    <w:p w:rsidR="005709CC" w:rsidRPr="008A6503" w:rsidRDefault="005709CC" w:rsidP="00EB6DBF">
      <w:pPr>
        <w:spacing w:line="280" w:lineRule="atLeast"/>
      </w:pPr>
      <w:r w:rsidRPr="008A6503">
        <w:t xml:space="preserve">La PPA est une maladie virale très contagieuse qui touche les sangliers et les porcs domestiques. Elle a été détectée pour la première fois en Lituanie, puis en Pologne, début 2014. Depuis, des cas ont également été recensés chez des sangliers et des porcs domestiques en Estonie et en Lettonie. Certains États membres se sont ralliés à la position des pays touchés qui estiment qu'il faudrait augmenter l'aide et revoir - à la lumière des données scientifiques les </w:t>
      </w:r>
      <w:r w:rsidR="001D0A31">
        <w:t>plus récentes - la stratégie de </w:t>
      </w:r>
      <w:r w:rsidRPr="008A6503">
        <w:t>lutte contre cette maladie.</w:t>
      </w:r>
    </w:p>
    <w:p w:rsidR="005709CC" w:rsidRPr="008A6503" w:rsidRDefault="005709CC" w:rsidP="005709CC">
      <w:pPr>
        <w:pStyle w:val="Sub-sub-itemDebated"/>
      </w:pPr>
      <w:bookmarkStart w:id="10" w:name="_Toc429728577"/>
      <w:r w:rsidRPr="008A6503">
        <w:t>Sécheresse en Europe de l'Est</w:t>
      </w:r>
      <w:bookmarkEnd w:id="10"/>
    </w:p>
    <w:p w:rsidR="006C6DE0" w:rsidRPr="008A6503" w:rsidRDefault="005709CC" w:rsidP="005709CC">
      <w:pPr>
        <w:spacing w:line="280" w:lineRule="atLeast"/>
      </w:pPr>
      <w:r w:rsidRPr="008A6503">
        <w:t xml:space="preserve">Les délégations polonaise et roumaine ont fourni des informations aux ministres sur les conséquences de la grave sécheresse qui a touché ces pays cet été (doc. </w:t>
      </w:r>
      <w:hyperlink r:id="rId21" w:tooltip="http://data.consilium.europa.eu/doc/document/ST-11593-2015-INIT/en/pdf">
        <w:r w:rsidRPr="006111F0">
          <w:rPr>
            <w:rStyle w:val="Hyperlink"/>
            <w:i/>
            <w:color w:val="0000FF"/>
          </w:rPr>
          <w:t>11593/15</w:t>
        </w:r>
      </w:hyperlink>
      <w:r w:rsidRPr="008A6503">
        <w:t>).</w:t>
      </w:r>
    </w:p>
    <w:p w:rsidR="005709CC" w:rsidRPr="008A6503" w:rsidRDefault="005709CC" w:rsidP="005709CC">
      <w:pPr>
        <w:spacing w:line="280" w:lineRule="atLeast"/>
      </w:pPr>
      <w:r w:rsidRPr="008A6503">
        <w:t>Certains États membres ont soutenu leur demande d'un programme de soutien spécifi</w:t>
      </w:r>
      <w:r w:rsidR="001D0A31">
        <w:t>que pour les </w:t>
      </w:r>
      <w:r w:rsidRPr="008A6503">
        <w:t>cultures et la production animale touchées par la sécheresse.</w:t>
      </w:r>
    </w:p>
    <w:p w:rsidR="00D06C98" w:rsidRPr="008A6503" w:rsidRDefault="00D06C98" w:rsidP="00D06C98">
      <w:pPr>
        <w:sectPr w:rsidR="00D06C98" w:rsidRPr="008A6503" w:rsidSect="004D2391">
          <w:footnotePr>
            <w:numRestart w:val="eachPage"/>
          </w:footnotePr>
          <w:pgSz w:w="11907" w:h="16840" w:code="9"/>
          <w:pgMar w:top="1134" w:right="1134" w:bottom="1134" w:left="1134" w:header="567" w:footer="567" w:gutter="0"/>
          <w:cols w:space="708"/>
          <w:docGrid w:linePitch="360"/>
        </w:sectPr>
      </w:pPr>
    </w:p>
    <w:p w:rsidR="00D06C98" w:rsidRPr="008A6503" w:rsidRDefault="00751CD0" w:rsidP="00751CD0">
      <w:pPr>
        <w:pStyle w:val="ItemsApprovedHeading"/>
      </w:pPr>
      <w:r w:rsidRPr="008A6503">
        <w:t>AUTRES POINTS APPROUVÉS</w:t>
      </w:r>
    </w:p>
    <w:p w:rsidR="00895676" w:rsidRPr="00751CD0" w:rsidRDefault="00895676" w:rsidP="00D06C98">
      <w:pPr>
        <w:pStyle w:val="FinalLine"/>
      </w:pPr>
    </w:p>
    <w:sectPr w:rsidR="00895676" w:rsidRPr="00751CD0" w:rsidSect="004D239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98" w:rsidRDefault="00D06C98">
      <w:pPr>
        <w:spacing w:before="0" w:after="0"/>
      </w:pPr>
      <w:r>
        <w:separator/>
      </w:r>
    </w:p>
  </w:endnote>
  <w:endnote w:type="continuationSeparator" w:id="0">
    <w:p w:rsidR="00D06C98" w:rsidRDefault="00D06C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91" w:rsidRPr="004D2391" w:rsidRDefault="004D2391" w:rsidP="004D2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D2391" w:rsidRPr="007410E8" w:rsidTr="004D2391">
      <w:trPr>
        <w:jc w:val="center"/>
      </w:trPr>
      <w:tc>
        <w:tcPr>
          <w:tcW w:w="2604" w:type="pct"/>
          <w:shd w:val="clear" w:color="auto" w:fill="auto"/>
        </w:tcPr>
        <w:p w:rsidR="004D2391" w:rsidRPr="007410E8" w:rsidRDefault="004D2391" w:rsidP="0035025C">
          <w:pPr>
            <w:pStyle w:val="FooterText"/>
            <w:rPr>
              <w:sz w:val="16"/>
              <w:szCs w:val="16"/>
            </w:rPr>
          </w:pPr>
          <w:bookmarkStart w:id="1" w:name="FOOTER_PR_STANDARD"/>
        </w:p>
      </w:tc>
      <w:tc>
        <w:tcPr>
          <w:tcW w:w="1319" w:type="pct"/>
          <w:shd w:val="clear" w:color="auto" w:fill="auto"/>
        </w:tcPr>
        <w:p w:rsidR="004D2391" w:rsidRPr="007410E8" w:rsidRDefault="004D2391" w:rsidP="0035025C">
          <w:pPr>
            <w:pStyle w:val="FooterText"/>
            <w:rPr>
              <w:sz w:val="16"/>
              <w:szCs w:val="16"/>
            </w:rPr>
          </w:pPr>
        </w:p>
      </w:tc>
      <w:tc>
        <w:tcPr>
          <w:tcW w:w="1077" w:type="pct"/>
          <w:shd w:val="clear" w:color="auto" w:fill="auto"/>
        </w:tcPr>
        <w:p w:rsidR="004D2391" w:rsidRPr="007410E8" w:rsidRDefault="004D2391" w:rsidP="0035025C">
          <w:pPr>
            <w:pStyle w:val="FooterText"/>
            <w:jc w:val="right"/>
            <w:rPr>
              <w:sz w:val="16"/>
              <w:szCs w:val="16"/>
            </w:rPr>
          </w:pPr>
        </w:p>
      </w:tc>
    </w:tr>
    <w:tr w:rsidR="004D2391" w:rsidRPr="007410E8" w:rsidTr="004D2391">
      <w:trPr>
        <w:jc w:val="center"/>
      </w:trPr>
      <w:tc>
        <w:tcPr>
          <w:tcW w:w="2604" w:type="pct"/>
          <w:shd w:val="clear" w:color="auto" w:fill="auto"/>
        </w:tcPr>
        <w:p w:rsidR="004D2391" w:rsidRPr="007410E8" w:rsidRDefault="004D2391" w:rsidP="0035025C">
          <w:pPr>
            <w:pStyle w:val="FooterText"/>
            <w:rPr>
              <w:sz w:val="16"/>
            </w:rPr>
          </w:pPr>
          <w:r>
            <w:t>11735/15</w:t>
          </w:r>
          <w:r w:rsidRPr="002511D8">
            <w:t xml:space="preserve"> </w:t>
          </w:r>
        </w:p>
      </w:tc>
      <w:tc>
        <w:tcPr>
          <w:tcW w:w="1319" w:type="pct"/>
          <w:shd w:val="clear" w:color="auto" w:fill="auto"/>
        </w:tcPr>
        <w:p w:rsidR="004D2391" w:rsidRPr="007410E8" w:rsidRDefault="004D2391" w:rsidP="0035025C">
          <w:pPr>
            <w:pStyle w:val="FooterText"/>
            <w:rPr>
              <w:sz w:val="16"/>
            </w:rPr>
          </w:pPr>
        </w:p>
      </w:tc>
      <w:tc>
        <w:tcPr>
          <w:tcW w:w="1077" w:type="pct"/>
          <w:shd w:val="clear" w:color="auto" w:fill="auto"/>
        </w:tcPr>
        <w:p w:rsidR="004D2391" w:rsidRPr="007410E8" w:rsidRDefault="004D2391" w:rsidP="0035025C">
          <w:pPr>
            <w:pStyle w:val="FooterText"/>
            <w:jc w:val="right"/>
            <w:rPr>
              <w:sz w:val="16"/>
            </w:rPr>
          </w:pPr>
          <w:r>
            <w:fldChar w:fldCharType="begin"/>
          </w:r>
          <w:r>
            <w:instrText xml:space="preserve"> PAGE  \* MERGEFORMAT </w:instrText>
          </w:r>
          <w:r>
            <w:fldChar w:fldCharType="separate"/>
          </w:r>
          <w:r w:rsidR="00BE5070">
            <w:rPr>
              <w:noProof/>
            </w:rPr>
            <w:t>6</w:t>
          </w:r>
          <w:r>
            <w:fldChar w:fldCharType="end"/>
          </w:r>
        </w:p>
      </w:tc>
    </w:tr>
    <w:tr w:rsidR="004D2391" w:rsidRPr="007410E8" w:rsidTr="004D2391">
      <w:trPr>
        <w:jc w:val="center"/>
      </w:trPr>
      <w:tc>
        <w:tcPr>
          <w:tcW w:w="2604" w:type="pct"/>
          <w:shd w:val="clear" w:color="auto" w:fill="auto"/>
        </w:tcPr>
        <w:p w:rsidR="004D2391" w:rsidRPr="007410E8" w:rsidRDefault="004D2391" w:rsidP="0035025C">
          <w:pPr>
            <w:pStyle w:val="FooterText"/>
            <w:rPr>
              <w:sz w:val="16"/>
            </w:rPr>
          </w:pPr>
        </w:p>
      </w:tc>
      <w:tc>
        <w:tcPr>
          <w:tcW w:w="1319" w:type="pct"/>
          <w:shd w:val="clear" w:color="auto" w:fill="auto"/>
        </w:tcPr>
        <w:p w:rsidR="004D2391" w:rsidRPr="007410E8" w:rsidRDefault="004D2391" w:rsidP="0035025C">
          <w:pPr>
            <w:pStyle w:val="FooterText"/>
            <w:rPr>
              <w:sz w:val="16"/>
            </w:rPr>
          </w:pPr>
        </w:p>
      </w:tc>
      <w:tc>
        <w:tcPr>
          <w:tcW w:w="1077" w:type="pct"/>
          <w:shd w:val="clear" w:color="auto" w:fill="auto"/>
        </w:tcPr>
        <w:p w:rsidR="004D2391" w:rsidRPr="007410E8" w:rsidRDefault="004D2391" w:rsidP="0035025C">
          <w:pPr>
            <w:pStyle w:val="FooterText"/>
            <w:jc w:val="right"/>
            <w:rPr>
              <w:sz w:val="16"/>
            </w:rPr>
          </w:pPr>
          <w:r>
            <w:rPr>
              <w:b/>
              <w:position w:val="-4"/>
              <w:sz w:val="36"/>
            </w:rPr>
            <w:t>FR</w:t>
          </w:r>
        </w:p>
      </w:tc>
    </w:tr>
    <w:bookmarkEnd w:id="1"/>
  </w:tbl>
  <w:p w:rsidR="00926EAF" w:rsidRPr="004D2391" w:rsidRDefault="00926EAF" w:rsidP="004D239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D2391" w:rsidRPr="009C2FB3" w:rsidTr="004D2391">
      <w:trPr>
        <w:jc w:val="center"/>
      </w:trPr>
      <w:tc>
        <w:tcPr>
          <w:tcW w:w="569" w:type="pct"/>
          <w:shd w:val="clear" w:color="auto" w:fill="auto"/>
        </w:tcPr>
        <w:p w:rsidR="004D2391" w:rsidRPr="009C2FB3" w:rsidRDefault="004D2391" w:rsidP="0035025C">
          <w:pPr>
            <w:pStyle w:val="FooterText"/>
          </w:pPr>
          <w:bookmarkStart w:id="2" w:name="FOOTER_PR_COVERPAGE"/>
        </w:p>
      </w:tc>
      <w:tc>
        <w:tcPr>
          <w:tcW w:w="3760" w:type="pct"/>
          <w:gridSpan w:val="3"/>
          <w:shd w:val="clear" w:color="auto" w:fill="auto"/>
          <w:noWrap/>
        </w:tcPr>
        <w:p w:rsidR="004D2391" w:rsidRPr="00F37CD6" w:rsidRDefault="004D239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4D2391" w:rsidRPr="009C2FB3" w:rsidRDefault="004D2391" w:rsidP="0035025C">
          <w:pPr>
            <w:pStyle w:val="FooterText"/>
          </w:pPr>
        </w:p>
      </w:tc>
    </w:tr>
    <w:tr w:rsidR="004D2391" w:rsidRPr="007410E8" w:rsidTr="004D2391">
      <w:trPr>
        <w:jc w:val="center"/>
      </w:trPr>
      <w:tc>
        <w:tcPr>
          <w:tcW w:w="5000" w:type="pct"/>
          <w:gridSpan w:val="5"/>
          <w:shd w:val="clear" w:color="auto" w:fill="auto"/>
        </w:tcPr>
        <w:p w:rsidR="004D2391" w:rsidRPr="00827A78" w:rsidRDefault="004D2391" w:rsidP="0035025C">
          <w:pPr>
            <w:pStyle w:val="FooterAddressText"/>
          </w:pPr>
        </w:p>
        <w:p w:rsidR="004D2391" w:rsidRPr="007410E8" w:rsidRDefault="004D2391" w:rsidP="0035025C">
          <w:pPr>
            <w:pStyle w:val="FooterAddressText"/>
          </w:pPr>
          <w:r>
            <w:t>Rue de la Loi 175  B – 1048 BRUXELLES  Tél. +32 (0)2 281 6319  Fax +32 (0)2 281 8026</w:t>
          </w:r>
        </w:p>
      </w:tc>
    </w:tr>
    <w:tr w:rsidR="004D2391" w:rsidRPr="007410E8" w:rsidTr="004D2391">
      <w:trPr>
        <w:jc w:val="center"/>
      </w:trPr>
      <w:tc>
        <w:tcPr>
          <w:tcW w:w="5000" w:type="pct"/>
          <w:gridSpan w:val="5"/>
          <w:shd w:val="clear" w:color="auto" w:fill="auto"/>
        </w:tcPr>
        <w:p w:rsidR="004D2391" w:rsidRPr="007410E8" w:rsidRDefault="00BE5070" w:rsidP="0035025C">
          <w:pPr>
            <w:pStyle w:val="FooterText"/>
            <w:jc w:val="center"/>
            <w:rPr>
              <w:sz w:val="20"/>
              <w:szCs w:val="20"/>
            </w:rPr>
          </w:pPr>
          <w:hyperlink r:id="rId1" w:history="1">
            <w:r w:rsidR="004D2391" w:rsidRPr="004D2391">
              <w:rPr>
                <w:rStyle w:val="Hyperlink"/>
                <w:sz w:val="20"/>
              </w:rPr>
              <w:t>press.office@consilium.europa.eu</w:t>
            </w:r>
          </w:hyperlink>
          <w:r w:rsidR="004D2391" w:rsidRPr="007410E8">
            <w:rPr>
              <w:sz w:val="20"/>
              <w:szCs w:val="20"/>
            </w:rPr>
            <w:t xml:space="preserve">  </w:t>
          </w:r>
          <w:hyperlink r:id="rId2" w:history="1">
            <w:r w:rsidR="004D2391" w:rsidRPr="004D2391">
              <w:rPr>
                <w:rStyle w:val="Hyperlink"/>
                <w:sz w:val="20"/>
              </w:rPr>
              <w:t>http://www.consilium.europa.eu/press</w:t>
            </w:r>
          </w:hyperlink>
        </w:p>
      </w:tc>
    </w:tr>
    <w:tr w:rsidR="004D2391" w:rsidRPr="007410E8" w:rsidTr="004D2391">
      <w:trPr>
        <w:jc w:val="center"/>
      </w:trPr>
      <w:tc>
        <w:tcPr>
          <w:tcW w:w="2604" w:type="pct"/>
          <w:gridSpan w:val="2"/>
          <w:shd w:val="clear" w:color="auto" w:fill="auto"/>
        </w:tcPr>
        <w:p w:rsidR="004D2391" w:rsidRPr="007410E8" w:rsidRDefault="004D2391" w:rsidP="0035025C">
          <w:pPr>
            <w:pStyle w:val="FooterText"/>
            <w:spacing w:before="60"/>
            <w:rPr>
              <w:sz w:val="16"/>
            </w:rPr>
          </w:pPr>
          <w:r>
            <w:t>11735/15</w:t>
          </w:r>
          <w:r w:rsidRPr="002511D8">
            <w:t xml:space="preserve"> </w:t>
          </w:r>
        </w:p>
      </w:tc>
      <w:tc>
        <w:tcPr>
          <w:tcW w:w="1319" w:type="pct"/>
          <w:shd w:val="clear" w:color="auto" w:fill="auto"/>
        </w:tcPr>
        <w:p w:rsidR="004D2391" w:rsidRPr="007410E8" w:rsidRDefault="004D2391" w:rsidP="0035025C">
          <w:pPr>
            <w:pStyle w:val="FooterText"/>
            <w:spacing w:before="120"/>
            <w:rPr>
              <w:sz w:val="16"/>
            </w:rPr>
          </w:pPr>
        </w:p>
      </w:tc>
      <w:tc>
        <w:tcPr>
          <w:tcW w:w="1077" w:type="pct"/>
          <w:gridSpan w:val="2"/>
          <w:shd w:val="clear" w:color="auto" w:fill="auto"/>
        </w:tcPr>
        <w:p w:rsidR="004D2391" w:rsidRPr="007410E8" w:rsidRDefault="004D2391" w:rsidP="0035025C">
          <w:pPr>
            <w:pStyle w:val="FooterText"/>
            <w:spacing w:before="60"/>
            <w:jc w:val="right"/>
            <w:rPr>
              <w:sz w:val="16"/>
            </w:rPr>
          </w:pPr>
          <w:r>
            <w:fldChar w:fldCharType="begin"/>
          </w:r>
          <w:r>
            <w:instrText xml:space="preserve"> PAGE  \* MERGEFORMAT </w:instrText>
          </w:r>
          <w:r>
            <w:fldChar w:fldCharType="separate"/>
          </w:r>
          <w:r w:rsidR="00BE5070">
            <w:rPr>
              <w:noProof/>
            </w:rPr>
            <w:t>1</w:t>
          </w:r>
          <w:r>
            <w:fldChar w:fldCharType="end"/>
          </w:r>
        </w:p>
      </w:tc>
    </w:tr>
    <w:tr w:rsidR="004D2391" w:rsidRPr="007410E8" w:rsidTr="004D2391">
      <w:trPr>
        <w:jc w:val="center"/>
      </w:trPr>
      <w:tc>
        <w:tcPr>
          <w:tcW w:w="2604" w:type="pct"/>
          <w:gridSpan w:val="2"/>
          <w:shd w:val="clear" w:color="auto" w:fill="auto"/>
        </w:tcPr>
        <w:p w:rsidR="004D2391" w:rsidRPr="007410E8" w:rsidRDefault="004D2391" w:rsidP="0035025C">
          <w:pPr>
            <w:pStyle w:val="FooterText"/>
            <w:rPr>
              <w:sz w:val="16"/>
            </w:rPr>
          </w:pPr>
        </w:p>
      </w:tc>
      <w:tc>
        <w:tcPr>
          <w:tcW w:w="1319" w:type="pct"/>
          <w:shd w:val="clear" w:color="auto" w:fill="auto"/>
        </w:tcPr>
        <w:p w:rsidR="004D2391" w:rsidRPr="007410E8" w:rsidRDefault="004D2391" w:rsidP="0035025C">
          <w:pPr>
            <w:pStyle w:val="FooterText"/>
            <w:rPr>
              <w:sz w:val="16"/>
            </w:rPr>
          </w:pPr>
        </w:p>
      </w:tc>
      <w:tc>
        <w:tcPr>
          <w:tcW w:w="1077" w:type="pct"/>
          <w:gridSpan w:val="2"/>
          <w:shd w:val="clear" w:color="auto" w:fill="auto"/>
        </w:tcPr>
        <w:p w:rsidR="004D2391" w:rsidRPr="007410E8" w:rsidRDefault="004D2391" w:rsidP="0035025C">
          <w:pPr>
            <w:pStyle w:val="FooterText"/>
            <w:jc w:val="right"/>
            <w:rPr>
              <w:sz w:val="16"/>
            </w:rPr>
          </w:pPr>
          <w:r>
            <w:rPr>
              <w:b/>
              <w:position w:val="-4"/>
              <w:sz w:val="36"/>
            </w:rPr>
            <w:t>FR</w:t>
          </w:r>
        </w:p>
      </w:tc>
    </w:tr>
    <w:bookmarkEnd w:id="2"/>
  </w:tbl>
  <w:p w:rsidR="00926EAF" w:rsidRPr="004D2391" w:rsidRDefault="00926EAF" w:rsidP="004D239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D2391" w:rsidRPr="007410E8" w:rsidTr="004D2391">
      <w:trPr>
        <w:jc w:val="center"/>
      </w:trPr>
      <w:tc>
        <w:tcPr>
          <w:tcW w:w="5000" w:type="pct"/>
          <w:gridSpan w:val="3"/>
          <w:shd w:val="clear" w:color="auto" w:fill="auto"/>
        </w:tcPr>
        <w:p w:rsidR="004D2391" w:rsidRPr="007410E8" w:rsidRDefault="004D2391"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4D2391" w:rsidRPr="007410E8" w:rsidRDefault="004D239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4D2391" w:rsidRPr="007410E8" w:rsidRDefault="004D239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4D2391" w:rsidRPr="007410E8" w:rsidRDefault="004D2391" w:rsidP="0035025C">
          <w:pPr>
            <w:pStyle w:val="FooterText"/>
            <w:tabs>
              <w:tab w:val="left" w:pos="285"/>
              <w:tab w:val="left" w:pos="585"/>
            </w:tabs>
            <w:rPr>
              <w:sz w:val="21"/>
              <w:szCs w:val="21"/>
            </w:rPr>
          </w:pPr>
        </w:p>
      </w:tc>
    </w:tr>
    <w:tr w:rsidR="004D2391" w:rsidRPr="007410E8" w:rsidTr="004D2391">
      <w:trPr>
        <w:jc w:val="center"/>
      </w:trPr>
      <w:tc>
        <w:tcPr>
          <w:tcW w:w="2604" w:type="pct"/>
          <w:shd w:val="clear" w:color="auto" w:fill="auto"/>
        </w:tcPr>
        <w:p w:rsidR="004D2391" w:rsidRPr="007410E8" w:rsidRDefault="004D2391" w:rsidP="0035025C">
          <w:pPr>
            <w:pStyle w:val="FooterText"/>
            <w:rPr>
              <w:sz w:val="16"/>
            </w:rPr>
          </w:pPr>
          <w:r>
            <w:t>11735/15</w:t>
          </w:r>
          <w:r w:rsidRPr="002511D8">
            <w:t xml:space="preserve"> </w:t>
          </w:r>
        </w:p>
      </w:tc>
      <w:tc>
        <w:tcPr>
          <w:tcW w:w="1319" w:type="pct"/>
          <w:shd w:val="clear" w:color="auto" w:fill="auto"/>
        </w:tcPr>
        <w:p w:rsidR="004D2391" w:rsidRPr="007410E8" w:rsidRDefault="004D2391" w:rsidP="0035025C">
          <w:pPr>
            <w:pStyle w:val="FooterText"/>
            <w:rPr>
              <w:sz w:val="16"/>
            </w:rPr>
          </w:pPr>
        </w:p>
      </w:tc>
      <w:tc>
        <w:tcPr>
          <w:tcW w:w="1077" w:type="pct"/>
          <w:shd w:val="clear" w:color="auto" w:fill="auto"/>
        </w:tcPr>
        <w:p w:rsidR="004D2391" w:rsidRPr="007410E8" w:rsidRDefault="004D2391" w:rsidP="0035025C">
          <w:pPr>
            <w:pStyle w:val="FooterText"/>
            <w:jc w:val="right"/>
            <w:rPr>
              <w:sz w:val="16"/>
            </w:rPr>
          </w:pPr>
          <w:r>
            <w:fldChar w:fldCharType="begin"/>
          </w:r>
          <w:r>
            <w:instrText xml:space="preserve"> PAGE  \* MERGEFORMAT </w:instrText>
          </w:r>
          <w:r>
            <w:fldChar w:fldCharType="separate"/>
          </w:r>
          <w:r w:rsidR="00BE5070">
            <w:rPr>
              <w:noProof/>
            </w:rPr>
            <w:t>2</w:t>
          </w:r>
          <w:r>
            <w:fldChar w:fldCharType="end"/>
          </w:r>
        </w:p>
      </w:tc>
    </w:tr>
    <w:tr w:rsidR="004D2391" w:rsidRPr="007410E8" w:rsidTr="004D2391">
      <w:trPr>
        <w:jc w:val="center"/>
      </w:trPr>
      <w:tc>
        <w:tcPr>
          <w:tcW w:w="2604" w:type="pct"/>
          <w:shd w:val="clear" w:color="auto" w:fill="auto"/>
        </w:tcPr>
        <w:p w:rsidR="004D2391" w:rsidRPr="007410E8" w:rsidRDefault="004D2391" w:rsidP="0035025C">
          <w:pPr>
            <w:pStyle w:val="FooterText"/>
            <w:rPr>
              <w:sz w:val="16"/>
            </w:rPr>
          </w:pPr>
        </w:p>
      </w:tc>
      <w:tc>
        <w:tcPr>
          <w:tcW w:w="1319" w:type="pct"/>
          <w:shd w:val="clear" w:color="auto" w:fill="auto"/>
        </w:tcPr>
        <w:p w:rsidR="004D2391" w:rsidRPr="007410E8" w:rsidRDefault="004D2391" w:rsidP="0035025C">
          <w:pPr>
            <w:pStyle w:val="FooterText"/>
            <w:rPr>
              <w:sz w:val="16"/>
            </w:rPr>
          </w:pPr>
        </w:p>
      </w:tc>
      <w:tc>
        <w:tcPr>
          <w:tcW w:w="1077" w:type="pct"/>
          <w:shd w:val="clear" w:color="auto" w:fill="auto"/>
        </w:tcPr>
        <w:p w:rsidR="004D2391" w:rsidRPr="007410E8" w:rsidRDefault="004D2391" w:rsidP="0035025C">
          <w:pPr>
            <w:pStyle w:val="FooterText"/>
            <w:jc w:val="right"/>
            <w:rPr>
              <w:sz w:val="16"/>
            </w:rPr>
          </w:pPr>
          <w:r>
            <w:rPr>
              <w:b/>
              <w:position w:val="-4"/>
              <w:sz w:val="36"/>
            </w:rPr>
            <w:t>FR</w:t>
          </w:r>
        </w:p>
      </w:tc>
    </w:tr>
    <w:bookmarkEnd w:id="5"/>
  </w:tbl>
  <w:p w:rsidR="00D06C98" w:rsidRPr="004D2391" w:rsidRDefault="00D06C98" w:rsidP="004D239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98" w:rsidRDefault="00D06C98">
      <w:pPr>
        <w:spacing w:before="0" w:after="0"/>
      </w:pPr>
      <w:r>
        <w:separator/>
      </w:r>
    </w:p>
  </w:footnote>
  <w:footnote w:type="continuationSeparator" w:id="0">
    <w:p w:rsidR="00D06C98" w:rsidRDefault="00D06C9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91" w:rsidRPr="004D2391" w:rsidRDefault="004D2391" w:rsidP="004D2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91" w:rsidRPr="004D2391" w:rsidRDefault="004D2391" w:rsidP="004D239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91" w:rsidRPr="004D2391" w:rsidRDefault="004D2391" w:rsidP="004D239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D2391" w:rsidRPr="007410E8" w:rsidTr="004D2391">
      <w:trPr>
        <w:jc w:val="center"/>
      </w:trPr>
      <w:tc>
        <w:tcPr>
          <w:tcW w:w="2500" w:type="pct"/>
          <w:shd w:val="clear" w:color="auto" w:fill="auto"/>
        </w:tcPr>
        <w:p w:rsidR="004D2391" w:rsidRPr="007410E8" w:rsidRDefault="004D2391" w:rsidP="0035025C">
          <w:pPr>
            <w:pStyle w:val="HeaderText"/>
            <w:rPr>
              <w:b/>
              <w:i/>
              <w:sz w:val="16"/>
              <w:u w:val="single"/>
            </w:rPr>
          </w:pPr>
          <w:bookmarkStart w:id="4" w:name="HEADER_PRMEET"/>
        </w:p>
      </w:tc>
      <w:tc>
        <w:tcPr>
          <w:tcW w:w="2500" w:type="pct"/>
          <w:shd w:val="clear" w:color="auto" w:fill="auto"/>
        </w:tcPr>
        <w:p w:rsidR="004D2391" w:rsidRPr="007410E8" w:rsidRDefault="004D2391" w:rsidP="004D2391">
          <w:pPr>
            <w:pStyle w:val="HeaderText"/>
            <w:jc w:val="right"/>
            <w:rPr>
              <w:sz w:val="16"/>
            </w:rPr>
          </w:pPr>
          <w:r w:rsidRPr="004D2391">
            <w:t>7 septembre 2015</w:t>
          </w:r>
        </w:p>
      </w:tc>
    </w:tr>
    <w:bookmarkEnd w:id="4"/>
  </w:tbl>
  <w:p w:rsidR="00D06C98" w:rsidRPr="004D2391" w:rsidRDefault="00D06C98" w:rsidP="004D2391">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D2391" w:rsidRPr="007410E8" w:rsidTr="004D2391">
      <w:trPr>
        <w:jc w:val="center"/>
      </w:trPr>
      <w:tc>
        <w:tcPr>
          <w:tcW w:w="2500" w:type="pct"/>
          <w:shd w:val="clear" w:color="auto" w:fill="auto"/>
        </w:tcPr>
        <w:p w:rsidR="004D2391" w:rsidRPr="007410E8" w:rsidRDefault="004D2391" w:rsidP="0035025C">
          <w:pPr>
            <w:pStyle w:val="HeaderText"/>
            <w:rPr>
              <w:b/>
              <w:i/>
              <w:sz w:val="16"/>
              <w:u w:val="single"/>
            </w:rPr>
          </w:pPr>
        </w:p>
      </w:tc>
      <w:tc>
        <w:tcPr>
          <w:tcW w:w="2500" w:type="pct"/>
          <w:shd w:val="clear" w:color="auto" w:fill="auto"/>
        </w:tcPr>
        <w:p w:rsidR="004D2391" w:rsidRPr="007410E8" w:rsidRDefault="004D2391" w:rsidP="004D2391">
          <w:pPr>
            <w:pStyle w:val="HeaderText"/>
            <w:jc w:val="right"/>
            <w:rPr>
              <w:sz w:val="16"/>
            </w:rPr>
          </w:pPr>
          <w:r w:rsidRPr="004D2391">
            <w:t>7 septembre 2015</w:t>
          </w:r>
        </w:p>
      </w:tc>
    </w:tr>
  </w:tbl>
  <w:p w:rsidR="00D06C98" w:rsidRPr="004D2391" w:rsidRDefault="00D06C98" w:rsidP="004D239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lvlOverride w:ilvl="0">
      <w:startOverride w:val="1"/>
    </w:lvlOverride>
  </w:num>
  <w:num w:numId="2">
    <w:abstractNumId w:val="4"/>
    <w:lvlOverride w:ilvl="0">
      <w:startOverride w:val="1"/>
    </w:lvlOverride>
  </w:num>
  <w:num w:numId="3">
    <w:abstractNumId w:val="9"/>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3"/>
  </w:num>
  <w:num w:numId="10">
    <w:abstractNumId w:val="2"/>
  </w:num>
  <w:num w:numId="11">
    <w:abstractNumId w:val="3"/>
  </w:num>
  <w:num w:numId="12">
    <w:abstractNumId w:val="11"/>
  </w:num>
  <w:num w:numId="13">
    <w:abstractNumId w:val="8"/>
  </w:num>
  <w:num w:numId="14">
    <w:abstractNumId w:val="0"/>
  </w:num>
  <w:num w:numId="15">
    <w:abstractNumId w:val="14"/>
  </w:num>
  <w:num w:numId="16">
    <w:abstractNumId w:val="10"/>
  </w:num>
  <w:num w:numId="17">
    <w:abstractNumId w:val="9"/>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d67a028b-009d-487b-a5d0-4fe7d89185c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173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1&lt;/text&gt;_x000d__x000a_      &lt;text&gt;PR CO 4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agriculture, de la viticulture &amp;#xD;&amp;#xA;et de la protection des consommateurs&quot; name=&quot;Fernand Etgen&quot; text=&quot;Fernand Etgen, Ministre de l'agriculture, de la viticulture  et de la protection des consommateurs&quot; genderKeyBds=&quot;gend_01&quot; /&gt;_x000d__x000a_    &lt;/presidents&gt;_x000d__x000a_  &lt;/metadata&gt;_x000d__x000a_  &lt;metadata key=&quot;md_MeetingNumber&quot;&gt;_x000d__x000a_    &lt;text&gt;3406&lt;/text&gt;_x000d__x000a_  &lt;/metadata&gt;_x000d__x000a_  &lt;metadata key=&quot;md_CouncilConfiguration&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9-07&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D06C98"/>
    <w:rsid w:val="00035E1C"/>
    <w:rsid w:val="000A63B0"/>
    <w:rsid w:val="000B431F"/>
    <w:rsid w:val="00103BD5"/>
    <w:rsid w:val="00144349"/>
    <w:rsid w:val="001D0A31"/>
    <w:rsid w:val="001E5CCF"/>
    <w:rsid w:val="0022723D"/>
    <w:rsid w:val="002E11E5"/>
    <w:rsid w:val="00335D39"/>
    <w:rsid w:val="003946C8"/>
    <w:rsid w:val="00396B46"/>
    <w:rsid w:val="004A5E02"/>
    <w:rsid w:val="004D2391"/>
    <w:rsid w:val="00513158"/>
    <w:rsid w:val="00546259"/>
    <w:rsid w:val="005709CC"/>
    <w:rsid w:val="005C47A5"/>
    <w:rsid w:val="005D1634"/>
    <w:rsid w:val="00604DAD"/>
    <w:rsid w:val="006111F0"/>
    <w:rsid w:val="0063572F"/>
    <w:rsid w:val="00662899"/>
    <w:rsid w:val="00686400"/>
    <w:rsid w:val="006A56D8"/>
    <w:rsid w:val="006C6DE0"/>
    <w:rsid w:val="006E2F9D"/>
    <w:rsid w:val="006F4E9F"/>
    <w:rsid w:val="007303A2"/>
    <w:rsid w:val="00751CD0"/>
    <w:rsid w:val="00793C71"/>
    <w:rsid w:val="007A5DA7"/>
    <w:rsid w:val="007C053B"/>
    <w:rsid w:val="00823232"/>
    <w:rsid w:val="008774FD"/>
    <w:rsid w:val="008856B3"/>
    <w:rsid w:val="00895676"/>
    <w:rsid w:val="008A6503"/>
    <w:rsid w:val="008C295E"/>
    <w:rsid w:val="008C5AF3"/>
    <w:rsid w:val="00926EAF"/>
    <w:rsid w:val="00A33747"/>
    <w:rsid w:val="00A36655"/>
    <w:rsid w:val="00A67613"/>
    <w:rsid w:val="00A76CDC"/>
    <w:rsid w:val="00AC4697"/>
    <w:rsid w:val="00B03546"/>
    <w:rsid w:val="00B34272"/>
    <w:rsid w:val="00B537E0"/>
    <w:rsid w:val="00B54BC9"/>
    <w:rsid w:val="00B94AC0"/>
    <w:rsid w:val="00BD54A3"/>
    <w:rsid w:val="00BE2CA6"/>
    <w:rsid w:val="00BE5070"/>
    <w:rsid w:val="00C43AA6"/>
    <w:rsid w:val="00C57AAC"/>
    <w:rsid w:val="00C70275"/>
    <w:rsid w:val="00C76AAB"/>
    <w:rsid w:val="00CA0D26"/>
    <w:rsid w:val="00CC4EFE"/>
    <w:rsid w:val="00D06C98"/>
    <w:rsid w:val="00D45C7C"/>
    <w:rsid w:val="00DE2F71"/>
    <w:rsid w:val="00E3664C"/>
    <w:rsid w:val="00E67D4D"/>
    <w:rsid w:val="00E737DC"/>
    <w:rsid w:val="00EB6DBF"/>
    <w:rsid w:val="00F4072A"/>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06C98"/>
    <w:pPr>
      <w:spacing w:before="0" w:after="440"/>
      <w:ind w:left="-1134" w:right="-1134"/>
    </w:pPr>
    <w:rPr>
      <w:sz w:val="2"/>
    </w:rPr>
  </w:style>
  <w:style w:type="character" w:customStyle="1" w:styleId="TechnicalBlockChar">
    <w:name w:val="Technical Block Char"/>
    <w:basedOn w:val="DefaultParagraphFont"/>
    <w:rsid w:val="00D06C98"/>
    <w:rPr>
      <w:sz w:val="24"/>
      <w:szCs w:val="24"/>
      <w:lang w:val="fr-FR" w:eastAsia="fr-FR"/>
    </w:rPr>
  </w:style>
  <w:style w:type="character" w:customStyle="1" w:styleId="HeaderCouncilLargeChar">
    <w:name w:val="Header Council Large Char"/>
    <w:basedOn w:val="TechnicalBlockChar"/>
    <w:link w:val="HeaderCouncilLarge"/>
    <w:rsid w:val="00D06C98"/>
    <w:rPr>
      <w:sz w:val="2"/>
      <w:szCs w:val="24"/>
      <w:lang w:val="fr-FR" w:eastAsia="fr-FR"/>
    </w:rPr>
  </w:style>
  <w:style w:type="paragraph" w:customStyle="1" w:styleId="FooterText">
    <w:name w:val="Footer Text"/>
    <w:basedOn w:val="Normal"/>
    <w:rsid w:val="00D06C98"/>
    <w:pPr>
      <w:spacing w:before="0" w:after="0"/>
    </w:pPr>
  </w:style>
  <w:style w:type="paragraph" w:customStyle="1" w:styleId="FooterAddressText">
    <w:name w:val="Footer Address Text"/>
    <w:basedOn w:val="FooterText"/>
    <w:qFormat/>
    <w:rsid w:val="00D06C98"/>
    <w:pPr>
      <w:jc w:val="center"/>
    </w:pPr>
    <w:rPr>
      <w:spacing w:val="10"/>
      <w:sz w:val="16"/>
      <w:szCs w:val="16"/>
    </w:rPr>
  </w:style>
  <w:style w:type="character" w:styleId="Hyperlink">
    <w:name w:val="Hyperlink"/>
    <w:basedOn w:val="DefaultParagraphFont"/>
    <w:uiPriority w:val="99"/>
    <w:unhideWhenUsed/>
    <w:qFormat/>
    <w:rsid w:val="00D06C98"/>
    <w:rPr>
      <w:color w:val="0000FF" w:themeColor="hyperlink"/>
      <w:u w:val="single"/>
    </w:rPr>
  </w:style>
  <w:style w:type="paragraph" w:customStyle="1" w:styleId="HeaderText">
    <w:name w:val="Header Text"/>
    <w:basedOn w:val="Normal"/>
    <w:rsid w:val="00D06C98"/>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A5E02"/>
    <w:rPr>
      <w:lang w:val="fr-FR" w:eastAsia="fr-FR"/>
    </w:rPr>
  </w:style>
  <w:style w:type="paragraph" w:styleId="CommentSubject">
    <w:name w:val="annotation subject"/>
    <w:basedOn w:val="CommentText"/>
    <w:next w:val="CommentText"/>
    <w:link w:val="CommentSubjectChar"/>
    <w:uiPriority w:val="99"/>
    <w:semiHidden/>
    <w:unhideWhenUsed/>
    <w:rsid w:val="004A5E02"/>
    <w:rPr>
      <w:b/>
      <w:bCs/>
    </w:rPr>
  </w:style>
  <w:style w:type="character" w:customStyle="1" w:styleId="CommentSubjectChar">
    <w:name w:val="Comment Subject Char"/>
    <w:basedOn w:val="CommentTextChar"/>
    <w:link w:val="CommentSubject"/>
    <w:uiPriority w:val="99"/>
    <w:semiHidden/>
    <w:rsid w:val="004A5E02"/>
    <w:rPr>
      <w:b/>
      <w:bCs/>
      <w:lang w:val="fr-FR" w:eastAsia="fr-FR"/>
    </w:rPr>
  </w:style>
  <w:style w:type="paragraph" w:styleId="BalloonText">
    <w:name w:val="Balloon Text"/>
    <w:basedOn w:val="Normal"/>
    <w:link w:val="BalloonTextChar"/>
    <w:uiPriority w:val="99"/>
    <w:semiHidden/>
    <w:unhideWhenUsed/>
    <w:rsid w:val="004A5E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E02"/>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uiPriority w:val="39"/>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D2391"/>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6111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06C98"/>
    <w:pPr>
      <w:spacing w:before="0" w:after="440"/>
      <w:ind w:left="-1134" w:right="-1134"/>
    </w:pPr>
    <w:rPr>
      <w:sz w:val="2"/>
    </w:rPr>
  </w:style>
  <w:style w:type="character" w:customStyle="1" w:styleId="TechnicalBlockChar">
    <w:name w:val="Technical Block Char"/>
    <w:basedOn w:val="DefaultParagraphFont"/>
    <w:rsid w:val="00D06C98"/>
    <w:rPr>
      <w:sz w:val="24"/>
      <w:szCs w:val="24"/>
      <w:lang w:val="fr-FR" w:eastAsia="fr-FR"/>
    </w:rPr>
  </w:style>
  <w:style w:type="character" w:customStyle="1" w:styleId="HeaderCouncilLargeChar">
    <w:name w:val="Header Council Large Char"/>
    <w:basedOn w:val="TechnicalBlockChar"/>
    <w:link w:val="HeaderCouncilLarge"/>
    <w:rsid w:val="00D06C98"/>
    <w:rPr>
      <w:sz w:val="2"/>
      <w:szCs w:val="24"/>
      <w:lang w:val="fr-FR" w:eastAsia="fr-FR"/>
    </w:rPr>
  </w:style>
  <w:style w:type="paragraph" w:customStyle="1" w:styleId="FooterText">
    <w:name w:val="Footer Text"/>
    <w:basedOn w:val="Normal"/>
    <w:rsid w:val="00D06C98"/>
    <w:pPr>
      <w:spacing w:before="0" w:after="0"/>
    </w:pPr>
  </w:style>
  <w:style w:type="paragraph" w:customStyle="1" w:styleId="FooterAddressText">
    <w:name w:val="Footer Address Text"/>
    <w:basedOn w:val="FooterText"/>
    <w:qFormat/>
    <w:rsid w:val="00D06C98"/>
    <w:pPr>
      <w:jc w:val="center"/>
    </w:pPr>
    <w:rPr>
      <w:spacing w:val="10"/>
      <w:sz w:val="16"/>
      <w:szCs w:val="16"/>
    </w:rPr>
  </w:style>
  <w:style w:type="character" w:styleId="Hyperlink">
    <w:name w:val="Hyperlink"/>
    <w:basedOn w:val="DefaultParagraphFont"/>
    <w:uiPriority w:val="99"/>
    <w:unhideWhenUsed/>
    <w:qFormat/>
    <w:rsid w:val="00D06C98"/>
    <w:rPr>
      <w:color w:val="0000FF" w:themeColor="hyperlink"/>
      <w:u w:val="single"/>
    </w:rPr>
  </w:style>
  <w:style w:type="paragraph" w:customStyle="1" w:styleId="HeaderText">
    <w:name w:val="Header Text"/>
    <w:basedOn w:val="Normal"/>
    <w:rsid w:val="00D06C98"/>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A5E02"/>
    <w:rPr>
      <w:lang w:val="fr-FR" w:eastAsia="fr-FR"/>
    </w:rPr>
  </w:style>
  <w:style w:type="paragraph" w:styleId="CommentSubject">
    <w:name w:val="annotation subject"/>
    <w:basedOn w:val="CommentText"/>
    <w:next w:val="CommentText"/>
    <w:link w:val="CommentSubjectChar"/>
    <w:uiPriority w:val="99"/>
    <w:semiHidden/>
    <w:unhideWhenUsed/>
    <w:rsid w:val="004A5E02"/>
    <w:rPr>
      <w:b/>
      <w:bCs/>
    </w:rPr>
  </w:style>
  <w:style w:type="character" w:customStyle="1" w:styleId="CommentSubjectChar">
    <w:name w:val="Comment Subject Char"/>
    <w:basedOn w:val="CommentTextChar"/>
    <w:link w:val="CommentSubject"/>
    <w:uiPriority w:val="99"/>
    <w:semiHidden/>
    <w:rsid w:val="004A5E02"/>
    <w:rPr>
      <w:b/>
      <w:bCs/>
      <w:lang w:val="fr-FR" w:eastAsia="fr-FR"/>
    </w:rPr>
  </w:style>
  <w:style w:type="paragraph" w:styleId="BalloonText">
    <w:name w:val="Balloon Text"/>
    <w:basedOn w:val="Normal"/>
    <w:link w:val="BalloonTextChar"/>
    <w:uiPriority w:val="99"/>
    <w:semiHidden/>
    <w:unhideWhenUsed/>
    <w:rsid w:val="004A5E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E02"/>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uiPriority w:val="39"/>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D2391"/>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6111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data.consilium.europa.eu/doc/document/ST-11593-2015-INIT/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1555-2015-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data.consilium.europa.eu/doc/document/ST-11588-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BA9A-EF08-4457-9DC4-BCEC6563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6</TotalTime>
  <Pages>6</Pages>
  <Words>1041</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CARNEIRO Suzana Claudia</cp:lastModifiedBy>
  <cp:revision>6</cp:revision>
  <cp:lastPrinted>2015-10-29T08:54:00Z</cp:lastPrinted>
  <dcterms:created xsi:type="dcterms:W3CDTF">2015-10-29T08:51:00Z</dcterms:created>
  <dcterms:modified xsi:type="dcterms:W3CDTF">2015-10-29T13:00:00Z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ies>
</file>