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84" w:rsidRPr="00A27C5B" w:rsidRDefault="00A27C5B" w:rsidP="00EE301D">
      <w:pPr>
        <w:pStyle w:val="TechnicalBlock"/>
        <w:ind w:left="-1134" w:right="-1134"/>
        <w:rPr>
          <w:lang w:val="fr-FR"/>
        </w:rPr>
      </w:pPr>
      <w:bookmarkStart w:id="0" w:name="DW_BM_COVERPAGE"/>
      <w:r w:rsidRPr="00A27C5B">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d15a341-1269-4e7b-9e55-77e60d836de2_0" style="width:569pt;height:490pt">
            <v:imagedata r:id="rId9" o:title=""/>
          </v:shape>
        </w:pict>
      </w:r>
      <w:bookmarkEnd w:id="0"/>
    </w:p>
    <w:p w:rsidR="001C3B5F" w:rsidRPr="00A27C5B" w:rsidRDefault="001C3B5F" w:rsidP="00B120CC">
      <w:pPr>
        <w:widowControl w:val="0"/>
        <w:spacing w:before="240" w:line="360" w:lineRule="auto"/>
        <w:rPr>
          <w:szCs w:val="20"/>
          <w:lang w:val="fr-FR" w:eastAsia="fr-BE"/>
        </w:rPr>
      </w:pPr>
      <w:r w:rsidRPr="00A27C5B">
        <w:rPr>
          <w:b/>
          <w:bCs/>
          <w:szCs w:val="20"/>
          <w:lang w:val="fr-FR" w:eastAsia="fr-BE"/>
        </w:rPr>
        <w:t>A.</w:t>
      </w:r>
      <w:r w:rsidRPr="00A27C5B">
        <w:rPr>
          <w:b/>
          <w:bCs/>
          <w:szCs w:val="20"/>
          <w:lang w:val="fr-FR" w:eastAsia="fr-BE"/>
        </w:rPr>
        <w:tab/>
      </w:r>
      <w:r w:rsidRPr="00A27C5B">
        <w:rPr>
          <w:b/>
          <w:bCs/>
          <w:szCs w:val="20"/>
          <w:u w:val="single"/>
          <w:lang w:val="fr-FR" w:eastAsia="fr-BE"/>
        </w:rPr>
        <w:t>JEUDI 3 D</w:t>
      </w:r>
      <w:r w:rsidR="0064395A" w:rsidRPr="00A27C5B">
        <w:rPr>
          <w:b/>
          <w:bCs/>
          <w:szCs w:val="20"/>
          <w:u w:val="single"/>
          <w:lang w:val="fr-FR" w:eastAsia="fr-BE"/>
        </w:rPr>
        <w:t>É</w:t>
      </w:r>
      <w:r w:rsidRPr="00A27C5B">
        <w:rPr>
          <w:b/>
          <w:bCs/>
          <w:szCs w:val="20"/>
          <w:u w:val="single"/>
          <w:lang w:val="fr-FR" w:eastAsia="fr-BE"/>
        </w:rPr>
        <w:t>CEMBRE 2015 (10</w:t>
      </w:r>
      <w:r w:rsidR="00397D2A" w:rsidRPr="00A27C5B">
        <w:rPr>
          <w:b/>
          <w:bCs/>
          <w:szCs w:val="20"/>
          <w:u w:val="single"/>
          <w:lang w:val="fr-FR" w:eastAsia="fr-BE"/>
        </w:rPr>
        <w:t>:</w:t>
      </w:r>
      <w:r w:rsidRPr="00A27C5B">
        <w:rPr>
          <w:b/>
          <w:bCs/>
          <w:szCs w:val="20"/>
          <w:u w:val="single"/>
          <w:lang w:val="fr-FR" w:eastAsia="fr-BE"/>
        </w:rPr>
        <w:t>00)</w:t>
      </w:r>
      <w:r w:rsidRPr="00A27C5B">
        <w:rPr>
          <w:szCs w:val="20"/>
          <w:lang w:val="fr-FR" w:eastAsia="fr-BE"/>
        </w:rPr>
        <w:t xml:space="preserve"> </w:t>
      </w:r>
    </w:p>
    <w:p w:rsidR="001C3B5F" w:rsidRPr="00A27C5B" w:rsidRDefault="001C3B5F" w:rsidP="00B120CC">
      <w:pPr>
        <w:spacing w:before="120"/>
        <w:rPr>
          <w:b/>
          <w:bCs/>
          <w:u w:val="single"/>
          <w:lang w:val="fr-FR"/>
        </w:rPr>
      </w:pPr>
      <w:r w:rsidRPr="00A27C5B">
        <w:rPr>
          <w:b/>
          <w:bCs/>
          <w:u w:val="single"/>
          <w:lang w:val="fr-FR"/>
        </w:rPr>
        <w:t>JUSTICE</w:t>
      </w:r>
    </w:p>
    <w:p w:rsidR="001C3B5F" w:rsidRPr="00A27C5B" w:rsidRDefault="001C3B5F" w:rsidP="00A64E86">
      <w:pPr>
        <w:pStyle w:val="PointManual"/>
        <w:spacing w:before="360"/>
        <w:rPr>
          <w:lang w:val="fr-FR"/>
        </w:rPr>
      </w:pPr>
      <w:r w:rsidRPr="00A27C5B">
        <w:rPr>
          <w:lang w:val="fr-FR"/>
        </w:rPr>
        <w:t>-</w:t>
      </w:r>
      <w:r w:rsidRPr="00A27C5B">
        <w:rPr>
          <w:lang w:val="fr-FR"/>
        </w:rPr>
        <w:tab/>
        <w:t>Adoption de l'ordre du jour provisoire</w:t>
      </w:r>
    </w:p>
    <w:p w:rsidR="001C3B5F" w:rsidRPr="00A27C5B" w:rsidRDefault="001C3B5F" w:rsidP="00397D2A">
      <w:pPr>
        <w:pStyle w:val="Title"/>
        <w:rPr>
          <w:i w:val="0"/>
          <w:iCs/>
          <w:lang w:val="fr-FR"/>
        </w:rPr>
      </w:pPr>
      <w:r w:rsidRPr="00A27C5B">
        <w:rPr>
          <w:i w:val="0"/>
          <w:iCs/>
          <w:lang w:val="fr-FR"/>
        </w:rPr>
        <w:t>Délibérations législatives</w:t>
      </w:r>
    </w:p>
    <w:p w:rsidR="001C3B5F" w:rsidRPr="00A27C5B" w:rsidRDefault="001C3B5F" w:rsidP="00B1784D">
      <w:pPr>
        <w:pStyle w:val="PointManual"/>
        <w:spacing w:before="240"/>
        <w:rPr>
          <w:lang w:val="fr-FR"/>
        </w:rPr>
      </w:pPr>
      <w:r w:rsidRPr="00A27C5B">
        <w:rPr>
          <w:lang w:val="fr-FR"/>
        </w:rPr>
        <w:t>-</w:t>
      </w:r>
      <w:r w:rsidRPr="00A27C5B">
        <w:rPr>
          <w:lang w:val="fr-FR"/>
        </w:rPr>
        <w:tab/>
        <w:t>Approbation de la liste des points "A"</w:t>
      </w:r>
    </w:p>
    <w:p w:rsidR="001C3B5F" w:rsidRPr="00A27C5B" w:rsidRDefault="00397D2A" w:rsidP="00A64E86">
      <w:pPr>
        <w:pStyle w:val="PointManual"/>
        <w:spacing w:before="360"/>
        <w:rPr>
          <w:lang w:val="fr-FR"/>
        </w:rPr>
      </w:pPr>
      <w:r w:rsidRPr="00A27C5B">
        <w:rPr>
          <w:lang w:val="fr-FR"/>
        </w:rPr>
        <w:br w:type="page"/>
      </w:r>
      <w:r w:rsidR="001C3B5F" w:rsidRPr="00A27C5B">
        <w:rPr>
          <w:lang w:val="fr-FR"/>
        </w:rPr>
        <w:lastRenderedPageBreak/>
        <w:t>-</w:t>
      </w:r>
      <w:r w:rsidR="001C3B5F" w:rsidRPr="00A27C5B">
        <w:rPr>
          <w:lang w:val="fr-FR"/>
        </w:rPr>
        <w:tab/>
        <w:t>Proposition de règlement du Parlement européen et du Conseil visant à favoriser la libre circulation des citoyens et des entreprises en simplifiant l'acceptation de certains documents publics dans l'Union européenne, et modifiant le règlement (UE) n°</w:t>
      </w:r>
      <w:r w:rsidR="0033149A" w:rsidRPr="00A27C5B">
        <w:rPr>
          <w:lang w:val="fr-FR"/>
        </w:rPr>
        <w:t xml:space="preserve"> </w:t>
      </w:r>
      <w:r w:rsidR="001C3B5F" w:rsidRPr="00A27C5B">
        <w:rPr>
          <w:lang w:val="fr-FR"/>
        </w:rPr>
        <w:t>1024/2012</w:t>
      </w:r>
    </w:p>
    <w:p w:rsidR="001C3B5F" w:rsidRPr="00A27C5B" w:rsidRDefault="001C3B5F" w:rsidP="001C3B5F">
      <w:pPr>
        <w:tabs>
          <w:tab w:val="num" w:pos="567"/>
        </w:tabs>
        <w:ind w:left="851" w:hanging="284"/>
        <w:rPr>
          <w:b/>
          <w:bCs/>
          <w:lang w:val="fr-FR"/>
        </w:rPr>
      </w:pPr>
      <w:r w:rsidRPr="00A27C5B">
        <w:rPr>
          <w:b/>
          <w:bCs/>
          <w:lang w:val="fr-FR"/>
        </w:rPr>
        <w:t xml:space="preserve">(première lecture) </w:t>
      </w:r>
    </w:p>
    <w:p w:rsidR="001C3B5F" w:rsidRPr="00A27C5B" w:rsidRDefault="001C3B5F" w:rsidP="00397D2A">
      <w:pPr>
        <w:pStyle w:val="DashEqual1"/>
        <w:rPr>
          <w:lang w:val="fr-FR"/>
        </w:rPr>
      </w:pPr>
      <w:r w:rsidRPr="00A27C5B">
        <w:rPr>
          <w:lang w:val="fr-FR"/>
        </w:rPr>
        <w:t>Accord politique</w:t>
      </w:r>
    </w:p>
    <w:p w:rsidR="001C3B5F" w:rsidRPr="00A27C5B" w:rsidRDefault="001C3B5F" w:rsidP="00C104C8">
      <w:pPr>
        <w:pStyle w:val="PointManual"/>
        <w:spacing w:before="360"/>
        <w:rPr>
          <w:lang w:val="fr-FR"/>
        </w:rPr>
      </w:pPr>
      <w:r w:rsidRPr="00A27C5B">
        <w:rPr>
          <w:i/>
          <w:iCs/>
          <w:color w:val="0070C0"/>
          <w:lang w:val="fr-FR"/>
        </w:rPr>
        <w:t>-</w:t>
      </w:r>
      <w:r w:rsidRPr="00A27C5B">
        <w:rPr>
          <w:i/>
          <w:iCs/>
          <w:color w:val="0070C0"/>
          <w:lang w:val="fr-FR"/>
        </w:rPr>
        <w:tab/>
      </w:r>
      <w:r w:rsidRPr="00A27C5B">
        <w:rPr>
          <w:lang w:val="fr-FR"/>
        </w:rPr>
        <w:t xml:space="preserve">Proposition de </w:t>
      </w:r>
      <w:r w:rsidR="00C104C8" w:rsidRPr="00A27C5B">
        <w:rPr>
          <w:lang w:val="fr-FR"/>
        </w:rPr>
        <w:t>d</w:t>
      </w:r>
      <w:r w:rsidRPr="00A27C5B">
        <w:rPr>
          <w:lang w:val="fr-FR"/>
        </w:rPr>
        <w:t>irective du Parlement européen et du Conseil relative à la lutte contre la fraude portant atteinte aux intérêts financiers de l'Union au moyen du droit pénal</w:t>
      </w:r>
    </w:p>
    <w:p w:rsidR="001C3B5F" w:rsidRPr="00A27C5B" w:rsidRDefault="001C3B5F" w:rsidP="001C3B5F">
      <w:pPr>
        <w:tabs>
          <w:tab w:val="num" w:pos="567"/>
        </w:tabs>
        <w:ind w:left="851" w:hanging="284"/>
        <w:rPr>
          <w:b/>
          <w:bCs/>
          <w:lang w:val="fr-FR"/>
        </w:rPr>
      </w:pPr>
      <w:r w:rsidRPr="00A27C5B">
        <w:rPr>
          <w:b/>
          <w:bCs/>
          <w:lang w:val="fr-FR"/>
        </w:rPr>
        <w:t xml:space="preserve">(première lecture) </w:t>
      </w:r>
    </w:p>
    <w:p w:rsidR="001C3B5F" w:rsidRPr="00A27C5B" w:rsidRDefault="001C3B5F" w:rsidP="00397D2A">
      <w:pPr>
        <w:pStyle w:val="DashEqual1"/>
        <w:rPr>
          <w:lang w:val="fr-FR"/>
        </w:rPr>
      </w:pPr>
      <w:r w:rsidRPr="00A27C5B">
        <w:rPr>
          <w:lang w:val="fr-FR"/>
        </w:rPr>
        <w:t>Rapport sur l'état des travaux</w:t>
      </w:r>
    </w:p>
    <w:p w:rsidR="001C3B5F" w:rsidRPr="00A27C5B" w:rsidRDefault="001C3B5F" w:rsidP="00A64E86">
      <w:pPr>
        <w:pStyle w:val="PointManual"/>
        <w:spacing w:before="360"/>
        <w:rPr>
          <w:rFonts w:eastAsia="Calibri"/>
          <w:lang w:val="fr-FR"/>
        </w:rPr>
      </w:pPr>
      <w:r w:rsidRPr="00A27C5B">
        <w:rPr>
          <w:lang w:val="fr-FR"/>
        </w:rPr>
        <w:t>-</w:t>
      </w:r>
      <w:r w:rsidRPr="00A27C5B">
        <w:rPr>
          <w:lang w:val="fr-FR"/>
        </w:rPr>
        <w:tab/>
        <w:t>Proposition</w:t>
      </w:r>
      <w:r w:rsidRPr="00A27C5B">
        <w:rPr>
          <w:rFonts w:eastAsia="Calibri"/>
          <w:lang w:val="fr-FR"/>
        </w:rPr>
        <w:t xml:space="preserve"> de règlement du Conseil portant création du Parquet européen</w:t>
      </w:r>
    </w:p>
    <w:p w:rsidR="001C3B5F" w:rsidRPr="00A27C5B" w:rsidRDefault="001C3B5F" w:rsidP="00397D2A">
      <w:pPr>
        <w:pStyle w:val="DashEqual1"/>
        <w:rPr>
          <w:rFonts w:eastAsia="Calibri"/>
          <w:lang w:val="fr-FR"/>
        </w:rPr>
      </w:pPr>
      <w:r w:rsidRPr="00A27C5B">
        <w:rPr>
          <w:lang w:val="fr-FR"/>
        </w:rPr>
        <w:t>Orientation</w:t>
      </w:r>
      <w:r w:rsidRPr="00A27C5B">
        <w:rPr>
          <w:rFonts w:eastAsia="Calibri"/>
          <w:lang w:val="fr-FR"/>
        </w:rPr>
        <w:t xml:space="preserve"> générale partielle</w:t>
      </w:r>
    </w:p>
    <w:p w:rsidR="001C3B5F" w:rsidRPr="00A27C5B" w:rsidRDefault="001C3B5F" w:rsidP="00A64E86">
      <w:pPr>
        <w:pStyle w:val="PointManual"/>
        <w:spacing w:before="360"/>
        <w:rPr>
          <w:lang w:val="fr-FR"/>
        </w:rPr>
      </w:pPr>
      <w:r w:rsidRPr="00A27C5B">
        <w:rPr>
          <w:lang w:val="fr-FR"/>
        </w:rPr>
        <w:t>-</w:t>
      </w:r>
      <w:r w:rsidRPr="00A27C5B">
        <w:rPr>
          <w:lang w:val="fr-FR"/>
        </w:rPr>
        <w:tab/>
        <w:t>Proposition de règlement du Conseil relatif à la compétence, la loi applicable, la reconnaissance et l'exécution des décisions en matière de régimes matrimoniaux</w:t>
      </w:r>
    </w:p>
    <w:p w:rsidR="00A04661" w:rsidRPr="00A27C5B" w:rsidRDefault="00A04661" w:rsidP="00A04661">
      <w:pPr>
        <w:pStyle w:val="DashEqual1"/>
        <w:rPr>
          <w:rFonts w:eastAsia="Calibri"/>
          <w:lang w:val="fr-FR"/>
        </w:rPr>
      </w:pPr>
      <w:r w:rsidRPr="00A27C5B">
        <w:rPr>
          <w:rFonts w:eastAsia="Calibri"/>
          <w:lang w:val="fr-FR"/>
        </w:rPr>
        <w:t>Accord politique</w:t>
      </w:r>
    </w:p>
    <w:p w:rsidR="001C3B5F" w:rsidRPr="00A27C5B" w:rsidRDefault="001C3B5F" w:rsidP="00A64E86">
      <w:pPr>
        <w:pStyle w:val="PointManual"/>
        <w:spacing w:before="360"/>
        <w:rPr>
          <w:lang w:val="fr-FR"/>
        </w:rPr>
      </w:pPr>
      <w:r w:rsidRPr="00A27C5B">
        <w:rPr>
          <w:lang w:val="fr-FR"/>
        </w:rPr>
        <w:t>-</w:t>
      </w:r>
      <w:r w:rsidRPr="00A27C5B">
        <w:rPr>
          <w:lang w:val="fr-FR"/>
        </w:rPr>
        <w:tab/>
        <w:t>Proposition de règlement du Conseil relatif à la compétence, la loi applicable, la reconnaissance et l'exécution des décisions en matière d'effets patrimoniaux des partenariats enregistrés</w:t>
      </w:r>
    </w:p>
    <w:p w:rsidR="00A04661" w:rsidRPr="00A27C5B" w:rsidRDefault="00A04661" w:rsidP="00A04661">
      <w:pPr>
        <w:pStyle w:val="DashEqual1"/>
        <w:rPr>
          <w:rFonts w:eastAsia="Calibri"/>
          <w:lang w:val="fr-FR"/>
        </w:rPr>
      </w:pPr>
      <w:r w:rsidRPr="00A27C5B">
        <w:rPr>
          <w:rFonts w:eastAsia="Calibri"/>
          <w:lang w:val="fr-FR"/>
        </w:rPr>
        <w:t>Accord politique</w:t>
      </w:r>
    </w:p>
    <w:p w:rsidR="001C3B5F" w:rsidRPr="00A27C5B" w:rsidRDefault="001C3B5F" w:rsidP="00A64E86">
      <w:pPr>
        <w:pStyle w:val="PointManual"/>
        <w:spacing w:before="360"/>
        <w:rPr>
          <w:lang w:val="fr-FR"/>
        </w:rPr>
      </w:pPr>
      <w:r w:rsidRPr="00A27C5B">
        <w:rPr>
          <w:lang w:val="fr-FR"/>
        </w:rPr>
        <w:t>-</w:t>
      </w:r>
      <w:r w:rsidRPr="00A27C5B">
        <w:rPr>
          <w:lang w:val="fr-FR"/>
        </w:rPr>
        <w:tab/>
        <w:t>Divers</w:t>
      </w:r>
    </w:p>
    <w:p w:rsidR="001C3B5F" w:rsidRPr="00A27C5B" w:rsidRDefault="001C3B5F" w:rsidP="00397D2A">
      <w:pPr>
        <w:pStyle w:val="DashEqual1"/>
        <w:tabs>
          <w:tab w:val="left" w:pos="1134"/>
          <w:tab w:val="num" w:pos="1844"/>
        </w:tabs>
        <w:rPr>
          <w:lang w:val="fr-FR"/>
        </w:rPr>
      </w:pPr>
      <w:r w:rsidRPr="00A27C5B">
        <w:rPr>
          <w:lang w:val="fr-FR"/>
        </w:rPr>
        <w:t>Informations communiquées par la présidence au sujet des propositions législatives en cours d'examen</w:t>
      </w:r>
    </w:p>
    <w:p w:rsidR="001C3B5F" w:rsidRPr="00A27C5B" w:rsidRDefault="001C3B5F" w:rsidP="00397D2A">
      <w:pPr>
        <w:pStyle w:val="Title"/>
        <w:rPr>
          <w:i w:val="0"/>
          <w:iCs/>
          <w:lang w:val="fr-FR"/>
        </w:rPr>
      </w:pPr>
      <w:r w:rsidRPr="00A27C5B">
        <w:rPr>
          <w:i w:val="0"/>
          <w:iCs/>
          <w:lang w:val="fr-FR"/>
        </w:rPr>
        <w:t>Activités non législatives</w:t>
      </w:r>
    </w:p>
    <w:p w:rsidR="001C3B5F" w:rsidRPr="00A27C5B" w:rsidRDefault="001C3B5F" w:rsidP="00A64E86">
      <w:pPr>
        <w:pStyle w:val="PointManual"/>
        <w:spacing w:before="240"/>
        <w:rPr>
          <w:lang w:val="fr-FR" w:eastAsia="en-GB"/>
        </w:rPr>
      </w:pPr>
      <w:r w:rsidRPr="00A27C5B">
        <w:rPr>
          <w:lang w:val="fr-FR" w:eastAsia="en-GB"/>
        </w:rPr>
        <w:t>-</w:t>
      </w:r>
      <w:r w:rsidRPr="00A27C5B">
        <w:rPr>
          <w:lang w:val="fr-FR" w:eastAsia="en-GB"/>
        </w:rPr>
        <w:tab/>
        <w:t>Approbation de la liste des points "A"</w:t>
      </w:r>
    </w:p>
    <w:p w:rsidR="001C3B5F" w:rsidRPr="00A27C5B" w:rsidRDefault="001C3B5F" w:rsidP="00A64E86">
      <w:pPr>
        <w:pStyle w:val="PointManual"/>
        <w:spacing w:before="360"/>
        <w:rPr>
          <w:lang w:val="fr-FR"/>
        </w:rPr>
      </w:pPr>
      <w:r w:rsidRPr="00A27C5B">
        <w:rPr>
          <w:lang w:val="fr-FR" w:eastAsia="en-GB"/>
        </w:rPr>
        <w:t>-</w:t>
      </w:r>
      <w:r w:rsidRPr="00A27C5B">
        <w:rPr>
          <w:lang w:val="fr-FR" w:eastAsia="en-GB"/>
        </w:rPr>
        <w:tab/>
      </w:r>
      <w:r w:rsidRPr="00A27C5B">
        <w:rPr>
          <w:lang w:val="fr-FR"/>
        </w:rPr>
        <w:t>Crise migratoire : aspects de coopération judiciaire et lutte contre la xénophobie</w:t>
      </w:r>
    </w:p>
    <w:p w:rsidR="001C3B5F" w:rsidRPr="00A27C5B" w:rsidRDefault="001C3B5F" w:rsidP="00397D2A">
      <w:pPr>
        <w:pStyle w:val="DashEqual1"/>
        <w:tabs>
          <w:tab w:val="left" w:pos="1134"/>
          <w:tab w:val="num" w:pos="1844"/>
        </w:tabs>
        <w:rPr>
          <w:lang w:val="fr-FR"/>
        </w:rPr>
      </w:pPr>
      <w:r w:rsidRPr="00A27C5B">
        <w:rPr>
          <w:lang w:val="fr-FR"/>
        </w:rPr>
        <w:t>Suivi des actions</w:t>
      </w:r>
    </w:p>
    <w:p w:rsidR="001C3B5F" w:rsidRPr="00A27C5B" w:rsidRDefault="001C3B5F" w:rsidP="00A64E86">
      <w:pPr>
        <w:pStyle w:val="PointManual"/>
        <w:spacing w:before="360"/>
        <w:rPr>
          <w:lang w:val="fr-FR"/>
        </w:rPr>
      </w:pPr>
      <w:r w:rsidRPr="00A27C5B">
        <w:rPr>
          <w:lang w:val="fr-FR" w:eastAsia="en-GB"/>
        </w:rPr>
        <w:t>-</w:t>
      </w:r>
      <w:r w:rsidRPr="00A27C5B">
        <w:rPr>
          <w:lang w:val="fr-FR" w:eastAsia="en-GB"/>
        </w:rPr>
        <w:tab/>
        <w:t xml:space="preserve">Lutte </w:t>
      </w:r>
      <w:r w:rsidRPr="00A27C5B">
        <w:rPr>
          <w:lang w:val="fr-FR"/>
        </w:rPr>
        <w:t>contre</w:t>
      </w:r>
      <w:r w:rsidRPr="00A27C5B">
        <w:rPr>
          <w:lang w:val="fr-FR" w:eastAsia="en-GB"/>
        </w:rPr>
        <w:t xml:space="preserve"> les disco</w:t>
      </w:r>
      <w:bookmarkStart w:id="1" w:name="_GoBack"/>
      <w:bookmarkEnd w:id="1"/>
      <w:r w:rsidRPr="00A27C5B">
        <w:rPr>
          <w:lang w:val="fr-FR" w:eastAsia="en-GB"/>
        </w:rPr>
        <w:t>urs de haine en ligne</w:t>
      </w:r>
    </w:p>
    <w:p w:rsidR="001C3B5F" w:rsidRPr="00A27C5B" w:rsidRDefault="001C3B5F" w:rsidP="00397D2A">
      <w:pPr>
        <w:pStyle w:val="DashEqual1"/>
        <w:tabs>
          <w:tab w:val="left" w:pos="1134"/>
          <w:tab w:val="num" w:pos="1844"/>
        </w:tabs>
        <w:rPr>
          <w:lang w:val="fr-FR"/>
        </w:rPr>
      </w:pPr>
      <w:r w:rsidRPr="00A27C5B">
        <w:rPr>
          <w:lang w:val="fr-FR"/>
        </w:rPr>
        <w:t>Débat général</w:t>
      </w:r>
    </w:p>
    <w:p w:rsidR="001C3B5F" w:rsidRPr="00A27C5B" w:rsidRDefault="001C3B5F" w:rsidP="00A64E86">
      <w:pPr>
        <w:pStyle w:val="PointManual"/>
        <w:spacing w:before="360"/>
        <w:rPr>
          <w:lang w:val="fr-FR"/>
        </w:rPr>
      </w:pPr>
      <w:r w:rsidRPr="00A27C5B">
        <w:rPr>
          <w:lang w:val="fr-FR"/>
        </w:rPr>
        <w:t>-</w:t>
      </w:r>
      <w:r w:rsidRPr="00A27C5B">
        <w:rPr>
          <w:lang w:val="fr-FR"/>
        </w:rPr>
        <w:tab/>
        <w:t>Assurer une justice pénale efficace à l'ère numérique: quels sont les besoins?</w:t>
      </w:r>
    </w:p>
    <w:p w:rsidR="001C3B5F" w:rsidRPr="00A27C5B" w:rsidRDefault="00397670" w:rsidP="00397D2A">
      <w:pPr>
        <w:pStyle w:val="DashEqual1"/>
        <w:tabs>
          <w:tab w:val="left" w:pos="1134"/>
          <w:tab w:val="num" w:pos="1844"/>
        </w:tabs>
        <w:rPr>
          <w:lang w:val="fr-FR"/>
        </w:rPr>
      </w:pPr>
      <w:r w:rsidRPr="00A27C5B">
        <w:rPr>
          <w:lang w:val="fr-FR"/>
        </w:rPr>
        <w:t>État</w:t>
      </w:r>
      <w:r w:rsidR="001C3B5F" w:rsidRPr="00A27C5B">
        <w:rPr>
          <w:lang w:val="fr-FR"/>
        </w:rPr>
        <w:t xml:space="preserve"> des travaux</w:t>
      </w:r>
    </w:p>
    <w:p w:rsidR="001C3B5F" w:rsidRPr="00A27C5B" w:rsidRDefault="001C3B5F" w:rsidP="00A64E86">
      <w:pPr>
        <w:pStyle w:val="PointManual"/>
        <w:spacing w:before="360"/>
        <w:rPr>
          <w:lang w:val="fr-FR"/>
        </w:rPr>
      </w:pPr>
      <w:r w:rsidRPr="00A27C5B">
        <w:rPr>
          <w:lang w:val="fr-FR"/>
        </w:rPr>
        <w:t>-</w:t>
      </w:r>
      <w:r w:rsidRPr="00A27C5B">
        <w:rPr>
          <w:lang w:val="fr-FR"/>
        </w:rPr>
        <w:tab/>
        <w:t>Conservation des données de communications électroniques</w:t>
      </w:r>
    </w:p>
    <w:p w:rsidR="001C3B5F" w:rsidRPr="00A27C5B" w:rsidRDefault="001C3B5F" w:rsidP="00397D2A">
      <w:pPr>
        <w:pStyle w:val="DashEqual1"/>
        <w:tabs>
          <w:tab w:val="left" w:pos="1134"/>
          <w:tab w:val="num" w:pos="1844"/>
        </w:tabs>
        <w:rPr>
          <w:lang w:val="fr-FR"/>
        </w:rPr>
      </w:pPr>
      <w:r w:rsidRPr="00A27C5B">
        <w:rPr>
          <w:lang w:val="fr-FR"/>
        </w:rPr>
        <w:t>Débat général</w:t>
      </w:r>
    </w:p>
    <w:p w:rsidR="001C3B5F" w:rsidRPr="00A27C5B" w:rsidRDefault="00C635FF" w:rsidP="00A64E86">
      <w:pPr>
        <w:pStyle w:val="PointManual"/>
        <w:spacing w:before="360"/>
        <w:rPr>
          <w:lang w:val="fr-FR"/>
        </w:rPr>
      </w:pPr>
      <w:r w:rsidRPr="00A27C5B">
        <w:rPr>
          <w:lang w:val="fr-FR"/>
        </w:rPr>
        <w:br w:type="page"/>
      </w:r>
      <w:r w:rsidR="001C3B5F" w:rsidRPr="00A27C5B">
        <w:rPr>
          <w:lang w:val="fr-FR"/>
        </w:rPr>
        <w:lastRenderedPageBreak/>
        <w:t>-</w:t>
      </w:r>
      <w:r w:rsidR="001C3B5F" w:rsidRPr="00A27C5B">
        <w:rPr>
          <w:lang w:val="fr-FR"/>
        </w:rPr>
        <w:tab/>
        <w:t>Divers</w:t>
      </w:r>
    </w:p>
    <w:p w:rsidR="001C3B5F" w:rsidRPr="00A27C5B" w:rsidRDefault="001C3B5F" w:rsidP="0033149A">
      <w:pPr>
        <w:pStyle w:val="PointManual1"/>
        <w:spacing w:before="120"/>
        <w:rPr>
          <w:lang w:val="fr-FR" w:eastAsia="fr-BE"/>
        </w:rPr>
      </w:pPr>
      <w:r w:rsidRPr="00A27C5B">
        <w:rPr>
          <w:lang w:val="fr-FR" w:eastAsia="fr-BE"/>
        </w:rPr>
        <w:t>a)</w:t>
      </w:r>
      <w:r w:rsidRPr="00A27C5B">
        <w:rPr>
          <w:lang w:val="fr-FR" w:eastAsia="fr-BE"/>
        </w:rPr>
        <w:tab/>
        <w:t xml:space="preserve">Relations avec les </w:t>
      </w:r>
      <w:r w:rsidR="0033149A" w:rsidRPr="00A27C5B">
        <w:rPr>
          <w:lang w:val="fr-FR" w:eastAsia="fr-BE"/>
        </w:rPr>
        <w:t>É</w:t>
      </w:r>
      <w:r w:rsidRPr="00A27C5B">
        <w:rPr>
          <w:lang w:val="fr-FR" w:eastAsia="fr-BE"/>
        </w:rPr>
        <w:t>tats-Unis</w:t>
      </w:r>
    </w:p>
    <w:p w:rsidR="001C3B5F" w:rsidRPr="00A27C5B" w:rsidRDefault="001C3B5F" w:rsidP="0033149A">
      <w:pPr>
        <w:pStyle w:val="Dash2"/>
        <w:rPr>
          <w:lang w:val="fr-FR" w:eastAsia="fr-BE"/>
        </w:rPr>
      </w:pPr>
      <w:r w:rsidRPr="00A27C5B">
        <w:rPr>
          <w:lang w:val="fr-FR" w:eastAsia="fr-BE"/>
        </w:rPr>
        <w:t xml:space="preserve">Réunion ministérielle JAI - Union européenne - </w:t>
      </w:r>
      <w:r w:rsidR="0033149A" w:rsidRPr="00A27C5B">
        <w:rPr>
          <w:lang w:val="fr-FR" w:eastAsia="fr-BE"/>
        </w:rPr>
        <w:t>É</w:t>
      </w:r>
      <w:r w:rsidRPr="00A27C5B">
        <w:rPr>
          <w:lang w:val="fr-FR" w:eastAsia="fr-BE"/>
        </w:rPr>
        <w:t>tats-Unis du 13 novembre 2015</w:t>
      </w:r>
    </w:p>
    <w:p w:rsidR="001C3B5F" w:rsidRPr="00A27C5B" w:rsidRDefault="001C3B5F" w:rsidP="00397D2A">
      <w:pPr>
        <w:pStyle w:val="DashEqual3"/>
        <w:rPr>
          <w:lang w:val="fr-FR" w:eastAsia="fr-BE"/>
        </w:rPr>
      </w:pPr>
      <w:r w:rsidRPr="00A27C5B">
        <w:rPr>
          <w:b/>
          <w:bCs/>
          <w:lang w:val="fr-FR"/>
        </w:rPr>
        <w:tab/>
      </w:r>
      <w:r w:rsidRPr="00A27C5B">
        <w:rPr>
          <w:lang w:val="fr-FR" w:eastAsia="fr-BE"/>
        </w:rPr>
        <w:t>Informations communiquées par la présidence</w:t>
      </w:r>
    </w:p>
    <w:p w:rsidR="001C3B5F" w:rsidRPr="00A27C5B" w:rsidRDefault="001C3B5F" w:rsidP="00397D2A">
      <w:pPr>
        <w:pStyle w:val="Dash2"/>
        <w:rPr>
          <w:lang w:val="fr-FR" w:eastAsia="fr-BE"/>
        </w:rPr>
      </w:pPr>
      <w:r w:rsidRPr="00A27C5B">
        <w:rPr>
          <w:lang w:val="fr-FR" w:eastAsia="fr-BE"/>
        </w:rPr>
        <w:t>Cadre renouvelé pour les transferts transatlantiques de données</w:t>
      </w:r>
    </w:p>
    <w:p w:rsidR="001C3B5F" w:rsidRPr="00A27C5B" w:rsidRDefault="001C3B5F" w:rsidP="00397D2A">
      <w:pPr>
        <w:pStyle w:val="DashEqual3"/>
        <w:rPr>
          <w:lang w:val="fr-FR" w:eastAsia="fr-BE"/>
        </w:rPr>
      </w:pPr>
      <w:r w:rsidRPr="00A27C5B">
        <w:rPr>
          <w:lang w:val="fr-FR" w:eastAsia="fr-BE"/>
        </w:rPr>
        <w:tab/>
        <w:t>Informations communiquées de la Commission</w:t>
      </w:r>
    </w:p>
    <w:p w:rsidR="001C3B5F" w:rsidRPr="00A27C5B" w:rsidRDefault="001C3B5F" w:rsidP="00397D2A">
      <w:pPr>
        <w:pStyle w:val="PointManual1"/>
        <w:spacing w:before="120"/>
        <w:rPr>
          <w:lang w:val="fr-FR" w:eastAsia="fr-BE"/>
        </w:rPr>
      </w:pPr>
      <w:r w:rsidRPr="00A27C5B">
        <w:rPr>
          <w:lang w:val="fr-FR" w:eastAsia="fr-BE"/>
        </w:rPr>
        <w:t>b)</w:t>
      </w:r>
      <w:r w:rsidRPr="00A27C5B">
        <w:rPr>
          <w:lang w:val="fr-FR" w:eastAsia="fr-BE"/>
        </w:rPr>
        <w:tab/>
        <w:t>Forum ministériel Union eur</w:t>
      </w:r>
      <w:r w:rsidR="00C028FF" w:rsidRPr="00A27C5B">
        <w:rPr>
          <w:lang w:val="fr-FR" w:eastAsia="fr-BE"/>
        </w:rPr>
        <w:t>opéenne - Balkans occidentaux des</w:t>
      </w:r>
      <w:r w:rsidRPr="00A27C5B">
        <w:rPr>
          <w:lang w:val="fr-FR" w:eastAsia="fr-BE"/>
        </w:rPr>
        <w:t xml:space="preserve"> 7-8 décembre 2015</w:t>
      </w:r>
    </w:p>
    <w:p w:rsidR="001C3B5F" w:rsidRPr="00A27C5B" w:rsidRDefault="001C3B5F" w:rsidP="00397D2A">
      <w:pPr>
        <w:pStyle w:val="DashEqual2"/>
        <w:rPr>
          <w:lang w:val="fr-FR" w:eastAsia="fr-BE"/>
        </w:rPr>
      </w:pPr>
      <w:r w:rsidRPr="00A27C5B">
        <w:rPr>
          <w:lang w:val="fr-FR"/>
        </w:rPr>
        <w:t>Informations</w:t>
      </w:r>
      <w:r w:rsidRPr="00A27C5B">
        <w:rPr>
          <w:lang w:val="fr-FR" w:eastAsia="fr-BE"/>
        </w:rPr>
        <w:t xml:space="preserve"> communiquées par la présidence</w:t>
      </w:r>
    </w:p>
    <w:p w:rsidR="001C3B5F" w:rsidRPr="00A27C5B" w:rsidRDefault="001C3B5F" w:rsidP="00397D2A">
      <w:pPr>
        <w:pStyle w:val="PointManual1"/>
        <w:spacing w:before="120"/>
        <w:rPr>
          <w:lang w:val="fr-FR" w:eastAsia="en-GB"/>
        </w:rPr>
      </w:pPr>
      <w:r w:rsidRPr="00A27C5B">
        <w:rPr>
          <w:lang w:val="fr-FR" w:eastAsia="en-GB"/>
        </w:rPr>
        <w:t>c)</w:t>
      </w:r>
      <w:r w:rsidRPr="00A27C5B">
        <w:rPr>
          <w:lang w:val="fr-FR" w:eastAsia="en-GB"/>
        </w:rPr>
        <w:tab/>
        <w:t>Programme de travail de la prochaine présidence</w:t>
      </w:r>
    </w:p>
    <w:p w:rsidR="001C3B5F" w:rsidRPr="00A27C5B" w:rsidRDefault="001C3B5F" w:rsidP="00B120CC">
      <w:pPr>
        <w:pStyle w:val="DashEqual2"/>
        <w:rPr>
          <w:lang w:val="fr-FR"/>
        </w:rPr>
      </w:pPr>
      <w:r w:rsidRPr="00A27C5B">
        <w:rPr>
          <w:lang w:val="fr-FR"/>
        </w:rPr>
        <w:t>Informations communiquées par la délégation néerlandaise</w:t>
      </w:r>
    </w:p>
    <w:p w:rsidR="001C3B5F" w:rsidRPr="00A27C5B" w:rsidRDefault="001C3B5F" w:rsidP="00B120CC">
      <w:pPr>
        <w:widowControl w:val="0"/>
        <w:spacing w:before="240" w:line="360" w:lineRule="auto"/>
        <w:rPr>
          <w:b/>
          <w:bCs/>
          <w:szCs w:val="20"/>
          <w:lang w:val="fr-FR" w:eastAsia="fr-BE"/>
        </w:rPr>
      </w:pPr>
      <w:r w:rsidRPr="00A27C5B">
        <w:rPr>
          <w:iCs/>
          <w:lang w:val="fr-FR"/>
        </w:rPr>
        <w:br w:type="page"/>
      </w:r>
      <w:r w:rsidRPr="00A27C5B">
        <w:rPr>
          <w:b/>
          <w:bCs/>
          <w:szCs w:val="20"/>
          <w:lang w:val="fr-FR" w:eastAsia="fr-BE"/>
        </w:rPr>
        <w:lastRenderedPageBreak/>
        <w:t>B.</w:t>
      </w:r>
      <w:r w:rsidRPr="00A27C5B">
        <w:rPr>
          <w:b/>
          <w:bCs/>
          <w:szCs w:val="20"/>
          <w:lang w:val="fr-FR" w:eastAsia="fr-BE"/>
        </w:rPr>
        <w:tab/>
      </w:r>
      <w:r w:rsidRPr="00A27C5B">
        <w:rPr>
          <w:b/>
          <w:bCs/>
          <w:szCs w:val="20"/>
          <w:u w:val="single"/>
          <w:lang w:val="fr-FR" w:eastAsia="fr-BE"/>
        </w:rPr>
        <w:t>VENDREDI 4 D</w:t>
      </w:r>
      <w:r w:rsidR="0064395A" w:rsidRPr="00A27C5B">
        <w:rPr>
          <w:b/>
          <w:bCs/>
          <w:szCs w:val="20"/>
          <w:u w:val="single"/>
          <w:lang w:val="fr-FR" w:eastAsia="fr-BE"/>
        </w:rPr>
        <w:t>É</w:t>
      </w:r>
      <w:r w:rsidRPr="00A27C5B">
        <w:rPr>
          <w:b/>
          <w:bCs/>
          <w:szCs w:val="20"/>
          <w:u w:val="single"/>
          <w:lang w:val="fr-FR" w:eastAsia="fr-BE"/>
        </w:rPr>
        <w:t>CEMBRE 2015 (10</w:t>
      </w:r>
      <w:r w:rsidR="0064395A" w:rsidRPr="00A27C5B">
        <w:rPr>
          <w:b/>
          <w:bCs/>
          <w:szCs w:val="20"/>
          <w:u w:val="single"/>
          <w:lang w:val="fr-FR" w:eastAsia="fr-BE"/>
        </w:rPr>
        <w:t>:</w:t>
      </w:r>
      <w:r w:rsidRPr="00A27C5B">
        <w:rPr>
          <w:b/>
          <w:bCs/>
          <w:szCs w:val="20"/>
          <w:u w:val="single"/>
          <w:lang w:val="fr-FR" w:eastAsia="fr-BE"/>
        </w:rPr>
        <w:t>00)</w:t>
      </w:r>
      <w:r w:rsidRPr="00A27C5B">
        <w:rPr>
          <w:b/>
          <w:bCs/>
          <w:szCs w:val="20"/>
          <w:lang w:val="fr-FR" w:eastAsia="fr-BE"/>
        </w:rPr>
        <w:t xml:space="preserve"> </w:t>
      </w:r>
    </w:p>
    <w:p w:rsidR="001C3B5F" w:rsidRPr="00A27C5B" w:rsidRDefault="001C3B5F" w:rsidP="00B120CC">
      <w:pPr>
        <w:spacing w:before="120"/>
        <w:rPr>
          <w:b/>
          <w:bCs/>
          <w:u w:val="single"/>
          <w:lang w:val="fr-FR"/>
        </w:rPr>
      </w:pPr>
      <w:r w:rsidRPr="00A27C5B">
        <w:rPr>
          <w:b/>
          <w:bCs/>
          <w:u w:val="single"/>
          <w:lang w:val="fr-FR"/>
        </w:rPr>
        <w:t>AFFAIRES INTÉRIEURES</w:t>
      </w:r>
    </w:p>
    <w:p w:rsidR="001C3B5F" w:rsidRPr="00A27C5B" w:rsidRDefault="001C3B5F" w:rsidP="00397D2A">
      <w:pPr>
        <w:pStyle w:val="Title"/>
        <w:rPr>
          <w:i w:val="0"/>
          <w:iCs/>
          <w:lang w:val="fr-FR"/>
        </w:rPr>
      </w:pPr>
      <w:r w:rsidRPr="00A27C5B">
        <w:rPr>
          <w:i w:val="0"/>
          <w:iCs/>
          <w:lang w:val="fr-FR"/>
        </w:rPr>
        <w:t>Délibérations législatives</w:t>
      </w:r>
    </w:p>
    <w:p w:rsidR="001C3B5F" w:rsidRPr="00A27C5B" w:rsidRDefault="001C3B5F" w:rsidP="00E96F78">
      <w:pPr>
        <w:pStyle w:val="PointManual"/>
        <w:spacing w:before="240"/>
        <w:rPr>
          <w:rFonts w:eastAsia="Calibri"/>
          <w:b/>
          <w:bCs/>
          <w:lang w:val="fr-FR"/>
        </w:rPr>
      </w:pPr>
      <w:r w:rsidRPr="00A27C5B">
        <w:rPr>
          <w:lang w:val="fr-FR"/>
        </w:rPr>
        <w:t>-</w:t>
      </w:r>
      <w:r w:rsidRPr="00A27C5B">
        <w:rPr>
          <w:lang w:val="fr-FR"/>
        </w:rPr>
        <w:tab/>
        <w:t xml:space="preserve">Proposition de directive du </w:t>
      </w:r>
      <w:r w:rsidR="00E96F78" w:rsidRPr="00A27C5B">
        <w:rPr>
          <w:lang w:val="fr-FR"/>
        </w:rPr>
        <w:t xml:space="preserve">Parlement européen et du </w:t>
      </w:r>
      <w:r w:rsidRPr="00A27C5B">
        <w:rPr>
          <w:lang w:val="fr-FR"/>
        </w:rPr>
        <w:t>Conseil relative à l'utilisation des</w:t>
      </w:r>
      <w:r w:rsidRPr="00A27C5B">
        <w:rPr>
          <w:rFonts w:eastAsia="Calibri"/>
          <w:lang w:val="fr-FR"/>
        </w:rPr>
        <w:t xml:space="preserve"> données des dossiers passagers pour la prévention et la détection des infractions terroristes et des formes graves de criminalité, ainsi que pour les enquêtes et les poursuites en la matière </w:t>
      </w:r>
      <w:r w:rsidRPr="00A27C5B">
        <w:rPr>
          <w:rFonts w:eastAsia="Calibri"/>
          <w:b/>
          <w:bCs/>
          <w:lang w:val="fr-FR"/>
        </w:rPr>
        <w:t>(première lecture)</w:t>
      </w:r>
    </w:p>
    <w:p w:rsidR="001C3B5F" w:rsidRPr="00A27C5B" w:rsidRDefault="001C3B5F" w:rsidP="0038065B">
      <w:pPr>
        <w:pStyle w:val="DashEqual1"/>
        <w:tabs>
          <w:tab w:val="left" w:pos="1134"/>
          <w:tab w:val="num" w:pos="1844"/>
        </w:tabs>
        <w:rPr>
          <w:rFonts w:eastAsia="Calibri"/>
          <w:lang w:val="fr-FR"/>
        </w:rPr>
      </w:pPr>
      <w:r w:rsidRPr="00A27C5B">
        <w:rPr>
          <w:rFonts w:eastAsia="Calibri"/>
          <w:lang w:val="fr-FR"/>
        </w:rPr>
        <w:t xml:space="preserve">Rapport sur l'état </w:t>
      </w:r>
      <w:r w:rsidRPr="00A27C5B">
        <w:rPr>
          <w:lang w:val="fr-FR"/>
        </w:rPr>
        <w:t>des</w:t>
      </w:r>
      <w:r w:rsidR="0038065B" w:rsidRPr="00A27C5B">
        <w:rPr>
          <w:rFonts w:eastAsia="Calibri"/>
          <w:lang w:val="fr-FR"/>
        </w:rPr>
        <w:t xml:space="preserve"> travaux</w:t>
      </w:r>
    </w:p>
    <w:p w:rsidR="001C3B5F" w:rsidRPr="00A27C5B" w:rsidRDefault="001C3B5F" w:rsidP="00E96F78">
      <w:pPr>
        <w:pStyle w:val="PointManual"/>
        <w:spacing w:before="360"/>
        <w:rPr>
          <w:rFonts w:eastAsia="Calibri"/>
          <w:lang w:val="fr-FR"/>
        </w:rPr>
      </w:pPr>
      <w:r w:rsidRPr="00A27C5B">
        <w:rPr>
          <w:rFonts w:eastAsia="Calibri"/>
          <w:lang w:val="fr-FR"/>
        </w:rPr>
        <w:t>-</w:t>
      </w:r>
      <w:r w:rsidRPr="00A27C5B">
        <w:rPr>
          <w:rFonts w:eastAsia="Calibri"/>
          <w:lang w:val="fr-FR"/>
        </w:rPr>
        <w:tab/>
      </w:r>
      <w:r w:rsidRPr="00A27C5B">
        <w:rPr>
          <w:lang w:val="fr-FR"/>
        </w:rPr>
        <w:t>Proposition</w:t>
      </w:r>
      <w:r w:rsidRPr="00A27C5B">
        <w:rPr>
          <w:rFonts w:eastAsia="Calibri"/>
          <w:lang w:val="fr-FR"/>
        </w:rPr>
        <w:t xml:space="preserve"> de règlement du Parlement européen et du Conseil relatif à l'Agence de l'Union européenne pour la coopération et la formation des services répressifs (Europol) et abrogeant les décisions 2009/371/JAI et 2005/681/JAI </w:t>
      </w:r>
      <w:r w:rsidRPr="00A27C5B">
        <w:rPr>
          <w:rFonts w:eastAsia="Calibri"/>
          <w:b/>
          <w:bCs/>
          <w:lang w:val="fr-FR"/>
        </w:rPr>
        <w:t>(première lecture)</w:t>
      </w:r>
    </w:p>
    <w:p w:rsidR="001C3B5F" w:rsidRPr="00A27C5B" w:rsidRDefault="001C3B5F" w:rsidP="0038065B">
      <w:pPr>
        <w:pStyle w:val="DashEqual1"/>
        <w:tabs>
          <w:tab w:val="left" w:pos="1134"/>
          <w:tab w:val="num" w:pos="1844"/>
        </w:tabs>
        <w:rPr>
          <w:rFonts w:eastAsia="Calibri"/>
          <w:lang w:val="fr-FR"/>
        </w:rPr>
      </w:pPr>
      <w:r w:rsidRPr="00A27C5B">
        <w:rPr>
          <w:lang w:val="fr-FR"/>
        </w:rPr>
        <w:t>Accord</w:t>
      </w:r>
      <w:r w:rsidRPr="00A27C5B">
        <w:rPr>
          <w:rFonts w:eastAsia="Calibri"/>
          <w:lang w:val="fr-FR"/>
        </w:rPr>
        <w:t xml:space="preserve"> politique</w:t>
      </w:r>
    </w:p>
    <w:p w:rsidR="001C3B5F" w:rsidRPr="00A27C5B" w:rsidRDefault="001C3B5F" w:rsidP="00A64E86">
      <w:pPr>
        <w:pStyle w:val="PointManual"/>
        <w:spacing w:before="360"/>
        <w:rPr>
          <w:lang w:val="fr-FR"/>
        </w:rPr>
      </w:pPr>
      <w:r w:rsidRPr="00A27C5B">
        <w:rPr>
          <w:lang w:val="fr-FR" w:eastAsia="en-GB"/>
        </w:rPr>
        <w:t>-</w:t>
      </w:r>
      <w:r w:rsidRPr="00A27C5B">
        <w:rPr>
          <w:lang w:val="fr-FR" w:eastAsia="en-GB"/>
        </w:rPr>
        <w:tab/>
      </w:r>
      <w:r w:rsidRPr="00A27C5B">
        <w:rPr>
          <w:lang w:val="fr-FR"/>
        </w:rPr>
        <w:t xml:space="preserve">Proposition de directive du Parlement européen et du Conseil relative aux conditions d'entrée et de séjour des ressortissants de pays tiers à des fins de recherche, d'études, d'échange d'élèves, de formation rémunérée et non rémunérée, de volontariat et de travail au pair (refonte) </w:t>
      </w:r>
      <w:r w:rsidR="00D7104D" w:rsidRPr="00A27C5B">
        <w:rPr>
          <w:b/>
          <w:bCs/>
          <w:lang w:val="fr-FR"/>
        </w:rPr>
        <w:t>(première lecture)</w:t>
      </w:r>
    </w:p>
    <w:p w:rsidR="001C3B5F" w:rsidRPr="00A27C5B" w:rsidRDefault="001C3B5F" w:rsidP="0038065B">
      <w:pPr>
        <w:pStyle w:val="DashEqual1"/>
        <w:tabs>
          <w:tab w:val="left" w:pos="1134"/>
          <w:tab w:val="num" w:pos="1844"/>
        </w:tabs>
        <w:rPr>
          <w:lang w:val="fr-FR"/>
        </w:rPr>
      </w:pPr>
      <w:r w:rsidRPr="00A27C5B">
        <w:rPr>
          <w:lang w:val="fr-FR"/>
        </w:rPr>
        <w:t>Accord politique</w:t>
      </w:r>
    </w:p>
    <w:p w:rsidR="001C3B5F" w:rsidRPr="00A27C5B" w:rsidRDefault="001C3B5F" w:rsidP="00A64E86">
      <w:pPr>
        <w:pStyle w:val="PointManual"/>
        <w:spacing w:before="360"/>
        <w:rPr>
          <w:b/>
          <w:bCs/>
          <w:vertAlign w:val="superscript"/>
          <w:lang w:val="fr-FR" w:bidi="fr-FR"/>
        </w:rPr>
      </w:pPr>
      <w:r w:rsidRPr="00A27C5B">
        <w:rPr>
          <w:lang w:val="fr-FR"/>
        </w:rPr>
        <w:t>-</w:t>
      </w:r>
      <w:r w:rsidRPr="00A27C5B">
        <w:rPr>
          <w:lang w:val="fr-FR"/>
        </w:rPr>
        <w:tab/>
        <w:t>Proposition de règlement du Parlement européen et du Conseil établissant un mécanisme de crise concernant la relocalisation et modifiant le règlement (UE) n</w:t>
      </w:r>
      <w:r w:rsidRPr="00A27C5B">
        <w:rPr>
          <w:vertAlign w:val="superscript"/>
          <w:lang w:val="fr-FR"/>
        </w:rPr>
        <w:t>o</w:t>
      </w:r>
      <w:r w:rsidRPr="00A27C5B">
        <w:rPr>
          <w:lang w:val="fr-FR"/>
        </w:rPr>
        <w:t xml:space="preserve"> 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 </w:t>
      </w:r>
      <w:r w:rsidRPr="00A27C5B">
        <w:rPr>
          <w:b/>
          <w:bCs/>
          <w:lang w:val="fr-FR" w:bidi="fr-FR"/>
        </w:rPr>
        <w:t>(première lecture)</w:t>
      </w:r>
      <w:r w:rsidR="00D7104D" w:rsidRPr="00A27C5B">
        <w:rPr>
          <w:b/>
          <w:bCs/>
          <w:vertAlign w:val="superscript"/>
          <w:lang w:val="fr-FR" w:eastAsia="fr-FR" w:bidi="fr-FR"/>
        </w:rPr>
        <w:t xml:space="preserve"> </w:t>
      </w:r>
      <w:r w:rsidR="00D7104D" w:rsidRPr="00A27C5B">
        <w:rPr>
          <w:b/>
          <w:bCs/>
          <w:vertAlign w:val="superscript"/>
          <w:lang w:val="fr-FR" w:eastAsia="fr-FR" w:bidi="fr-FR"/>
        </w:rPr>
        <w:footnoteReference w:id="1"/>
      </w:r>
    </w:p>
    <w:p w:rsidR="001C3B5F" w:rsidRPr="00A27C5B" w:rsidRDefault="001C3B5F" w:rsidP="0038065B">
      <w:pPr>
        <w:pStyle w:val="DashEqual1"/>
        <w:tabs>
          <w:tab w:val="left" w:pos="1134"/>
          <w:tab w:val="num" w:pos="1844"/>
        </w:tabs>
        <w:rPr>
          <w:lang w:val="fr-FR"/>
        </w:rPr>
      </w:pPr>
      <w:r w:rsidRPr="00A27C5B">
        <w:rPr>
          <w:lang w:val="fr-FR"/>
        </w:rPr>
        <w:t>Rapport sur l’état des travaux</w:t>
      </w:r>
    </w:p>
    <w:p w:rsidR="001C3B5F" w:rsidRPr="00A27C5B" w:rsidRDefault="001C3B5F" w:rsidP="00A64E86">
      <w:pPr>
        <w:pStyle w:val="PointManual"/>
        <w:spacing w:before="360"/>
        <w:rPr>
          <w:lang w:val="fr-FR"/>
        </w:rPr>
      </w:pPr>
      <w:r w:rsidRPr="00A27C5B">
        <w:rPr>
          <w:lang w:val="fr-FR" w:bidi="fr-FR"/>
        </w:rPr>
        <w:t>-</w:t>
      </w:r>
      <w:r w:rsidRPr="00A27C5B">
        <w:rPr>
          <w:lang w:val="fr-FR" w:bidi="fr-FR"/>
        </w:rPr>
        <w:tab/>
      </w:r>
      <w:r w:rsidR="008D0F9C" w:rsidRPr="00A27C5B">
        <w:rPr>
          <w:lang w:val="fr-FR" w:bidi="fr-FR"/>
        </w:rPr>
        <w:t xml:space="preserve">(évent.) </w:t>
      </w:r>
      <w:r w:rsidRPr="00A27C5B">
        <w:rPr>
          <w:lang w:val="fr-FR"/>
        </w:rPr>
        <w:t>Proposition</w:t>
      </w:r>
      <w:r w:rsidRPr="00A27C5B">
        <w:rPr>
          <w:lang w:val="fr-FR" w:bidi="fr-FR"/>
        </w:rPr>
        <w:t xml:space="preserve"> de règlement du Parlement européen et du Conseil établissant une liste commune de l'UE des pays sûrs aux fins de la directive 2013/32/UE du Parlement et du Conseil relative à des procédures communes pour l'octroi et le retrait de la protection internationale, et modifiant la directive 2013/32/UE </w:t>
      </w:r>
      <w:r w:rsidRPr="00A27C5B">
        <w:rPr>
          <w:b/>
          <w:bCs/>
          <w:lang w:val="fr-FR" w:bidi="fr-FR"/>
        </w:rPr>
        <w:t>(première lecture)</w:t>
      </w:r>
      <w:r w:rsidR="00D7104D" w:rsidRPr="00A27C5B">
        <w:rPr>
          <w:b/>
          <w:bCs/>
          <w:lang w:val="fr-FR" w:bidi="fr-FR"/>
        </w:rPr>
        <w:t xml:space="preserve"> </w:t>
      </w:r>
      <w:r w:rsidR="00D7104D" w:rsidRPr="00A27C5B">
        <w:rPr>
          <w:b/>
          <w:bCs/>
          <w:vertAlign w:val="superscript"/>
          <w:lang w:val="fr-FR" w:bidi="fr-FR"/>
        </w:rPr>
        <w:t>1</w:t>
      </w:r>
    </w:p>
    <w:p w:rsidR="001C3B5F" w:rsidRPr="00A27C5B" w:rsidRDefault="001C3B5F" w:rsidP="0038065B">
      <w:pPr>
        <w:pStyle w:val="DashEqual1"/>
        <w:tabs>
          <w:tab w:val="left" w:pos="1134"/>
          <w:tab w:val="num" w:pos="1844"/>
        </w:tabs>
        <w:rPr>
          <w:lang w:val="fr-FR"/>
        </w:rPr>
      </w:pPr>
      <w:r w:rsidRPr="00A27C5B">
        <w:rPr>
          <w:lang w:val="fr-FR"/>
        </w:rPr>
        <w:t>Rapport sur l’état des travaux</w:t>
      </w:r>
    </w:p>
    <w:p w:rsidR="001C3B5F" w:rsidRPr="00A27C5B" w:rsidRDefault="001C3B5F" w:rsidP="00A64E86">
      <w:pPr>
        <w:pStyle w:val="PointManual"/>
        <w:spacing w:before="360"/>
        <w:rPr>
          <w:lang w:val="fr-FR"/>
        </w:rPr>
      </w:pPr>
      <w:r w:rsidRPr="00A27C5B">
        <w:rPr>
          <w:lang w:val="fr-FR"/>
        </w:rPr>
        <w:t>-</w:t>
      </w:r>
      <w:r w:rsidRPr="00A27C5B">
        <w:rPr>
          <w:lang w:val="fr-FR"/>
        </w:rPr>
        <w:tab/>
        <w:t>Divers</w:t>
      </w:r>
    </w:p>
    <w:p w:rsidR="001C3B5F" w:rsidRPr="00A27C5B" w:rsidRDefault="001C3B5F" w:rsidP="0038065B">
      <w:pPr>
        <w:pStyle w:val="DashEqual1"/>
        <w:tabs>
          <w:tab w:val="left" w:pos="1134"/>
          <w:tab w:val="num" w:pos="1844"/>
        </w:tabs>
        <w:rPr>
          <w:lang w:val="fr-FR"/>
        </w:rPr>
      </w:pPr>
      <w:r w:rsidRPr="00A27C5B">
        <w:rPr>
          <w:lang w:val="fr-FR"/>
        </w:rPr>
        <w:t>Informations communiquées par la présidence au sujet des propositions législatives en cours d'examen</w:t>
      </w:r>
    </w:p>
    <w:p w:rsidR="001C3B5F" w:rsidRPr="00A27C5B" w:rsidRDefault="001C3B5F" w:rsidP="0038065B">
      <w:pPr>
        <w:pStyle w:val="Title"/>
        <w:rPr>
          <w:i w:val="0"/>
          <w:iCs/>
          <w:lang w:val="fr-FR"/>
        </w:rPr>
      </w:pPr>
      <w:r w:rsidRPr="00A27C5B">
        <w:rPr>
          <w:lang w:val="fr-FR"/>
        </w:rPr>
        <w:br w:type="page"/>
      </w:r>
      <w:r w:rsidRPr="00A27C5B">
        <w:rPr>
          <w:i w:val="0"/>
          <w:iCs/>
          <w:lang w:val="fr-FR"/>
        </w:rPr>
        <w:lastRenderedPageBreak/>
        <w:t>Activités non législatives</w:t>
      </w:r>
    </w:p>
    <w:p w:rsidR="001C3B5F" w:rsidRPr="00A27C5B" w:rsidRDefault="00A566F1" w:rsidP="00A64E86">
      <w:pPr>
        <w:pStyle w:val="PointManual"/>
        <w:spacing w:before="240"/>
        <w:rPr>
          <w:lang w:val="fr-FR"/>
        </w:rPr>
      </w:pPr>
      <w:r w:rsidRPr="00A27C5B">
        <w:rPr>
          <w:rFonts w:eastAsia="Calibri"/>
          <w:lang w:val="fr-FR"/>
        </w:rPr>
        <w:t>-</w:t>
      </w:r>
      <w:r w:rsidRPr="00A27C5B">
        <w:rPr>
          <w:rFonts w:eastAsia="Calibri"/>
          <w:lang w:val="fr-FR"/>
        </w:rPr>
        <w:tab/>
      </w:r>
      <w:r w:rsidR="001C3B5F" w:rsidRPr="00A27C5B">
        <w:rPr>
          <w:rFonts w:eastAsia="Calibri"/>
          <w:lang w:val="fr-FR"/>
        </w:rPr>
        <w:t xml:space="preserve">Lutte contre le terrorisme </w:t>
      </w:r>
      <w:r w:rsidR="00352E54" w:rsidRPr="00A27C5B">
        <w:rPr>
          <w:rStyle w:val="FootnoteReference"/>
          <w:rFonts w:eastAsia="Calibri"/>
          <w:lang w:val="fr-FR"/>
        </w:rPr>
        <w:footnoteReference w:id="2"/>
      </w:r>
    </w:p>
    <w:p w:rsidR="001C3B5F" w:rsidRPr="00A27C5B" w:rsidRDefault="001C3B5F" w:rsidP="0038065B">
      <w:pPr>
        <w:pStyle w:val="DashEqual1"/>
        <w:tabs>
          <w:tab w:val="left" w:pos="1134"/>
          <w:tab w:val="num" w:pos="1844"/>
        </w:tabs>
        <w:rPr>
          <w:rFonts w:eastAsia="Calibri"/>
          <w:lang w:val="fr-FR"/>
        </w:rPr>
      </w:pPr>
      <w:r w:rsidRPr="00A27C5B">
        <w:rPr>
          <w:lang w:val="fr-FR"/>
        </w:rPr>
        <w:t>Présentation</w:t>
      </w:r>
      <w:r w:rsidRPr="00A27C5B">
        <w:rPr>
          <w:rFonts w:eastAsia="Calibri"/>
          <w:lang w:val="fr-FR"/>
        </w:rPr>
        <w:t xml:space="preserve"> par la présidence et le coordinateur pour la lutte contre le terrorisme</w:t>
      </w:r>
    </w:p>
    <w:p w:rsidR="001C3B5F" w:rsidRPr="00A27C5B" w:rsidRDefault="00397670" w:rsidP="00A566F1">
      <w:pPr>
        <w:pStyle w:val="DashEqual1"/>
        <w:tabs>
          <w:tab w:val="left" w:pos="1134"/>
          <w:tab w:val="num" w:pos="1844"/>
        </w:tabs>
        <w:rPr>
          <w:rFonts w:eastAsia="Calibri"/>
          <w:lang w:val="fr-FR"/>
        </w:rPr>
      </w:pPr>
      <w:r w:rsidRPr="00A27C5B">
        <w:rPr>
          <w:rFonts w:eastAsia="Calibri"/>
          <w:lang w:val="fr-FR"/>
        </w:rPr>
        <w:t>État</w:t>
      </w:r>
      <w:r w:rsidR="001C3B5F" w:rsidRPr="00A27C5B">
        <w:rPr>
          <w:rFonts w:eastAsia="Calibri"/>
          <w:lang w:val="fr-FR"/>
        </w:rPr>
        <w:t xml:space="preserve"> des </w:t>
      </w:r>
      <w:r w:rsidR="001C3B5F" w:rsidRPr="00A27C5B">
        <w:rPr>
          <w:lang w:val="fr-FR"/>
        </w:rPr>
        <w:t>lieux</w:t>
      </w:r>
      <w:r w:rsidR="001C3B5F" w:rsidRPr="00A27C5B">
        <w:rPr>
          <w:rFonts w:eastAsia="Calibri"/>
          <w:lang w:val="fr-FR"/>
        </w:rPr>
        <w:t xml:space="preserve"> et débat général sur les actions en cours</w:t>
      </w:r>
    </w:p>
    <w:p w:rsidR="001C3B5F" w:rsidRPr="00A27C5B" w:rsidRDefault="001C3B5F" w:rsidP="00A64E86">
      <w:pPr>
        <w:pStyle w:val="PointManual"/>
        <w:spacing w:before="360"/>
        <w:rPr>
          <w:rFonts w:eastAsia="Calibri"/>
          <w:lang w:val="fr-FR"/>
        </w:rPr>
      </w:pPr>
      <w:r w:rsidRPr="00A27C5B">
        <w:rPr>
          <w:lang w:val="fr-FR"/>
        </w:rPr>
        <w:t>-</w:t>
      </w:r>
      <w:r w:rsidRPr="00A27C5B">
        <w:rPr>
          <w:lang w:val="fr-FR"/>
        </w:rPr>
        <w:tab/>
      </w:r>
      <w:r w:rsidRPr="00A27C5B">
        <w:rPr>
          <w:rFonts w:eastAsia="Calibri"/>
          <w:lang w:val="fr-FR"/>
        </w:rPr>
        <w:t xml:space="preserve">Stratégie </w:t>
      </w:r>
      <w:r w:rsidRPr="00A27C5B">
        <w:rPr>
          <w:lang w:val="fr-FR"/>
        </w:rPr>
        <w:t>de</w:t>
      </w:r>
      <w:r w:rsidRPr="00A27C5B">
        <w:rPr>
          <w:rFonts w:eastAsia="Calibri"/>
          <w:lang w:val="fr-FR"/>
        </w:rPr>
        <w:t xml:space="preserve"> sécurité intérieure renouvelée pour l'UE (2015-2020)</w:t>
      </w:r>
    </w:p>
    <w:p w:rsidR="001C3B5F" w:rsidRPr="00A27C5B" w:rsidRDefault="001C3B5F" w:rsidP="004C431D">
      <w:pPr>
        <w:pStyle w:val="DashEqual1"/>
        <w:tabs>
          <w:tab w:val="left" w:pos="1134"/>
          <w:tab w:val="num" w:pos="1844"/>
        </w:tabs>
        <w:rPr>
          <w:rFonts w:eastAsia="Calibri"/>
          <w:lang w:val="fr-FR"/>
        </w:rPr>
      </w:pPr>
      <w:r w:rsidRPr="00A27C5B">
        <w:rPr>
          <w:rFonts w:eastAsia="Calibri"/>
          <w:lang w:val="fr-FR"/>
        </w:rPr>
        <w:t xml:space="preserve">Débat </w:t>
      </w:r>
      <w:r w:rsidRPr="00A27C5B">
        <w:rPr>
          <w:lang w:val="fr-FR"/>
        </w:rPr>
        <w:t>général</w:t>
      </w:r>
      <w:r w:rsidRPr="00A27C5B">
        <w:rPr>
          <w:rFonts w:eastAsia="Calibri"/>
          <w:lang w:val="fr-FR"/>
        </w:rPr>
        <w:t xml:space="preserve"> sur la mise en œuvre </w:t>
      </w:r>
    </w:p>
    <w:p w:rsidR="001C3B5F" w:rsidRPr="00A27C5B" w:rsidRDefault="001C3B5F" w:rsidP="00A64E86">
      <w:pPr>
        <w:pStyle w:val="PointManual"/>
        <w:spacing w:before="360"/>
        <w:rPr>
          <w:lang w:val="fr-FR" w:eastAsia="en-GB"/>
        </w:rPr>
      </w:pPr>
      <w:r w:rsidRPr="00A27C5B">
        <w:rPr>
          <w:lang w:val="fr-FR"/>
        </w:rPr>
        <w:t>-</w:t>
      </w:r>
      <w:r w:rsidRPr="00A27C5B">
        <w:rPr>
          <w:lang w:val="fr-FR"/>
        </w:rPr>
        <w:tab/>
        <w:t>Migration</w:t>
      </w:r>
    </w:p>
    <w:p w:rsidR="001C3B5F" w:rsidRPr="00A27C5B" w:rsidRDefault="00397670" w:rsidP="0038065B">
      <w:pPr>
        <w:pStyle w:val="DashEqual1"/>
        <w:tabs>
          <w:tab w:val="left" w:pos="1134"/>
          <w:tab w:val="num" w:pos="1844"/>
        </w:tabs>
        <w:rPr>
          <w:lang w:val="fr-FR"/>
        </w:rPr>
      </w:pPr>
      <w:r w:rsidRPr="00A27C5B">
        <w:rPr>
          <w:lang w:val="fr-FR"/>
        </w:rPr>
        <w:t>État</w:t>
      </w:r>
      <w:r w:rsidR="001C3B5F" w:rsidRPr="00A27C5B">
        <w:rPr>
          <w:lang w:val="fr-FR"/>
        </w:rPr>
        <w:t xml:space="preserve"> de la situation et suivi de la mise en œuvre des mesures prises</w:t>
      </w:r>
    </w:p>
    <w:p w:rsidR="001C3B5F" w:rsidRPr="00A27C5B" w:rsidRDefault="001C3B5F" w:rsidP="004C431D">
      <w:pPr>
        <w:pStyle w:val="DashEqual1"/>
        <w:tabs>
          <w:tab w:val="left" w:pos="1134"/>
          <w:tab w:val="num" w:pos="1844"/>
        </w:tabs>
        <w:rPr>
          <w:lang w:val="fr-FR"/>
        </w:rPr>
      </w:pPr>
      <w:r w:rsidRPr="00A27C5B">
        <w:rPr>
          <w:lang w:val="fr-FR"/>
        </w:rPr>
        <w:t>Actions à venir</w:t>
      </w:r>
    </w:p>
    <w:p w:rsidR="001C3B5F" w:rsidRPr="00A27C5B" w:rsidRDefault="001C3B5F" w:rsidP="00A64E86">
      <w:pPr>
        <w:pStyle w:val="PointManual"/>
        <w:spacing w:before="360"/>
        <w:rPr>
          <w:lang w:val="fr-FR"/>
        </w:rPr>
      </w:pPr>
      <w:r w:rsidRPr="00A27C5B">
        <w:rPr>
          <w:lang w:val="fr-FR"/>
        </w:rPr>
        <w:t>-</w:t>
      </w:r>
      <w:r w:rsidRPr="00A27C5B">
        <w:rPr>
          <w:lang w:val="fr-FR"/>
        </w:rPr>
        <w:tab/>
        <w:t>Gouvernance de Schengen: Huitième rapport semestriel de la Commission au Parlement européen et au Conseil sur le fonctionnement de l'espace Schengen</w:t>
      </w:r>
      <w:r w:rsidRPr="00A27C5B">
        <w:rPr>
          <w:lang w:val="fr-FR"/>
        </w:rPr>
        <w:br/>
        <w:t>(1er mai 2015 - 31 octobre 2015)</w:t>
      </w:r>
    </w:p>
    <w:p w:rsidR="001C3B5F" w:rsidRPr="00A27C5B" w:rsidRDefault="001C3B5F" w:rsidP="004C431D">
      <w:pPr>
        <w:pStyle w:val="DashEqual1"/>
        <w:tabs>
          <w:tab w:val="left" w:pos="1134"/>
          <w:tab w:val="num" w:pos="1844"/>
        </w:tabs>
        <w:rPr>
          <w:lang w:val="fr-FR"/>
        </w:rPr>
      </w:pPr>
      <w:r w:rsidRPr="00A27C5B">
        <w:rPr>
          <w:lang w:val="fr-FR"/>
        </w:rPr>
        <w:t xml:space="preserve">Présentation par la Commission / </w:t>
      </w:r>
      <w:r w:rsidR="00397670" w:rsidRPr="00A27C5B">
        <w:rPr>
          <w:lang w:val="fr-FR"/>
        </w:rPr>
        <w:t>Échange</w:t>
      </w:r>
      <w:r w:rsidRPr="00A27C5B">
        <w:rPr>
          <w:lang w:val="fr-FR"/>
        </w:rPr>
        <w:t xml:space="preserve"> de vues</w:t>
      </w:r>
    </w:p>
    <w:p w:rsidR="001C3B5F" w:rsidRPr="00A27C5B" w:rsidRDefault="004C431D" w:rsidP="00A64E86">
      <w:pPr>
        <w:pStyle w:val="PointManual"/>
        <w:spacing w:before="360"/>
        <w:rPr>
          <w:lang w:val="fr-FR"/>
        </w:rPr>
      </w:pPr>
      <w:r w:rsidRPr="00A27C5B">
        <w:rPr>
          <w:lang w:val="fr-FR"/>
        </w:rPr>
        <w:t>-</w:t>
      </w:r>
      <w:r w:rsidRPr="00A27C5B">
        <w:rPr>
          <w:lang w:val="fr-FR"/>
        </w:rPr>
        <w:tab/>
      </w:r>
      <w:r w:rsidR="001C3B5F" w:rsidRPr="00A27C5B">
        <w:rPr>
          <w:lang w:val="fr-FR"/>
        </w:rPr>
        <w:t xml:space="preserve">Divers </w:t>
      </w:r>
    </w:p>
    <w:p w:rsidR="004C431D" w:rsidRPr="00A27C5B" w:rsidRDefault="001C3B5F" w:rsidP="004C431D">
      <w:pPr>
        <w:pStyle w:val="PointManual1"/>
        <w:spacing w:before="120"/>
        <w:rPr>
          <w:lang w:val="fr-FR" w:eastAsia="fr-BE"/>
        </w:rPr>
      </w:pPr>
      <w:r w:rsidRPr="00A27C5B">
        <w:rPr>
          <w:lang w:val="fr-FR" w:eastAsia="fr-BE"/>
        </w:rPr>
        <w:t>a)</w:t>
      </w:r>
      <w:r w:rsidRPr="00A27C5B">
        <w:rPr>
          <w:lang w:val="fr-FR" w:eastAsia="fr-BE"/>
        </w:rPr>
        <w:tab/>
        <w:t xml:space="preserve">Réunion ministérielle JAI - Union européenne - </w:t>
      </w:r>
      <w:r w:rsidR="00397670" w:rsidRPr="00A27C5B">
        <w:rPr>
          <w:lang w:val="fr-FR" w:eastAsia="fr-BE"/>
        </w:rPr>
        <w:t>État</w:t>
      </w:r>
      <w:r w:rsidRPr="00A27C5B">
        <w:rPr>
          <w:lang w:val="fr-FR" w:eastAsia="fr-BE"/>
        </w:rPr>
        <w:t>s-Unis du 13 novembre 2015</w:t>
      </w:r>
    </w:p>
    <w:p w:rsidR="004C431D" w:rsidRPr="00A27C5B" w:rsidRDefault="00352E54" w:rsidP="004C431D">
      <w:pPr>
        <w:pStyle w:val="PointManual1"/>
        <w:spacing w:before="120"/>
        <w:rPr>
          <w:lang w:val="fr-FR" w:eastAsia="fr-BE"/>
        </w:rPr>
      </w:pPr>
      <w:r w:rsidRPr="00A27C5B">
        <w:rPr>
          <w:lang w:val="fr-FR" w:eastAsia="fr-BE"/>
        </w:rPr>
        <w:t>b)</w:t>
      </w:r>
      <w:r w:rsidR="001C3B5F" w:rsidRPr="00A27C5B">
        <w:rPr>
          <w:lang w:val="fr-FR" w:eastAsia="fr-BE"/>
        </w:rPr>
        <w:tab/>
        <w:t>Forum ministériel Union européenne - Balkans o</w:t>
      </w:r>
      <w:r w:rsidR="00C028FF" w:rsidRPr="00A27C5B">
        <w:rPr>
          <w:lang w:val="fr-FR" w:eastAsia="fr-BE"/>
        </w:rPr>
        <w:t>ccidentaux des</w:t>
      </w:r>
      <w:r w:rsidR="004C431D" w:rsidRPr="00A27C5B">
        <w:rPr>
          <w:lang w:val="fr-FR" w:eastAsia="fr-BE"/>
        </w:rPr>
        <w:t xml:space="preserve"> 7-8 décembre 2015</w:t>
      </w:r>
    </w:p>
    <w:p w:rsidR="001C3B5F" w:rsidRPr="00A27C5B" w:rsidRDefault="001C3B5F" w:rsidP="004C431D">
      <w:pPr>
        <w:pStyle w:val="PointManual1"/>
        <w:spacing w:before="120"/>
        <w:rPr>
          <w:b/>
          <w:bCs/>
          <w:vertAlign w:val="superscript"/>
          <w:lang w:val="fr-FR"/>
        </w:rPr>
      </w:pPr>
      <w:r w:rsidRPr="00A27C5B">
        <w:rPr>
          <w:lang w:val="fr-FR" w:eastAsia="fr-BE"/>
        </w:rPr>
        <w:t>c)</w:t>
      </w:r>
      <w:r w:rsidRPr="00A27C5B">
        <w:rPr>
          <w:lang w:val="fr-FR" w:eastAsia="fr-BE"/>
        </w:rPr>
        <w:tab/>
        <w:t>Sommet</w:t>
      </w:r>
      <w:r w:rsidRPr="00A27C5B">
        <w:rPr>
          <w:lang w:val="fr-FR"/>
        </w:rPr>
        <w:t xml:space="preserve"> de La Valette, 11-12 novembre 2015 </w:t>
      </w:r>
      <w:r w:rsidRPr="00A27C5B">
        <w:rPr>
          <w:b/>
          <w:bCs/>
          <w:vertAlign w:val="superscript"/>
          <w:lang w:val="fr-FR"/>
        </w:rPr>
        <w:t>1</w:t>
      </w:r>
    </w:p>
    <w:p w:rsidR="001C3B5F" w:rsidRPr="00A27C5B" w:rsidRDefault="001C3B5F" w:rsidP="004C431D">
      <w:pPr>
        <w:pStyle w:val="DashEqual2"/>
        <w:rPr>
          <w:lang w:val="fr-FR" w:eastAsia="fr-BE"/>
        </w:rPr>
      </w:pPr>
      <w:r w:rsidRPr="00A27C5B">
        <w:rPr>
          <w:lang w:val="fr-FR"/>
        </w:rPr>
        <w:t>Informations</w:t>
      </w:r>
      <w:r w:rsidRPr="00A27C5B">
        <w:rPr>
          <w:lang w:val="fr-FR" w:eastAsia="fr-BE"/>
        </w:rPr>
        <w:t xml:space="preserve"> communiquées par la présidence</w:t>
      </w:r>
    </w:p>
    <w:p w:rsidR="003E6640" w:rsidRPr="00A27C5B" w:rsidRDefault="003E6640" w:rsidP="003E6640">
      <w:pPr>
        <w:pStyle w:val="PointManual1"/>
        <w:spacing w:before="120"/>
        <w:rPr>
          <w:lang w:val="fr-FR"/>
        </w:rPr>
      </w:pPr>
      <w:r w:rsidRPr="00A27C5B">
        <w:rPr>
          <w:lang w:val="fr-FR"/>
        </w:rPr>
        <w:t>d)</w:t>
      </w:r>
      <w:r w:rsidRPr="00A27C5B">
        <w:rPr>
          <w:lang w:val="fr-FR"/>
        </w:rPr>
        <w:tab/>
        <w:t>Information concernant le référendum danois du 3 décembre 2015</w:t>
      </w:r>
    </w:p>
    <w:p w:rsidR="003E6640" w:rsidRPr="00A27C5B" w:rsidRDefault="003E6640" w:rsidP="003E6640">
      <w:pPr>
        <w:pStyle w:val="DashEqual2"/>
        <w:rPr>
          <w:lang w:val="fr-FR"/>
        </w:rPr>
      </w:pPr>
      <w:r w:rsidRPr="00A27C5B">
        <w:rPr>
          <w:lang w:val="fr-FR"/>
        </w:rPr>
        <w:t>À la demande de la délégation danoise</w:t>
      </w:r>
    </w:p>
    <w:p w:rsidR="001C3B5F" w:rsidRPr="00A27C5B" w:rsidRDefault="003E6640" w:rsidP="004C431D">
      <w:pPr>
        <w:pStyle w:val="PointManual1"/>
        <w:spacing w:before="120"/>
        <w:rPr>
          <w:lang w:val="fr-FR" w:eastAsia="en-GB"/>
        </w:rPr>
      </w:pPr>
      <w:r w:rsidRPr="00A27C5B">
        <w:rPr>
          <w:lang w:val="fr-FR" w:eastAsia="en-GB"/>
        </w:rPr>
        <w:t>e</w:t>
      </w:r>
      <w:r w:rsidR="001C3B5F" w:rsidRPr="00A27C5B">
        <w:rPr>
          <w:lang w:val="fr-FR" w:eastAsia="en-GB"/>
        </w:rPr>
        <w:t>)</w:t>
      </w:r>
      <w:r w:rsidR="001C3B5F" w:rsidRPr="00A27C5B">
        <w:rPr>
          <w:lang w:val="fr-FR" w:eastAsia="en-GB"/>
        </w:rPr>
        <w:tab/>
      </w:r>
      <w:r w:rsidR="001C3B5F" w:rsidRPr="00A27C5B">
        <w:rPr>
          <w:lang w:val="fr-FR" w:eastAsia="fr-BE"/>
        </w:rPr>
        <w:t>Programme</w:t>
      </w:r>
      <w:r w:rsidR="001C3B5F" w:rsidRPr="00A27C5B">
        <w:rPr>
          <w:lang w:val="fr-FR" w:eastAsia="en-GB"/>
        </w:rPr>
        <w:t xml:space="preserve"> de travail de la prochaine présidence</w:t>
      </w:r>
    </w:p>
    <w:p w:rsidR="001C3B5F" w:rsidRPr="00A27C5B" w:rsidRDefault="001C3B5F" w:rsidP="00E50665">
      <w:pPr>
        <w:pStyle w:val="DashEqual2"/>
        <w:rPr>
          <w:iCs/>
          <w:lang w:val="fr-FR"/>
        </w:rPr>
      </w:pPr>
      <w:r w:rsidRPr="00A27C5B">
        <w:rPr>
          <w:lang w:val="fr-FR"/>
        </w:rPr>
        <w:t>Informations</w:t>
      </w:r>
      <w:r w:rsidRPr="00A27C5B">
        <w:rPr>
          <w:iCs/>
          <w:lang w:val="fr-FR"/>
        </w:rPr>
        <w:t xml:space="preserve"> communiquées par la délégation néerlandaise</w:t>
      </w:r>
    </w:p>
    <w:p w:rsidR="00E50665" w:rsidRPr="00A27C5B" w:rsidRDefault="00E50665" w:rsidP="00A64E86">
      <w:pPr>
        <w:spacing w:before="720"/>
        <w:jc w:val="center"/>
        <w:rPr>
          <w:snapToGrid w:val="0"/>
          <w:lang w:val="fr-FR"/>
        </w:rPr>
      </w:pPr>
      <w:r w:rsidRPr="00A27C5B">
        <w:rPr>
          <w:snapToGrid w:val="0"/>
          <w:lang w:val="fr-FR"/>
        </w:rPr>
        <w:t>o</w:t>
      </w:r>
    </w:p>
    <w:p w:rsidR="00E50665" w:rsidRPr="00A27C5B" w:rsidRDefault="00E50665" w:rsidP="00E50665">
      <w:pPr>
        <w:spacing w:before="120"/>
        <w:jc w:val="center"/>
        <w:rPr>
          <w:snapToGrid w:val="0"/>
          <w:lang w:val="fr-FR"/>
        </w:rPr>
      </w:pPr>
      <w:r w:rsidRPr="00A27C5B">
        <w:rPr>
          <w:snapToGrid w:val="0"/>
          <w:lang w:val="fr-FR"/>
        </w:rPr>
        <w:t>o</w:t>
      </w:r>
      <w:r w:rsidRPr="00A27C5B">
        <w:rPr>
          <w:snapToGrid w:val="0"/>
          <w:lang w:val="fr-FR"/>
        </w:rPr>
        <w:tab/>
      </w:r>
      <w:proofErr w:type="spellStart"/>
      <w:r w:rsidRPr="00A27C5B">
        <w:rPr>
          <w:snapToGrid w:val="0"/>
          <w:lang w:val="fr-FR"/>
        </w:rPr>
        <w:t>o</w:t>
      </w:r>
      <w:proofErr w:type="spellEnd"/>
    </w:p>
    <w:p w:rsidR="001C3B5F" w:rsidRPr="00A27C5B" w:rsidRDefault="00A64E86" w:rsidP="00397D2A">
      <w:pPr>
        <w:spacing w:before="240"/>
        <w:outlineLvl w:val="0"/>
        <w:rPr>
          <w:b/>
          <w:iCs/>
          <w:u w:val="single"/>
          <w:lang w:val="fr-FR" w:eastAsia="fr-FR" w:bidi="fr-FR"/>
        </w:rPr>
      </w:pPr>
      <w:r w:rsidRPr="00A27C5B">
        <w:rPr>
          <w:b/>
          <w:iCs/>
          <w:u w:val="single"/>
          <w:lang w:val="fr-FR" w:eastAsia="fr-FR" w:bidi="fr-FR"/>
        </w:rPr>
        <w:br w:type="page"/>
      </w:r>
      <w:r w:rsidR="001C3B5F" w:rsidRPr="00A27C5B">
        <w:rPr>
          <w:b/>
          <w:iCs/>
          <w:u w:val="single"/>
          <w:lang w:val="fr-FR" w:eastAsia="fr-FR" w:bidi="fr-FR"/>
        </w:rPr>
        <w:lastRenderedPageBreak/>
        <w:t>En marge du Conseil</w:t>
      </w:r>
      <w:r w:rsidR="002D6DB8" w:rsidRPr="00A27C5B">
        <w:rPr>
          <w:b/>
          <w:iCs/>
          <w:lang w:val="fr-FR" w:eastAsia="fr-FR" w:bidi="fr-FR"/>
        </w:rPr>
        <w:t xml:space="preserve"> </w:t>
      </w:r>
      <w:r w:rsidR="001C3B5F" w:rsidRPr="00A27C5B">
        <w:rPr>
          <w:b/>
          <w:iCs/>
          <w:lang w:val="fr-FR" w:eastAsia="fr-FR" w:bidi="fr-FR"/>
        </w:rPr>
        <w:t>:</w:t>
      </w:r>
    </w:p>
    <w:p w:rsidR="001C3B5F" w:rsidRPr="00A27C5B" w:rsidRDefault="001C3B5F" w:rsidP="002D6DB8">
      <w:pPr>
        <w:spacing w:before="240"/>
        <w:rPr>
          <w:b/>
          <w:bCs/>
          <w:iCs/>
          <w:u w:val="single"/>
          <w:lang w:val="fr-FR" w:eastAsia="fr-FR" w:bidi="fr-FR"/>
        </w:rPr>
      </w:pPr>
      <w:r w:rsidRPr="00A27C5B">
        <w:rPr>
          <w:b/>
          <w:iCs/>
          <w:u w:val="single"/>
          <w:lang w:val="fr-FR" w:eastAsia="fr-FR" w:bidi="fr-FR"/>
        </w:rPr>
        <w:t xml:space="preserve">Réunion du COMITÉ MIXTE </w:t>
      </w:r>
      <w:r w:rsidR="00A64E86" w:rsidRPr="00A27C5B">
        <w:rPr>
          <w:b/>
          <w:iCs/>
          <w:u w:val="single"/>
          <w:lang w:val="fr-FR" w:eastAsia="fr-FR" w:bidi="fr-FR"/>
        </w:rPr>
        <w:t>(VENDREDI 4 DÉ</w:t>
      </w:r>
      <w:r w:rsidRPr="00A27C5B">
        <w:rPr>
          <w:b/>
          <w:iCs/>
          <w:u w:val="single"/>
          <w:lang w:val="fr-FR" w:eastAsia="fr-FR" w:bidi="fr-FR"/>
        </w:rPr>
        <w:t>CEMBRE 2015 – 10</w:t>
      </w:r>
      <w:r w:rsidR="002D6DB8" w:rsidRPr="00A27C5B">
        <w:rPr>
          <w:b/>
          <w:iCs/>
          <w:u w:val="single"/>
          <w:lang w:val="fr-FR" w:eastAsia="fr-FR" w:bidi="fr-FR"/>
        </w:rPr>
        <w:t>:</w:t>
      </w:r>
      <w:r w:rsidRPr="00A27C5B">
        <w:rPr>
          <w:b/>
          <w:iCs/>
          <w:u w:val="single"/>
          <w:lang w:val="fr-FR" w:eastAsia="fr-FR" w:bidi="fr-FR"/>
        </w:rPr>
        <w:t>00)</w:t>
      </w:r>
    </w:p>
    <w:p w:rsidR="001C3B5F" w:rsidRPr="00A27C5B" w:rsidRDefault="001C3B5F" w:rsidP="00A64E86">
      <w:pPr>
        <w:pStyle w:val="PointManual"/>
        <w:spacing w:before="360"/>
        <w:rPr>
          <w:lang w:val="fr-FR" w:eastAsia="en-GB"/>
        </w:rPr>
      </w:pPr>
      <w:r w:rsidRPr="00A27C5B">
        <w:rPr>
          <w:lang w:val="fr-FR"/>
        </w:rPr>
        <w:t>-</w:t>
      </w:r>
      <w:r w:rsidRPr="00A27C5B">
        <w:rPr>
          <w:lang w:val="fr-FR"/>
        </w:rPr>
        <w:tab/>
        <w:t>Migration</w:t>
      </w:r>
    </w:p>
    <w:p w:rsidR="001C3B5F" w:rsidRPr="00A27C5B" w:rsidRDefault="00397670" w:rsidP="0038065B">
      <w:pPr>
        <w:pStyle w:val="DashEqual1"/>
        <w:tabs>
          <w:tab w:val="left" w:pos="1134"/>
          <w:tab w:val="num" w:pos="1844"/>
        </w:tabs>
        <w:rPr>
          <w:lang w:val="fr-FR"/>
        </w:rPr>
      </w:pPr>
      <w:r w:rsidRPr="00A27C5B">
        <w:rPr>
          <w:lang w:val="fr-FR"/>
        </w:rPr>
        <w:t>É</w:t>
      </w:r>
      <w:r w:rsidR="001C3B5F" w:rsidRPr="00A27C5B">
        <w:rPr>
          <w:lang w:val="fr-FR"/>
        </w:rPr>
        <w:t>tat de la situation et suivi de la mise en œuvre des mesures prises</w:t>
      </w:r>
    </w:p>
    <w:p w:rsidR="001C3B5F" w:rsidRPr="00A27C5B" w:rsidRDefault="001C3B5F" w:rsidP="0038065B">
      <w:pPr>
        <w:pStyle w:val="DashEqual1"/>
        <w:tabs>
          <w:tab w:val="left" w:pos="1134"/>
          <w:tab w:val="num" w:pos="1844"/>
        </w:tabs>
        <w:rPr>
          <w:lang w:val="fr-FR"/>
        </w:rPr>
      </w:pPr>
      <w:r w:rsidRPr="00A27C5B">
        <w:rPr>
          <w:lang w:val="fr-FR"/>
        </w:rPr>
        <w:t>Actions à venir</w:t>
      </w:r>
    </w:p>
    <w:p w:rsidR="001C3B5F" w:rsidRPr="00A27C5B" w:rsidRDefault="001C3B5F" w:rsidP="00A64E86">
      <w:pPr>
        <w:pStyle w:val="PointManual"/>
        <w:spacing w:before="360"/>
        <w:rPr>
          <w:lang w:val="fr-FR"/>
        </w:rPr>
      </w:pPr>
      <w:r w:rsidRPr="00A27C5B">
        <w:rPr>
          <w:lang w:val="fr-FR"/>
        </w:rPr>
        <w:t>-</w:t>
      </w:r>
      <w:r w:rsidRPr="00A27C5B">
        <w:rPr>
          <w:lang w:val="fr-FR"/>
        </w:rPr>
        <w:tab/>
        <w:t xml:space="preserve">Gouvernance de Schengen: Huitième rapport semestriel de la Commission au Parlement européen et au Conseil sur le fonctionnement de l'espace Schengen </w:t>
      </w:r>
      <w:r w:rsidRPr="00A27C5B">
        <w:rPr>
          <w:lang w:val="fr-FR"/>
        </w:rPr>
        <w:br/>
        <w:t>(1er mai 2015 - 31 octobre 2015)</w:t>
      </w:r>
    </w:p>
    <w:p w:rsidR="001C3B5F" w:rsidRPr="00A27C5B" w:rsidRDefault="001C3B5F" w:rsidP="0038065B">
      <w:pPr>
        <w:pStyle w:val="DashEqual1"/>
        <w:tabs>
          <w:tab w:val="left" w:pos="1134"/>
          <w:tab w:val="num" w:pos="1844"/>
        </w:tabs>
        <w:rPr>
          <w:lang w:val="fr-FR"/>
        </w:rPr>
      </w:pPr>
      <w:r w:rsidRPr="00A27C5B">
        <w:rPr>
          <w:lang w:val="fr-FR"/>
        </w:rPr>
        <w:t xml:space="preserve">Présentation par la Commission / </w:t>
      </w:r>
      <w:r w:rsidR="00397670" w:rsidRPr="00A27C5B">
        <w:rPr>
          <w:lang w:val="fr-FR"/>
        </w:rPr>
        <w:t>Échange</w:t>
      </w:r>
      <w:r w:rsidRPr="00A27C5B">
        <w:rPr>
          <w:lang w:val="fr-FR"/>
        </w:rPr>
        <w:t xml:space="preserve"> de vues</w:t>
      </w:r>
    </w:p>
    <w:p w:rsidR="001C3B5F" w:rsidRPr="00A27C5B" w:rsidRDefault="001C3B5F" w:rsidP="00A64E86">
      <w:pPr>
        <w:pStyle w:val="PointManual"/>
        <w:spacing w:before="360"/>
        <w:rPr>
          <w:lang w:val="fr-FR" w:eastAsia="fr-FR" w:bidi="fr-FR"/>
        </w:rPr>
      </w:pPr>
      <w:r w:rsidRPr="00A27C5B">
        <w:rPr>
          <w:lang w:val="fr-FR" w:eastAsia="fr-FR" w:bidi="fr-FR"/>
        </w:rPr>
        <w:t>-</w:t>
      </w:r>
      <w:r w:rsidRPr="00A27C5B">
        <w:rPr>
          <w:lang w:val="fr-FR" w:eastAsia="fr-FR" w:bidi="fr-FR"/>
        </w:rPr>
        <w:tab/>
      </w:r>
      <w:r w:rsidRPr="00A27C5B">
        <w:rPr>
          <w:lang w:val="fr-FR"/>
        </w:rPr>
        <w:t>Divers</w:t>
      </w:r>
    </w:p>
    <w:p w:rsidR="001C3B5F" w:rsidRPr="00A27C5B" w:rsidRDefault="001C3B5F" w:rsidP="0038065B">
      <w:pPr>
        <w:pStyle w:val="DashEqual1"/>
        <w:tabs>
          <w:tab w:val="left" w:pos="1134"/>
          <w:tab w:val="num" w:pos="1844"/>
        </w:tabs>
        <w:rPr>
          <w:lang w:val="fr-FR" w:eastAsia="fr-FR" w:bidi="fr-FR"/>
        </w:rPr>
      </w:pPr>
      <w:r w:rsidRPr="00A27C5B">
        <w:rPr>
          <w:lang w:val="fr-FR" w:eastAsia="fr-FR" w:bidi="fr-FR"/>
        </w:rPr>
        <w:t xml:space="preserve">Informations </w:t>
      </w:r>
      <w:r w:rsidRPr="00A27C5B">
        <w:rPr>
          <w:lang w:val="fr-FR"/>
        </w:rPr>
        <w:t>communiquées</w:t>
      </w:r>
      <w:r w:rsidRPr="00A27C5B">
        <w:rPr>
          <w:lang w:val="fr-FR" w:eastAsia="fr-FR" w:bidi="fr-FR"/>
        </w:rPr>
        <w:t xml:space="preserve"> par la présidence au sujet des propositions législatives en cours d'examen</w:t>
      </w:r>
    </w:p>
    <w:p w:rsidR="00511784" w:rsidRPr="00A27C5B" w:rsidRDefault="00511784" w:rsidP="000D638D">
      <w:pPr>
        <w:pStyle w:val="FinalLine"/>
        <w:spacing w:before="1200"/>
        <w:rPr>
          <w:lang w:val="fr-FR"/>
        </w:rPr>
      </w:pPr>
    </w:p>
    <w:p w:rsidR="00511784" w:rsidRPr="00A27C5B" w:rsidRDefault="00511784" w:rsidP="00511784">
      <w:pPr>
        <w:pStyle w:val="NB"/>
        <w:rPr>
          <w:b/>
          <w:bCs/>
          <w:lang w:val="fr-FR"/>
        </w:rPr>
      </w:pPr>
      <w:r w:rsidRPr="00A27C5B">
        <w:rPr>
          <w:b/>
          <w:bCs/>
          <w:lang w:val="fr-FR"/>
        </w:rPr>
        <w:t>NB:</w:t>
      </w:r>
      <w:r w:rsidRPr="00A27C5B">
        <w:rPr>
          <w:b/>
          <w:bCs/>
          <w:lang w:val="fr-FR"/>
        </w:rPr>
        <w:tab/>
        <w:t>Veuillez transmettre au service du protocole, aussi rapidement que possible, une liste des délégués qui participeront à cette réunion. Adresse électronique: protocole.participants@consilium.europa.eu</w:t>
      </w:r>
    </w:p>
    <w:p w:rsidR="00FC4670" w:rsidRPr="00A27C5B" w:rsidRDefault="00511784" w:rsidP="00511784">
      <w:pPr>
        <w:pStyle w:val="NB"/>
        <w:rPr>
          <w:b/>
          <w:bCs/>
          <w:lang w:val="fr-FR"/>
        </w:rPr>
      </w:pPr>
      <w:r w:rsidRPr="00A27C5B">
        <w:rPr>
          <w:b/>
          <w:bCs/>
          <w:lang w:val="fr-FR"/>
        </w:rPr>
        <w:t>NB:</w:t>
      </w:r>
      <w:r w:rsidRPr="00A27C5B">
        <w:rPr>
          <w:b/>
          <w:bCs/>
          <w:lang w:val="fr-FR"/>
        </w:rPr>
        <w:tab/>
        <w:t>Il est recommandé aux délégués devant obtenir un badge journalier pour assister aux réunions de consulter le document 14387/1/12 REV 1 afin de prendre connaissance des modalités d'obtention de ce badge.</w:t>
      </w:r>
    </w:p>
    <w:sectPr w:rsidR="00FC4670" w:rsidRPr="00A27C5B" w:rsidSect="00A27C5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84" w:rsidRDefault="00511784" w:rsidP="00511784">
      <w:r>
        <w:separator/>
      </w:r>
    </w:p>
  </w:endnote>
  <w:endnote w:type="continuationSeparator" w:id="0">
    <w:p w:rsidR="00511784" w:rsidRDefault="00511784" w:rsidP="005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5B" w:rsidRPr="00A27C5B" w:rsidRDefault="00A27C5B" w:rsidP="00A27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27C5B" w:rsidRPr="00D94637" w:rsidTr="00A27C5B">
      <w:trPr>
        <w:jc w:val="center"/>
      </w:trPr>
      <w:tc>
        <w:tcPr>
          <w:tcW w:w="5000" w:type="pct"/>
          <w:gridSpan w:val="7"/>
          <w:shd w:val="clear" w:color="auto" w:fill="auto"/>
          <w:tcMar>
            <w:top w:w="57" w:type="dxa"/>
          </w:tcMar>
        </w:tcPr>
        <w:p w:rsidR="00A27C5B" w:rsidRPr="00D94637" w:rsidRDefault="00A27C5B" w:rsidP="00D94637">
          <w:pPr>
            <w:pStyle w:val="FooterText"/>
            <w:pBdr>
              <w:top w:val="single" w:sz="4" w:space="1" w:color="auto"/>
            </w:pBdr>
            <w:spacing w:before="200"/>
            <w:rPr>
              <w:sz w:val="2"/>
              <w:szCs w:val="2"/>
            </w:rPr>
          </w:pPr>
          <w:bookmarkStart w:id="2" w:name="FOOTER_STANDARD"/>
        </w:p>
      </w:tc>
    </w:tr>
    <w:tr w:rsidR="00A27C5B" w:rsidRPr="00B310DC" w:rsidTr="00A27C5B">
      <w:trPr>
        <w:jc w:val="center"/>
      </w:trPr>
      <w:tc>
        <w:tcPr>
          <w:tcW w:w="2500" w:type="pct"/>
          <w:gridSpan w:val="2"/>
          <w:shd w:val="clear" w:color="auto" w:fill="auto"/>
          <w:tcMar>
            <w:top w:w="0" w:type="dxa"/>
          </w:tcMar>
        </w:tcPr>
        <w:p w:rsidR="00A27C5B" w:rsidRPr="00AD7BF2" w:rsidRDefault="00A27C5B" w:rsidP="004F54B2">
          <w:pPr>
            <w:pStyle w:val="FooterText"/>
          </w:pPr>
          <w:r>
            <w:t>CM 4593/15</w:t>
          </w:r>
          <w:r w:rsidRPr="002511D8">
            <w:t xml:space="preserve"> </w:t>
          </w:r>
        </w:p>
      </w:tc>
      <w:tc>
        <w:tcPr>
          <w:tcW w:w="625" w:type="pct"/>
          <w:shd w:val="clear" w:color="auto" w:fill="auto"/>
          <w:tcMar>
            <w:top w:w="0" w:type="dxa"/>
          </w:tcMar>
        </w:tcPr>
        <w:p w:rsidR="00A27C5B" w:rsidRPr="00AD7BF2" w:rsidRDefault="00A27C5B" w:rsidP="00D94637">
          <w:pPr>
            <w:pStyle w:val="FooterText"/>
            <w:jc w:val="center"/>
          </w:pPr>
        </w:p>
      </w:tc>
      <w:tc>
        <w:tcPr>
          <w:tcW w:w="1287" w:type="pct"/>
          <w:gridSpan w:val="3"/>
          <w:shd w:val="clear" w:color="auto" w:fill="auto"/>
          <w:tcMar>
            <w:top w:w="0" w:type="dxa"/>
          </w:tcMar>
        </w:tcPr>
        <w:p w:rsidR="00A27C5B" w:rsidRPr="002511D8" w:rsidRDefault="00A27C5B" w:rsidP="00D94637">
          <w:pPr>
            <w:pStyle w:val="FooterText"/>
            <w:jc w:val="center"/>
          </w:pPr>
        </w:p>
      </w:tc>
      <w:tc>
        <w:tcPr>
          <w:tcW w:w="588" w:type="pct"/>
          <w:shd w:val="clear" w:color="auto" w:fill="auto"/>
          <w:tcMar>
            <w:top w:w="0" w:type="dxa"/>
          </w:tcMar>
        </w:tcPr>
        <w:p w:rsidR="00A27C5B" w:rsidRPr="00B310DC" w:rsidRDefault="00A27C5B"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A27C5B" w:rsidRPr="00D94637" w:rsidTr="00A27C5B">
      <w:trPr>
        <w:jc w:val="center"/>
      </w:trPr>
      <w:tc>
        <w:tcPr>
          <w:tcW w:w="1774" w:type="pct"/>
          <w:shd w:val="clear" w:color="auto" w:fill="auto"/>
        </w:tcPr>
        <w:p w:rsidR="00A27C5B" w:rsidRPr="00AD7BF2" w:rsidRDefault="00A27C5B" w:rsidP="00D94637">
          <w:pPr>
            <w:pStyle w:val="FooterText"/>
            <w:spacing w:before="40"/>
          </w:pPr>
        </w:p>
      </w:tc>
      <w:tc>
        <w:tcPr>
          <w:tcW w:w="1455" w:type="pct"/>
          <w:gridSpan w:val="3"/>
          <w:shd w:val="clear" w:color="auto" w:fill="auto"/>
        </w:tcPr>
        <w:p w:rsidR="00A27C5B" w:rsidRPr="00AD7BF2" w:rsidRDefault="00A27C5B" w:rsidP="00D204D6">
          <w:pPr>
            <w:pStyle w:val="FooterText"/>
            <w:spacing w:before="40"/>
            <w:jc w:val="center"/>
          </w:pPr>
        </w:p>
      </w:tc>
      <w:tc>
        <w:tcPr>
          <w:tcW w:w="1147" w:type="pct"/>
          <w:shd w:val="clear" w:color="auto" w:fill="auto"/>
        </w:tcPr>
        <w:p w:rsidR="00A27C5B" w:rsidRPr="00D94637" w:rsidRDefault="00A27C5B" w:rsidP="00D94637">
          <w:pPr>
            <w:pStyle w:val="FooterText"/>
            <w:jc w:val="right"/>
            <w:rPr>
              <w:b/>
              <w:position w:val="-4"/>
              <w:sz w:val="36"/>
            </w:rPr>
          </w:pPr>
        </w:p>
      </w:tc>
      <w:tc>
        <w:tcPr>
          <w:tcW w:w="625" w:type="pct"/>
          <w:gridSpan w:val="2"/>
          <w:shd w:val="clear" w:color="auto" w:fill="auto"/>
        </w:tcPr>
        <w:p w:rsidR="00A27C5B" w:rsidRPr="00D94637" w:rsidRDefault="00A27C5B" w:rsidP="00D94637">
          <w:pPr>
            <w:pStyle w:val="FooterText"/>
            <w:jc w:val="right"/>
            <w:rPr>
              <w:sz w:val="16"/>
            </w:rPr>
          </w:pPr>
          <w:r>
            <w:rPr>
              <w:b/>
              <w:position w:val="-4"/>
              <w:sz w:val="36"/>
            </w:rPr>
            <w:t>FR</w:t>
          </w:r>
        </w:p>
      </w:tc>
    </w:tr>
    <w:bookmarkEnd w:id="2"/>
  </w:tbl>
  <w:p w:rsidR="00511784" w:rsidRPr="00A27C5B" w:rsidRDefault="00511784" w:rsidP="00A27C5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27C5B" w:rsidRPr="00D94637" w:rsidTr="00A27C5B">
      <w:trPr>
        <w:jc w:val="center"/>
      </w:trPr>
      <w:tc>
        <w:tcPr>
          <w:tcW w:w="5000" w:type="pct"/>
          <w:gridSpan w:val="7"/>
          <w:shd w:val="clear" w:color="auto" w:fill="auto"/>
          <w:tcMar>
            <w:top w:w="57" w:type="dxa"/>
          </w:tcMar>
        </w:tcPr>
        <w:p w:rsidR="00A27C5B" w:rsidRPr="00D94637" w:rsidRDefault="00A27C5B" w:rsidP="00D94637">
          <w:pPr>
            <w:pStyle w:val="FooterText"/>
            <w:pBdr>
              <w:top w:val="single" w:sz="4" w:space="1" w:color="auto"/>
            </w:pBdr>
            <w:spacing w:before="200"/>
            <w:rPr>
              <w:sz w:val="2"/>
              <w:szCs w:val="2"/>
            </w:rPr>
          </w:pPr>
        </w:p>
      </w:tc>
    </w:tr>
    <w:tr w:rsidR="00A27C5B" w:rsidRPr="00B310DC" w:rsidTr="00A27C5B">
      <w:trPr>
        <w:jc w:val="center"/>
      </w:trPr>
      <w:tc>
        <w:tcPr>
          <w:tcW w:w="2500" w:type="pct"/>
          <w:gridSpan w:val="2"/>
          <w:shd w:val="clear" w:color="auto" w:fill="auto"/>
          <w:tcMar>
            <w:top w:w="0" w:type="dxa"/>
          </w:tcMar>
        </w:tcPr>
        <w:p w:rsidR="00A27C5B" w:rsidRPr="00AD7BF2" w:rsidRDefault="00A27C5B" w:rsidP="004F54B2">
          <w:pPr>
            <w:pStyle w:val="FooterText"/>
          </w:pPr>
          <w:r>
            <w:t>CM 4593/15</w:t>
          </w:r>
          <w:r w:rsidRPr="002511D8">
            <w:t xml:space="preserve"> </w:t>
          </w:r>
        </w:p>
      </w:tc>
      <w:tc>
        <w:tcPr>
          <w:tcW w:w="625" w:type="pct"/>
          <w:shd w:val="clear" w:color="auto" w:fill="auto"/>
          <w:tcMar>
            <w:top w:w="0" w:type="dxa"/>
          </w:tcMar>
        </w:tcPr>
        <w:p w:rsidR="00A27C5B" w:rsidRPr="00AD7BF2" w:rsidRDefault="00A27C5B" w:rsidP="00D94637">
          <w:pPr>
            <w:pStyle w:val="FooterText"/>
            <w:jc w:val="center"/>
          </w:pPr>
        </w:p>
      </w:tc>
      <w:tc>
        <w:tcPr>
          <w:tcW w:w="1287" w:type="pct"/>
          <w:gridSpan w:val="3"/>
          <w:shd w:val="clear" w:color="auto" w:fill="auto"/>
          <w:tcMar>
            <w:top w:w="0" w:type="dxa"/>
          </w:tcMar>
        </w:tcPr>
        <w:p w:rsidR="00A27C5B" w:rsidRPr="002511D8" w:rsidRDefault="00A27C5B" w:rsidP="00D94637">
          <w:pPr>
            <w:pStyle w:val="FooterText"/>
            <w:jc w:val="center"/>
          </w:pPr>
        </w:p>
      </w:tc>
      <w:tc>
        <w:tcPr>
          <w:tcW w:w="588" w:type="pct"/>
          <w:shd w:val="clear" w:color="auto" w:fill="auto"/>
          <w:tcMar>
            <w:top w:w="0" w:type="dxa"/>
          </w:tcMar>
        </w:tcPr>
        <w:p w:rsidR="00A27C5B" w:rsidRPr="00B310DC" w:rsidRDefault="00A27C5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27C5B" w:rsidRPr="00D94637" w:rsidTr="00A27C5B">
      <w:trPr>
        <w:jc w:val="center"/>
      </w:trPr>
      <w:tc>
        <w:tcPr>
          <w:tcW w:w="1774" w:type="pct"/>
          <w:shd w:val="clear" w:color="auto" w:fill="auto"/>
        </w:tcPr>
        <w:p w:rsidR="00A27C5B" w:rsidRPr="00AD7BF2" w:rsidRDefault="00A27C5B" w:rsidP="00D94637">
          <w:pPr>
            <w:pStyle w:val="FooterText"/>
            <w:spacing w:before="40"/>
          </w:pPr>
        </w:p>
      </w:tc>
      <w:tc>
        <w:tcPr>
          <w:tcW w:w="1455" w:type="pct"/>
          <w:gridSpan w:val="3"/>
          <w:shd w:val="clear" w:color="auto" w:fill="auto"/>
        </w:tcPr>
        <w:p w:rsidR="00A27C5B" w:rsidRPr="00AD7BF2" w:rsidRDefault="00A27C5B" w:rsidP="00D204D6">
          <w:pPr>
            <w:pStyle w:val="FooterText"/>
            <w:spacing w:before="40"/>
            <w:jc w:val="center"/>
          </w:pPr>
        </w:p>
      </w:tc>
      <w:tc>
        <w:tcPr>
          <w:tcW w:w="1147" w:type="pct"/>
          <w:shd w:val="clear" w:color="auto" w:fill="auto"/>
        </w:tcPr>
        <w:p w:rsidR="00A27C5B" w:rsidRPr="00D94637" w:rsidRDefault="00A27C5B" w:rsidP="00D94637">
          <w:pPr>
            <w:pStyle w:val="FooterText"/>
            <w:jc w:val="right"/>
            <w:rPr>
              <w:b/>
              <w:position w:val="-4"/>
              <w:sz w:val="36"/>
            </w:rPr>
          </w:pPr>
        </w:p>
      </w:tc>
      <w:tc>
        <w:tcPr>
          <w:tcW w:w="625" w:type="pct"/>
          <w:gridSpan w:val="2"/>
          <w:shd w:val="clear" w:color="auto" w:fill="auto"/>
        </w:tcPr>
        <w:p w:rsidR="00A27C5B" w:rsidRPr="00D94637" w:rsidRDefault="00A27C5B" w:rsidP="00D94637">
          <w:pPr>
            <w:pStyle w:val="FooterText"/>
            <w:jc w:val="right"/>
            <w:rPr>
              <w:sz w:val="16"/>
            </w:rPr>
          </w:pPr>
          <w:r>
            <w:rPr>
              <w:b/>
              <w:position w:val="-4"/>
              <w:sz w:val="36"/>
            </w:rPr>
            <w:t>FR</w:t>
          </w:r>
        </w:p>
      </w:tc>
    </w:tr>
  </w:tbl>
  <w:p w:rsidR="00511784" w:rsidRPr="00A27C5B" w:rsidRDefault="00511784" w:rsidP="00A27C5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84" w:rsidRDefault="00511784" w:rsidP="00511784">
      <w:r>
        <w:separator/>
      </w:r>
    </w:p>
  </w:footnote>
  <w:footnote w:type="continuationSeparator" w:id="0">
    <w:p w:rsidR="00511784" w:rsidRDefault="00511784" w:rsidP="00511784">
      <w:r>
        <w:continuationSeparator/>
      </w:r>
    </w:p>
  </w:footnote>
  <w:footnote w:id="1">
    <w:p w:rsidR="00D7104D" w:rsidRPr="00150D17" w:rsidRDefault="00D7104D" w:rsidP="00D7104D">
      <w:pPr>
        <w:pStyle w:val="FootnoteText"/>
        <w:rPr>
          <w:lang w:val="fr-BE"/>
        </w:rPr>
      </w:pPr>
      <w:r>
        <w:rPr>
          <w:rStyle w:val="FootnoteReference"/>
        </w:rPr>
        <w:footnoteRef/>
      </w:r>
      <w:r w:rsidRPr="00B64863">
        <w:rPr>
          <w:szCs w:val="24"/>
          <w:lang w:val="fr-BE"/>
        </w:rPr>
        <w:tab/>
        <w:t>À titre exceptionnel, en présence des États associés</w:t>
      </w:r>
    </w:p>
  </w:footnote>
  <w:footnote w:id="2">
    <w:p w:rsidR="00352E54" w:rsidRPr="00352E54" w:rsidRDefault="00352E54">
      <w:pPr>
        <w:pStyle w:val="FootnoteText"/>
        <w:rPr>
          <w:lang w:val="fr-BE"/>
        </w:rPr>
      </w:pPr>
      <w:r>
        <w:rPr>
          <w:rStyle w:val="FootnoteReference"/>
        </w:rPr>
        <w:footnoteRef/>
      </w:r>
      <w:r w:rsidR="00A64E86">
        <w:rPr>
          <w:lang w:val="fr-BE"/>
        </w:rPr>
        <w:tab/>
      </w:r>
      <w:r w:rsidRPr="0020352D">
        <w:rPr>
          <w:szCs w:val="24"/>
          <w:lang w:val="fr-BE"/>
        </w:rPr>
        <w:t>À titre exceptionnel, en présence des États associés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5B" w:rsidRPr="00A27C5B" w:rsidRDefault="00A27C5B" w:rsidP="00A27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5B" w:rsidRPr="00A27C5B" w:rsidRDefault="00A27C5B" w:rsidP="00A27C5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5B" w:rsidRPr="00A27C5B" w:rsidRDefault="00A27C5B" w:rsidP="00A27C5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1"/>
  </w:num>
  <w:num w:numId="21">
    <w:abstractNumId w:val="13"/>
  </w:num>
  <w:num w:numId="22">
    <w:abstractNumId w:val="13"/>
  </w:num>
  <w:num w:numId="23">
    <w:abstractNumId w:val="11"/>
  </w:num>
  <w:num w:numId="24">
    <w:abstractNumId w:val="11"/>
  </w:num>
  <w:num w:numId="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cd15a341-1269-4e7b-9e55-77e60d836de2&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1-18&lt;/text&gt;_x000d__x000a_  &lt;/metadata&gt;_x000d__x000a_  &lt;metadata key=&quot;md_Prefix&quot;&gt;_x000d__x000a_    &lt;text&gt;CM&lt;/text&gt;_x000d__x000a_  &lt;/metadata&gt;_x000d__x000a_  &lt;metadata key=&quot;md_DocumentNumber&quot;&gt;_x000d__x000a_    &lt;text&gt;459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33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amp;gt;34&amp;lt;/Run&amp;gt;&amp;lt;Run xml:lang=&quot;en-gb&quot;&amp;gt;33&amp;lt;/Run&amp;gt;&amp;lt;Run BaselineAlignment=&quot;Superscript&quot; xml:lang=&quot;fr-be&quot;&amp;gt;e&amp;lt;/Run&amp;gt;&amp;lt;Run BaselineAlignment=&quot;Subscript&quot; xml:lang=&quot;fr-be&quot; xml:space=&quot;preserve&quot;&amp;gt; &amp;lt;/Run&amp;gt;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2-03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12-04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511784"/>
    <w:rsid w:val="00003A99"/>
    <w:rsid w:val="00010C1D"/>
    <w:rsid w:val="00055CD7"/>
    <w:rsid w:val="000629F2"/>
    <w:rsid w:val="0009656C"/>
    <w:rsid w:val="000D638D"/>
    <w:rsid w:val="000E6295"/>
    <w:rsid w:val="00102E32"/>
    <w:rsid w:val="00153B1C"/>
    <w:rsid w:val="00165755"/>
    <w:rsid w:val="00182F2F"/>
    <w:rsid w:val="001B1149"/>
    <w:rsid w:val="001C1958"/>
    <w:rsid w:val="001C3B5F"/>
    <w:rsid w:val="00213F1F"/>
    <w:rsid w:val="00224CD2"/>
    <w:rsid w:val="002662AA"/>
    <w:rsid w:val="002A2AE8"/>
    <w:rsid w:val="002A3BD9"/>
    <w:rsid w:val="002D3B3B"/>
    <w:rsid w:val="002D6DB8"/>
    <w:rsid w:val="0033149A"/>
    <w:rsid w:val="00352E54"/>
    <w:rsid w:val="0038065B"/>
    <w:rsid w:val="00397670"/>
    <w:rsid w:val="00397D2A"/>
    <w:rsid w:val="003B5D62"/>
    <w:rsid w:val="003C3199"/>
    <w:rsid w:val="003C6E8B"/>
    <w:rsid w:val="003E6307"/>
    <w:rsid w:val="003E6640"/>
    <w:rsid w:val="004618FD"/>
    <w:rsid w:val="004B2EBD"/>
    <w:rsid w:val="004C431D"/>
    <w:rsid w:val="00511784"/>
    <w:rsid w:val="005157F5"/>
    <w:rsid w:val="005C6BE7"/>
    <w:rsid w:val="005E4AFB"/>
    <w:rsid w:val="005F498D"/>
    <w:rsid w:val="0062044B"/>
    <w:rsid w:val="006326C1"/>
    <w:rsid w:val="0063314B"/>
    <w:rsid w:val="0063379B"/>
    <w:rsid w:val="00640B7D"/>
    <w:rsid w:val="0064395A"/>
    <w:rsid w:val="006A38C5"/>
    <w:rsid w:val="006C1AD4"/>
    <w:rsid w:val="006E33E2"/>
    <w:rsid w:val="006E56FB"/>
    <w:rsid w:val="006F4741"/>
    <w:rsid w:val="0075756A"/>
    <w:rsid w:val="00766B94"/>
    <w:rsid w:val="00782B47"/>
    <w:rsid w:val="00825503"/>
    <w:rsid w:val="00835C79"/>
    <w:rsid w:val="00852D96"/>
    <w:rsid w:val="0086526B"/>
    <w:rsid w:val="008826F8"/>
    <w:rsid w:val="00896737"/>
    <w:rsid w:val="008C3C6F"/>
    <w:rsid w:val="008D0F9C"/>
    <w:rsid w:val="00947559"/>
    <w:rsid w:val="00A04661"/>
    <w:rsid w:val="00A27C5B"/>
    <w:rsid w:val="00A469D7"/>
    <w:rsid w:val="00A566F1"/>
    <w:rsid w:val="00A64E86"/>
    <w:rsid w:val="00B120CC"/>
    <w:rsid w:val="00B1784D"/>
    <w:rsid w:val="00BB7CE6"/>
    <w:rsid w:val="00BE1373"/>
    <w:rsid w:val="00BE1879"/>
    <w:rsid w:val="00BE283C"/>
    <w:rsid w:val="00C028FF"/>
    <w:rsid w:val="00C104C8"/>
    <w:rsid w:val="00C21C7C"/>
    <w:rsid w:val="00C635FF"/>
    <w:rsid w:val="00CC14A1"/>
    <w:rsid w:val="00CE2D4F"/>
    <w:rsid w:val="00D451E4"/>
    <w:rsid w:val="00D57555"/>
    <w:rsid w:val="00D7104D"/>
    <w:rsid w:val="00DF35ED"/>
    <w:rsid w:val="00E12B39"/>
    <w:rsid w:val="00E50665"/>
    <w:rsid w:val="00E7491C"/>
    <w:rsid w:val="00E96F78"/>
    <w:rsid w:val="00EE301D"/>
    <w:rsid w:val="00F44B04"/>
    <w:rsid w:val="00F91250"/>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EE301D"/>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val="fr-FR"/>
    </w:rPr>
  </w:style>
  <w:style w:type="character" w:customStyle="1" w:styleId="TechnicalBlockChar">
    <w:name w:val="Technical Block Char"/>
    <w:basedOn w:val="DefaultParagraphFont"/>
    <w:link w:val="TechnicalBlock"/>
    <w:rsid w:val="00511784"/>
    <w:rPr>
      <w:sz w:val="24"/>
      <w:szCs w:val="24"/>
      <w:lang w:val="en-GB" w:eastAsia="en-US"/>
    </w:rPr>
  </w:style>
  <w:style w:type="character" w:customStyle="1" w:styleId="HeaderCouncilLargeChar">
    <w:name w:val="Header Council Large Char"/>
    <w:basedOn w:val="TechnicalBlockChar"/>
    <w:link w:val="HeaderCouncilLarge"/>
    <w:rsid w:val="00511784"/>
    <w:rPr>
      <w:sz w:val="2"/>
      <w:szCs w:val="24"/>
      <w:lang w:val="fr-FR" w:eastAsia="en-US"/>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fr-FR" w:eastAsia="en-US"/>
    </w:rPr>
  </w:style>
  <w:style w:type="character" w:customStyle="1" w:styleId="PointManualChar">
    <w:name w:val="Point Manual Char"/>
    <w:link w:val="PointManual"/>
    <w:rsid w:val="000E6295"/>
    <w:rPr>
      <w:sz w:val="24"/>
      <w:szCs w:val="24"/>
      <w:lang w:val="fr-FR" w:eastAsia="en-US"/>
    </w:rPr>
  </w:style>
  <w:style w:type="character" w:customStyle="1" w:styleId="FootnoteTextChar">
    <w:name w:val="Footnote Text Char"/>
    <w:link w:val="FootnoteText"/>
    <w:uiPriority w:val="99"/>
    <w:rsid w:val="001C3B5F"/>
    <w:rPr>
      <w:sz w:val="24"/>
      <w:lang w:val="en-GB" w:eastAsia="en-US"/>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EE301D"/>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val="fr-FR"/>
    </w:rPr>
  </w:style>
  <w:style w:type="character" w:customStyle="1" w:styleId="TechnicalBlockChar">
    <w:name w:val="Technical Block Char"/>
    <w:basedOn w:val="DefaultParagraphFont"/>
    <w:link w:val="TechnicalBlock"/>
    <w:rsid w:val="00511784"/>
    <w:rPr>
      <w:sz w:val="24"/>
      <w:szCs w:val="24"/>
      <w:lang w:val="en-GB" w:eastAsia="en-US"/>
    </w:rPr>
  </w:style>
  <w:style w:type="character" w:customStyle="1" w:styleId="HeaderCouncilLargeChar">
    <w:name w:val="Header Council Large Char"/>
    <w:basedOn w:val="TechnicalBlockChar"/>
    <w:link w:val="HeaderCouncilLarge"/>
    <w:rsid w:val="00511784"/>
    <w:rPr>
      <w:sz w:val="2"/>
      <w:szCs w:val="24"/>
      <w:lang w:val="fr-FR" w:eastAsia="en-US"/>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fr-FR" w:eastAsia="en-US"/>
    </w:rPr>
  </w:style>
  <w:style w:type="character" w:customStyle="1" w:styleId="PointManualChar">
    <w:name w:val="Point Manual Char"/>
    <w:link w:val="PointManual"/>
    <w:rsid w:val="000E6295"/>
    <w:rPr>
      <w:sz w:val="24"/>
      <w:szCs w:val="24"/>
      <w:lang w:val="fr-FR" w:eastAsia="en-US"/>
    </w:rPr>
  </w:style>
  <w:style w:type="character" w:customStyle="1" w:styleId="FootnoteTextChar">
    <w:name w:val="Footnote Text Char"/>
    <w:link w:val="FootnoteText"/>
    <w:uiPriority w:val="99"/>
    <w:rsid w:val="001C3B5F"/>
    <w:rPr>
      <w:sz w:val="24"/>
      <w:lang w:val="en-GB" w:eastAsia="en-US"/>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9990">
      <w:bodyDiv w:val="1"/>
      <w:marLeft w:val="0"/>
      <w:marRight w:val="0"/>
      <w:marTop w:val="0"/>
      <w:marBottom w:val="0"/>
      <w:divBdr>
        <w:top w:val="none" w:sz="0" w:space="0" w:color="auto"/>
        <w:left w:val="none" w:sz="0" w:space="0" w:color="auto"/>
        <w:bottom w:val="none" w:sz="0" w:space="0" w:color="auto"/>
        <w:right w:val="none" w:sz="0" w:space="0" w:color="auto"/>
      </w:divBdr>
    </w:div>
    <w:div w:id="18531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A64C-43ED-409F-93CB-4B75300F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4</TotalTime>
  <Pages>6</Pages>
  <Words>961</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LAUBENGEIGER Andrea</cp:lastModifiedBy>
  <cp:revision>4</cp:revision>
  <cp:lastPrinted>2015-11-18T12:20:00Z</cp:lastPrinted>
  <dcterms:created xsi:type="dcterms:W3CDTF">2015-11-18T10:05:00Z</dcterms:created>
  <dcterms:modified xsi:type="dcterms:W3CDTF">2015-11-18T12:21:00Z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