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DF5" w:rsidRPr="00A3356B" w:rsidRDefault="00A3356B" w:rsidP="00A3356B">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0b491f92-f3f3-4fc8-9bb2-7df5f5e26244_0" style="width:568.8pt;height:366.15pt">
            <v:imagedata r:id="rId9" o:title=""/>
          </v:shape>
        </w:pict>
      </w:r>
      <w:bookmarkEnd w:id="0"/>
    </w:p>
    <w:p w:rsidR="00FB7EC5" w:rsidRDefault="00FB7EC5" w:rsidP="00FB7EC5">
      <w:pPr>
        <w:pStyle w:val="Default"/>
        <w:jc w:val="both"/>
        <w:rPr>
          <w:lang w:val="fr-BE"/>
        </w:rPr>
      </w:pPr>
    </w:p>
    <w:p w:rsidR="00FB7EC5" w:rsidRPr="007F78D0" w:rsidRDefault="00FB7EC5" w:rsidP="00FB7EC5">
      <w:pPr>
        <w:pStyle w:val="Default"/>
        <w:jc w:val="both"/>
        <w:rPr>
          <w:lang w:val="fr-BE"/>
        </w:rPr>
      </w:pPr>
      <w:r w:rsidRPr="007F78D0">
        <w:rPr>
          <w:lang w:val="fr-BE"/>
        </w:rPr>
        <w:t xml:space="preserve">Les délégations trouveront ci-joint une lettre de M. </w:t>
      </w:r>
      <w:r>
        <w:rPr>
          <w:lang w:val="fr-BE"/>
        </w:rPr>
        <w:t>K</w:t>
      </w:r>
      <w:r w:rsidRPr="007F78D0">
        <w:rPr>
          <w:lang w:val="fr-BE"/>
        </w:rPr>
        <w:t xml:space="preserve">. </w:t>
      </w:r>
      <w:r>
        <w:rPr>
          <w:lang w:val="fr-BE"/>
        </w:rPr>
        <w:t>LENAERTS</w:t>
      </w:r>
      <w:r w:rsidRPr="007F78D0">
        <w:rPr>
          <w:lang w:val="fr-BE"/>
        </w:rPr>
        <w:t>, Président de la Cour de justice de l'Union européenne</w:t>
      </w:r>
      <w:r>
        <w:rPr>
          <w:lang w:val="fr-BE"/>
        </w:rPr>
        <w:t>,</w:t>
      </w:r>
      <w:r w:rsidRPr="007F78D0">
        <w:rPr>
          <w:lang w:val="fr-BE"/>
        </w:rPr>
        <w:t xml:space="preserve"> à M. </w:t>
      </w:r>
      <w:r>
        <w:rPr>
          <w:lang w:val="fr-BE"/>
        </w:rPr>
        <w:t>J.</w:t>
      </w:r>
      <w:r w:rsidRPr="007F78D0">
        <w:rPr>
          <w:lang w:val="fr-BE"/>
        </w:rPr>
        <w:t xml:space="preserve"> </w:t>
      </w:r>
      <w:r>
        <w:rPr>
          <w:lang w:val="fr-BE"/>
        </w:rPr>
        <w:t>ASSELBORN</w:t>
      </w:r>
      <w:r w:rsidRPr="007F78D0">
        <w:rPr>
          <w:lang w:val="fr-BE"/>
        </w:rPr>
        <w:t xml:space="preserve">, </w:t>
      </w:r>
      <w:r w:rsidRPr="007F78D0">
        <w:rPr>
          <w:sz w:val="23"/>
          <w:szCs w:val="23"/>
          <w:lang w:val="fr-BE"/>
        </w:rPr>
        <w:t>Président d</w:t>
      </w:r>
      <w:r>
        <w:rPr>
          <w:sz w:val="23"/>
          <w:szCs w:val="23"/>
          <w:lang w:val="fr-BE"/>
        </w:rPr>
        <w:t>u Conseil de l'Union européenne</w:t>
      </w:r>
      <w:r w:rsidRPr="007F78D0">
        <w:rPr>
          <w:lang w:val="fr-BE"/>
        </w:rPr>
        <w:t>.</w:t>
      </w:r>
    </w:p>
    <w:p w:rsidR="00773DF5" w:rsidRDefault="00773DF5" w:rsidP="00773DF5">
      <w:pPr>
        <w:pStyle w:val="Lignefinal"/>
      </w:pPr>
    </w:p>
    <w:p w:rsidR="00773DF5" w:rsidRPr="00773DF5" w:rsidRDefault="00773DF5" w:rsidP="00FB7EC5">
      <w:pPr>
        <w:pStyle w:val="pj"/>
        <w:spacing w:before="120"/>
      </w:pPr>
    </w:p>
    <w:p w:rsidR="00773DF5" w:rsidRDefault="00773DF5" w:rsidP="00773DF5">
      <w:pPr>
        <w:sectPr w:rsidR="00773DF5" w:rsidSect="00A3356B">
          <w:headerReference w:type="even" r:id="rId10"/>
          <w:headerReference w:type="default" r:id="rId11"/>
          <w:footerReference w:type="even" r:id="rId12"/>
          <w:footerReference w:type="default" r:id="rId13"/>
          <w:headerReference w:type="first" r:id="rId14"/>
          <w:footerReference w:type="first" r:id="rId15"/>
          <w:pgSz w:w="11907" w:h="16840" w:code="9"/>
          <w:pgMar w:top="624" w:right="1134" w:bottom="1134" w:left="1134" w:header="567" w:footer="567" w:gutter="0"/>
          <w:pgNumType w:start="0"/>
          <w:cols w:space="708"/>
          <w:titlePg/>
          <w:docGrid w:linePitch="360"/>
        </w:sectPr>
      </w:pPr>
    </w:p>
    <w:p w:rsidR="005C6849" w:rsidRDefault="005C6849" w:rsidP="005C6849">
      <w:pPr>
        <w:spacing w:after="0" w:line="240" w:lineRule="auto"/>
        <w:ind w:left="4536"/>
        <w:jc w:val="both"/>
        <w:rPr>
          <w:rFonts w:ascii="Times New Roman" w:hAnsi="Times New Roman"/>
          <w:i/>
          <w:sz w:val="24"/>
          <w:szCs w:val="24"/>
        </w:rPr>
      </w:pPr>
      <w:r>
        <w:rPr>
          <w:rFonts w:ascii="Times New Roman" w:hAnsi="Times New Roman"/>
          <w:i/>
          <w:sz w:val="24"/>
          <w:szCs w:val="24"/>
        </w:rPr>
        <w:lastRenderedPageBreak/>
        <w:t>Luxembourg, le 17 novembre 2015</w:t>
      </w:r>
    </w:p>
    <w:p w:rsidR="005C6849" w:rsidRDefault="005C6849" w:rsidP="005C6849">
      <w:pPr>
        <w:spacing w:after="0" w:line="240" w:lineRule="auto"/>
        <w:ind w:left="4536"/>
        <w:jc w:val="both"/>
        <w:rPr>
          <w:rFonts w:ascii="Times New Roman" w:hAnsi="Times New Roman"/>
          <w:i/>
          <w:sz w:val="24"/>
          <w:szCs w:val="24"/>
        </w:rPr>
      </w:pPr>
    </w:p>
    <w:p w:rsidR="005C6849" w:rsidRDefault="005C6849" w:rsidP="005C6849">
      <w:pPr>
        <w:spacing w:after="0" w:line="240" w:lineRule="auto"/>
        <w:ind w:left="4536"/>
        <w:jc w:val="both"/>
        <w:rPr>
          <w:rFonts w:ascii="Times New Roman" w:hAnsi="Times New Roman"/>
          <w:i/>
          <w:sz w:val="24"/>
          <w:szCs w:val="24"/>
        </w:rPr>
      </w:pPr>
      <w:r>
        <w:rPr>
          <w:rFonts w:ascii="Times New Roman" w:hAnsi="Times New Roman"/>
          <w:i/>
          <w:sz w:val="24"/>
          <w:szCs w:val="24"/>
        </w:rPr>
        <w:t>Monsieur Jean Asselborn</w:t>
      </w:r>
    </w:p>
    <w:p w:rsidR="005C6849" w:rsidRDefault="005C6849" w:rsidP="005C6849">
      <w:pPr>
        <w:spacing w:after="0" w:line="240" w:lineRule="auto"/>
        <w:ind w:left="4536"/>
        <w:jc w:val="both"/>
        <w:rPr>
          <w:rFonts w:ascii="Times New Roman" w:hAnsi="Times New Roman"/>
          <w:i/>
          <w:sz w:val="24"/>
          <w:szCs w:val="24"/>
        </w:rPr>
      </w:pPr>
      <w:r>
        <w:rPr>
          <w:rFonts w:ascii="Times New Roman" w:hAnsi="Times New Roman"/>
          <w:i/>
          <w:sz w:val="24"/>
          <w:szCs w:val="24"/>
        </w:rPr>
        <w:t>Président du Conseil de l’Union européenne</w:t>
      </w:r>
    </w:p>
    <w:p w:rsidR="005C6849" w:rsidRDefault="005C6849" w:rsidP="005C6849">
      <w:pPr>
        <w:spacing w:after="0" w:line="240" w:lineRule="auto"/>
        <w:ind w:left="4536"/>
        <w:jc w:val="both"/>
        <w:rPr>
          <w:rFonts w:ascii="Times New Roman" w:hAnsi="Times New Roman"/>
          <w:i/>
          <w:sz w:val="24"/>
          <w:szCs w:val="24"/>
        </w:rPr>
      </w:pPr>
      <w:r>
        <w:rPr>
          <w:rFonts w:ascii="Times New Roman" w:hAnsi="Times New Roman"/>
          <w:i/>
          <w:sz w:val="24"/>
          <w:szCs w:val="24"/>
        </w:rPr>
        <w:t>175, rue de la Loi</w:t>
      </w:r>
    </w:p>
    <w:p w:rsidR="005C6849" w:rsidRDefault="005C6849" w:rsidP="005C6849">
      <w:pPr>
        <w:spacing w:after="0" w:line="240" w:lineRule="auto"/>
        <w:ind w:left="4536"/>
        <w:jc w:val="both"/>
        <w:rPr>
          <w:rFonts w:ascii="Times New Roman" w:hAnsi="Times New Roman"/>
          <w:i/>
          <w:sz w:val="24"/>
          <w:szCs w:val="24"/>
        </w:rPr>
      </w:pPr>
    </w:p>
    <w:p w:rsidR="005C6849" w:rsidRDefault="005C6849" w:rsidP="005C6849">
      <w:pPr>
        <w:spacing w:after="0" w:line="240" w:lineRule="auto"/>
        <w:ind w:left="4536"/>
        <w:jc w:val="both"/>
        <w:rPr>
          <w:rFonts w:ascii="Times New Roman" w:hAnsi="Times New Roman"/>
          <w:b/>
          <w:i/>
          <w:sz w:val="24"/>
          <w:szCs w:val="24"/>
          <w:u w:val="single"/>
        </w:rPr>
      </w:pPr>
      <w:r>
        <w:rPr>
          <w:rFonts w:ascii="Times New Roman" w:hAnsi="Times New Roman"/>
          <w:b/>
          <w:i/>
          <w:sz w:val="24"/>
          <w:szCs w:val="24"/>
          <w:u w:val="single"/>
        </w:rPr>
        <w:t>B-1048 BRUXELLES</w:t>
      </w:r>
    </w:p>
    <w:p w:rsidR="005C6849" w:rsidRDefault="005C6849" w:rsidP="005C6849">
      <w:pPr>
        <w:spacing w:after="0" w:line="240" w:lineRule="auto"/>
        <w:jc w:val="both"/>
        <w:rPr>
          <w:rFonts w:ascii="Times New Roman" w:hAnsi="Times New Roman"/>
          <w:i/>
          <w:sz w:val="24"/>
          <w:szCs w:val="24"/>
        </w:rPr>
      </w:pPr>
    </w:p>
    <w:p w:rsidR="005C6849" w:rsidRDefault="005C6849" w:rsidP="005C6849">
      <w:pPr>
        <w:spacing w:after="0" w:line="240" w:lineRule="auto"/>
        <w:ind w:firstLine="851"/>
        <w:jc w:val="both"/>
        <w:rPr>
          <w:rFonts w:ascii="Times New Roman" w:hAnsi="Times New Roman"/>
          <w:i/>
          <w:sz w:val="24"/>
          <w:szCs w:val="24"/>
        </w:rPr>
      </w:pPr>
    </w:p>
    <w:p w:rsidR="005C6849" w:rsidRDefault="005C6849" w:rsidP="005C6849">
      <w:pPr>
        <w:spacing w:after="0" w:line="240" w:lineRule="auto"/>
        <w:ind w:firstLine="851"/>
        <w:jc w:val="both"/>
        <w:rPr>
          <w:rFonts w:ascii="Times New Roman" w:hAnsi="Times New Roman"/>
          <w:i/>
          <w:sz w:val="24"/>
          <w:szCs w:val="24"/>
        </w:rPr>
      </w:pPr>
      <w:r>
        <w:rPr>
          <w:rFonts w:ascii="Times New Roman" w:hAnsi="Times New Roman"/>
          <w:i/>
          <w:sz w:val="24"/>
          <w:szCs w:val="24"/>
        </w:rPr>
        <w:t>Monsieur le Président,</w:t>
      </w:r>
    </w:p>
    <w:p w:rsidR="005C6849" w:rsidRDefault="005C6849" w:rsidP="005C6849">
      <w:pPr>
        <w:tabs>
          <w:tab w:val="left" w:pos="1005"/>
        </w:tabs>
        <w:spacing w:after="0" w:line="240" w:lineRule="auto"/>
        <w:jc w:val="both"/>
        <w:rPr>
          <w:rFonts w:ascii="Times New Roman" w:hAnsi="Times New Roman"/>
          <w:i/>
          <w:sz w:val="24"/>
          <w:szCs w:val="24"/>
        </w:rPr>
      </w:pPr>
    </w:p>
    <w:p w:rsidR="005C6849" w:rsidRDefault="005C6849" w:rsidP="005C6849">
      <w:pPr>
        <w:spacing w:after="0" w:line="240" w:lineRule="auto"/>
        <w:ind w:firstLine="851"/>
        <w:jc w:val="both"/>
        <w:rPr>
          <w:rFonts w:ascii="Times New Roman" w:hAnsi="Times New Roman"/>
          <w:i/>
          <w:sz w:val="24"/>
          <w:szCs w:val="24"/>
        </w:rPr>
      </w:pPr>
      <w:r>
        <w:rPr>
          <w:rFonts w:ascii="Times New Roman" w:hAnsi="Times New Roman"/>
          <w:i/>
          <w:sz w:val="24"/>
          <w:szCs w:val="24"/>
        </w:rPr>
        <w:t>En me référant à l’article 281, deuxième alinéa, du traité sur le fonctionnement de l’Union européenne ainsi qu’à l’article 106 bis, paragraphe 1, du traité CEEA, et comme suite à l’adoption par le Parlement européen, en seconde lecture, du règlement du Parlement européen et du Conseil amendant le protocole numéro 3 sur le Statut de la Cour de justice de l’Union européenne, j’ai l’honneur de vous transmettre une proposition de règlement du Parlement européen et du Conseil relatif au transfert au Tribunal de l’Union européenne de la compétence pour statuer, en première instance, sur les litiges entre l’Union et ses agents.</w:t>
      </w:r>
    </w:p>
    <w:p w:rsidR="005C6849" w:rsidRDefault="005C6849" w:rsidP="005C6849">
      <w:pPr>
        <w:spacing w:after="0" w:line="240" w:lineRule="auto"/>
        <w:jc w:val="both"/>
        <w:rPr>
          <w:rFonts w:ascii="Times New Roman" w:hAnsi="Times New Roman"/>
          <w:i/>
          <w:sz w:val="24"/>
          <w:szCs w:val="24"/>
        </w:rPr>
      </w:pPr>
    </w:p>
    <w:p w:rsidR="005C6849" w:rsidRDefault="005C6849" w:rsidP="005C6849">
      <w:pPr>
        <w:spacing w:after="0" w:line="240" w:lineRule="auto"/>
        <w:ind w:firstLine="851"/>
        <w:jc w:val="both"/>
        <w:rPr>
          <w:rFonts w:ascii="Times New Roman" w:hAnsi="Times New Roman"/>
          <w:i/>
          <w:sz w:val="24"/>
          <w:szCs w:val="24"/>
        </w:rPr>
      </w:pPr>
      <w:r>
        <w:rPr>
          <w:rFonts w:ascii="Times New Roman" w:hAnsi="Times New Roman"/>
          <w:i/>
          <w:sz w:val="24"/>
          <w:szCs w:val="24"/>
        </w:rPr>
        <w:t>Cette proposition s’inscrit pleinement dans l’économie et la logique de la réforme de l’architecture juridictionnelle et consiste à mettre en œuvre la deuxième phase de l’augmentation du nombre de juges du Tribunal par l’intégration à cette juridiction, à compter du 1</w:t>
      </w:r>
      <w:r>
        <w:rPr>
          <w:rFonts w:ascii="Times New Roman" w:hAnsi="Times New Roman"/>
          <w:i/>
          <w:sz w:val="24"/>
          <w:szCs w:val="24"/>
          <w:vertAlign w:val="superscript"/>
        </w:rPr>
        <w:t>er</w:t>
      </w:r>
      <w:r>
        <w:rPr>
          <w:rFonts w:ascii="Times New Roman" w:hAnsi="Times New Roman"/>
          <w:i/>
          <w:sz w:val="24"/>
          <w:szCs w:val="24"/>
        </w:rPr>
        <w:t xml:space="preserve"> septembre 2016, des sept juges du Tribunal de la fonction publique. Les modifications proposées sont accompagnées d’un exposé des motifs qui introduit, notamment, les dispositions relatives au transfert au Tribunal de la compétence à l’heure actuelle exercée par le Tribunal de la fonction publique pour statuer sur les litiges entre institutions et tout organe ou organisme, d’une part, et leur personnel, d’autre part.</w:t>
      </w:r>
    </w:p>
    <w:p w:rsidR="005C6849" w:rsidRDefault="005C6849" w:rsidP="005C6849">
      <w:pPr>
        <w:spacing w:after="0" w:line="240" w:lineRule="auto"/>
        <w:ind w:firstLine="851"/>
        <w:jc w:val="both"/>
        <w:rPr>
          <w:rFonts w:ascii="Times New Roman" w:hAnsi="Times New Roman"/>
          <w:i/>
          <w:sz w:val="24"/>
          <w:szCs w:val="24"/>
        </w:rPr>
      </w:pPr>
    </w:p>
    <w:p w:rsidR="005C6849" w:rsidRDefault="005C6849" w:rsidP="005C6849">
      <w:pPr>
        <w:spacing w:after="0" w:line="240" w:lineRule="auto"/>
        <w:ind w:firstLine="851"/>
        <w:jc w:val="both"/>
        <w:rPr>
          <w:rFonts w:ascii="Times New Roman" w:hAnsi="Times New Roman"/>
          <w:i/>
          <w:sz w:val="24"/>
          <w:szCs w:val="24"/>
        </w:rPr>
      </w:pPr>
      <w:r>
        <w:rPr>
          <w:rFonts w:ascii="Times New Roman" w:hAnsi="Times New Roman"/>
          <w:i/>
          <w:sz w:val="24"/>
          <w:szCs w:val="24"/>
        </w:rPr>
        <w:t>Afin de permettre que ces dispositions entrent en vigueur avec le maximum d’efficacité, il serait souhaitable que les nominations des nouveaux juges interviennent dans les meilleurs délais et que les gouvernements présentent leur proposition en tenant compte, dans toute la mesure du possible, de l’opportunité d’assurer la continuité dans le traitement des affaires relevant du domaine concerné.</w:t>
      </w:r>
    </w:p>
    <w:p w:rsidR="005C6849" w:rsidRDefault="005C6849" w:rsidP="005C6849">
      <w:pPr>
        <w:spacing w:after="0" w:line="240" w:lineRule="auto"/>
        <w:jc w:val="both"/>
        <w:rPr>
          <w:rFonts w:ascii="Times New Roman" w:hAnsi="Times New Roman"/>
          <w:i/>
          <w:sz w:val="24"/>
          <w:szCs w:val="24"/>
        </w:rPr>
      </w:pPr>
    </w:p>
    <w:p w:rsidR="005C6849" w:rsidRDefault="005C6849" w:rsidP="005C6849">
      <w:pPr>
        <w:spacing w:after="0" w:line="240" w:lineRule="auto"/>
        <w:jc w:val="both"/>
        <w:rPr>
          <w:rFonts w:ascii="Times New Roman" w:hAnsi="Times New Roman"/>
          <w:i/>
          <w:sz w:val="24"/>
          <w:szCs w:val="24"/>
        </w:rPr>
      </w:pPr>
      <w:r>
        <w:rPr>
          <w:rFonts w:ascii="Times New Roman" w:hAnsi="Times New Roman"/>
          <w:i/>
          <w:sz w:val="24"/>
          <w:szCs w:val="24"/>
        </w:rPr>
        <w:t>Je vous prie d’agréer, Monsieur le Président, l’expression de ma très haute considération.</w:t>
      </w:r>
    </w:p>
    <w:p w:rsidR="005C6849" w:rsidRDefault="005C6849" w:rsidP="005C6849">
      <w:pPr>
        <w:spacing w:after="0" w:line="240" w:lineRule="auto"/>
        <w:jc w:val="both"/>
        <w:rPr>
          <w:rFonts w:ascii="Times New Roman" w:hAnsi="Times New Roman"/>
          <w:i/>
          <w:sz w:val="24"/>
          <w:szCs w:val="24"/>
        </w:rPr>
      </w:pPr>
    </w:p>
    <w:p w:rsidR="005C6849" w:rsidRDefault="005C6849" w:rsidP="005C6849">
      <w:pPr>
        <w:spacing w:after="100" w:afterAutospacing="1" w:line="240" w:lineRule="auto"/>
        <w:jc w:val="both"/>
        <w:rPr>
          <w:rFonts w:ascii="Times New Roman" w:hAnsi="Times New Roman"/>
          <w:i/>
          <w:sz w:val="24"/>
          <w:szCs w:val="24"/>
        </w:rPr>
      </w:pPr>
    </w:p>
    <w:p w:rsidR="005C6849" w:rsidRDefault="005C6849" w:rsidP="005C6849">
      <w:pPr>
        <w:spacing w:after="0" w:line="240" w:lineRule="auto"/>
        <w:jc w:val="both"/>
        <w:rPr>
          <w:rFonts w:ascii="Times New Roman" w:hAnsi="Times New Roman"/>
          <w:i/>
          <w:sz w:val="24"/>
          <w:szCs w:val="24"/>
        </w:rPr>
      </w:pPr>
    </w:p>
    <w:p w:rsidR="007D4A23" w:rsidRDefault="005C6849" w:rsidP="00AE35AE">
      <w:pPr>
        <w:jc w:val="center"/>
        <w:rPr>
          <w:rFonts w:ascii="Times New Roman" w:hAnsi="Times New Roman"/>
          <w:i/>
          <w:sz w:val="24"/>
          <w:szCs w:val="24"/>
        </w:rPr>
      </w:pPr>
      <w:r>
        <w:rPr>
          <w:rFonts w:ascii="Times New Roman" w:hAnsi="Times New Roman"/>
          <w:i/>
          <w:sz w:val="24"/>
          <w:szCs w:val="24"/>
        </w:rPr>
        <w:tab/>
        <w:t>Koen LENAERTS</w:t>
      </w:r>
    </w:p>
    <w:p w:rsidR="007D4A23" w:rsidRPr="00AE313F" w:rsidRDefault="007D4A23" w:rsidP="007D4A23">
      <w:pPr>
        <w:pStyle w:val="Footer"/>
        <w:tabs>
          <w:tab w:val="clear" w:pos="8640"/>
          <w:tab w:val="left" w:pos="0"/>
          <w:tab w:val="right" w:pos="8931"/>
        </w:tabs>
        <w:spacing w:after="0" w:line="240" w:lineRule="auto"/>
        <w:jc w:val="center"/>
        <w:rPr>
          <w:rFonts w:ascii="Times New Roman" w:eastAsia="Times New Roman" w:hAnsi="Times New Roman"/>
          <w:sz w:val="18"/>
          <w:szCs w:val="18"/>
          <w:lang w:val="de-DE"/>
        </w:rPr>
      </w:pPr>
      <w:r w:rsidRPr="00AE313F">
        <w:rPr>
          <w:rFonts w:ascii="Times New Roman" w:eastAsia="Times New Roman" w:hAnsi="Times New Roman"/>
          <w:sz w:val="18"/>
          <w:szCs w:val="18"/>
          <w:lang w:val="de-DE"/>
        </w:rPr>
        <w:t>rue du Fort Niedergrünewald – L-2925 LUXEMBOURG</w:t>
      </w:r>
    </w:p>
    <w:p w:rsidR="007D4A23" w:rsidRDefault="007D4A23" w:rsidP="007D4A23">
      <w:pPr>
        <w:pStyle w:val="Footer"/>
        <w:jc w:val="center"/>
        <w:rPr>
          <w:rFonts w:ascii="Times New Roman" w:eastAsia="Times New Roman" w:hAnsi="Times New Roman"/>
          <w:sz w:val="18"/>
          <w:szCs w:val="18"/>
        </w:rPr>
      </w:pPr>
      <w:r w:rsidRPr="00913D90">
        <w:rPr>
          <w:rFonts w:ascii="Times New Roman" w:eastAsia="Times New Roman" w:hAnsi="Times New Roman"/>
          <w:sz w:val="18"/>
          <w:szCs w:val="18"/>
        </w:rPr>
        <w:t xml:space="preserve">Tél. (+352) 4303 3553 – </w:t>
      </w:r>
      <w:r w:rsidRPr="00773DF5">
        <w:rPr>
          <w:rFonts w:ascii="Times New Roman" w:eastAsia="Times New Roman" w:hAnsi="Times New Roman"/>
          <w:sz w:val="18"/>
          <w:szCs w:val="18"/>
        </w:rPr>
        <w:t>Koen.Lenaerts@curia.europa.eu</w:t>
      </w:r>
    </w:p>
    <w:p w:rsidR="007D4A23" w:rsidRDefault="007D4A23" w:rsidP="007D4A23">
      <w:pPr>
        <w:rPr>
          <w:rFonts w:ascii="Times New Roman" w:hAnsi="Times New Roman"/>
          <w:sz w:val="24"/>
          <w:szCs w:val="24"/>
        </w:rPr>
      </w:pPr>
    </w:p>
    <w:p w:rsidR="007D4A23" w:rsidRDefault="007D4A23" w:rsidP="007D4A23">
      <w:pPr>
        <w:tabs>
          <w:tab w:val="left" w:pos="1813"/>
        </w:tabs>
        <w:rPr>
          <w:rFonts w:ascii="Times New Roman" w:hAnsi="Times New Roman"/>
          <w:sz w:val="24"/>
          <w:szCs w:val="24"/>
        </w:rPr>
      </w:pPr>
      <w:r>
        <w:rPr>
          <w:rFonts w:ascii="Times New Roman" w:hAnsi="Times New Roman"/>
          <w:sz w:val="24"/>
          <w:szCs w:val="24"/>
        </w:rPr>
        <w:tab/>
      </w:r>
    </w:p>
    <w:p w:rsidR="00DA6A90" w:rsidRPr="007D4A23" w:rsidRDefault="00DA6A90" w:rsidP="007D4A23">
      <w:pPr>
        <w:rPr>
          <w:rFonts w:ascii="Times New Roman" w:hAnsi="Times New Roman"/>
          <w:sz w:val="24"/>
          <w:szCs w:val="24"/>
        </w:rPr>
        <w:sectPr w:rsidR="00DA6A90" w:rsidRPr="007D4A23" w:rsidSect="00A3356B">
          <w:headerReference w:type="even" r:id="rId16"/>
          <w:headerReference w:type="default" r:id="rId17"/>
          <w:footerReference w:type="even" r:id="rId18"/>
          <w:headerReference w:type="first" r:id="rId19"/>
          <w:footerReference w:type="first" r:id="rId20"/>
          <w:pgSz w:w="11907" w:h="16840" w:code="9"/>
          <w:pgMar w:top="1134" w:right="1134" w:bottom="1134" w:left="1134" w:header="567" w:footer="567" w:gutter="0"/>
          <w:cols w:space="708"/>
          <w:docGrid w:linePitch="360"/>
        </w:sectPr>
      </w:pPr>
    </w:p>
    <w:p w:rsidR="00C6720F" w:rsidRDefault="00C6720F" w:rsidP="00AE35AE">
      <w:pPr>
        <w:jc w:val="center"/>
        <w:rPr>
          <w:rFonts w:ascii="Times New Roman" w:hAnsi="Times New Roman"/>
          <w:sz w:val="24"/>
          <w:szCs w:val="24"/>
        </w:rPr>
      </w:pPr>
      <w:r w:rsidRPr="009657F3">
        <w:rPr>
          <w:rFonts w:ascii="Times New Roman" w:hAnsi="Times New Roman"/>
          <w:sz w:val="24"/>
          <w:szCs w:val="24"/>
        </w:rPr>
        <w:lastRenderedPageBreak/>
        <w:t xml:space="preserve">RÈGLEMENT (UE, EURATOM) 2016/XXX </w:t>
      </w:r>
    </w:p>
    <w:p w:rsidR="00C6720F" w:rsidRDefault="00C6720F" w:rsidP="00AE35AE">
      <w:pPr>
        <w:jc w:val="center"/>
        <w:rPr>
          <w:rFonts w:ascii="Times New Roman" w:hAnsi="Times New Roman"/>
          <w:sz w:val="24"/>
          <w:szCs w:val="24"/>
        </w:rPr>
      </w:pPr>
      <w:r w:rsidRPr="009657F3">
        <w:rPr>
          <w:rFonts w:ascii="Times New Roman" w:hAnsi="Times New Roman"/>
          <w:sz w:val="24"/>
          <w:szCs w:val="24"/>
        </w:rPr>
        <w:t xml:space="preserve">DU PARLEMENT EUROPÉEN ET DU CONSEIL </w:t>
      </w:r>
    </w:p>
    <w:p w:rsidR="00C6720F" w:rsidRDefault="00C6720F" w:rsidP="00AE35AE">
      <w:pPr>
        <w:jc w:val="center"/>
        <w:rPr>
          <w:rFonts w:ascii="Times New Roman" w:hAnsi="Times New Roman"/>
          <w:sz w:val="24"/>
          <w:szCs w:val="24"/>
        </w:rPr>
      </w:pPr>
    </w:p>
    <w:p w:rsidR="00C6720F" w:rsidRDefault="00C6720F" w:rsidP="00AE35AE">
      <w:pPr>
        <w:jc w:val="center"/>
        <w:rPr>
          <w:rFonts w:ascii="Times New Roman" w:hAnsi="Times New Roman"/>
          <w:sz w:val="24"/>
          <w:szCs w:val="24"/>
        </w:rPr>
      </w:pPr>
      <w:r>
        <w:rPr>
          <w:rFonts w:ascii="Times New Roman" w:hAnsi="Times New Roman"/>
          <w:sz w:val="24"/>
          <w:szCs w:val="24"/>
        </w:rPr>
        <w:t>du …</w:t>
      </w:r>
    </w:p>
    <w:p w:rsidR="00C6720F" w:rsidRDefault="00C6720F" w:rsidP="00AE35AE">
      <w:pPr>
        <w:jc w:val="center"/>
        <w:rPr>
          <w:rFonts w:ascii="Times New Roman" w:hAnsi="Times New Roman"/>
          <w:sz w:val="24"/>
          <w:szCs w:val="24"/>
        </w:rPr>
      </w:pPr>
    </w:p>
    <w:p w:rsidR="00C6720F" w:rsidRDefault="00C6720F" w:rsidP="00AE35AE">
      <w:pPr>
        <w:jc w:val="center"/>
        <w:rPr>
          <w:rFonts w:ascii="Times New Roman" w:hAnsi="Times New Roman"/>
          <w:sz w:val="24"/>
          <w:szCs w:val="24"/>
        </w:rPr>
      </w:pPr>
      <w:r>
        <w:rPr>
          <w:rFonts w:ascii="Times New Roman" w:hAnsi="Times New Roman"/>
          <w:sz w:val="24"/>
          <w:szCs w:val="24"/>
        </w:rPr>
        <w:t>relatif au transfert au Tribunal de l’Union européenne de la compétence pour statuer, en première instance, sur les litiges entre l’Union et ses agents</w:t>
      </w:r>
    </w:p>
    <w:p w:rsidR="00C6720F" w:rsidRDefault="00C6720F" w:rsidP="00AE35AE">
      <w:pPr>
        <w:rPr>
          <w:rFonts w:ascii="Times New Roman" w:hAnsi="Times New Roman"/>
          <w:sz w:val="24"/>
          <w:szCs w:val="24"/>
          <w:u w:val="single"/>
        </w:rPr>
      </w:pPr>
    </w:p>
    <w:p w:rsidR="00C6720F" w:rsidRPr="009657F3" w:rsidRDefault="00C6720F" w:rsidP="00AE35AE">
      <w:pPr>
        <w:rPr>
          <w:rFonts w:ascii="Times New Roman" w:hAnsi="Times New Roman"/>
          <w:sz w:val="24"/>
          <w:szCs w:val="24"/>
          <w:u w:val="single"/>
        </w:rPr>
      </w:pPr>
      <w:r w:rsidRPr="009657F3">
        <w:rPr>
          <w:rFonts w:ascii="Times New Roman" w:hAnsi="Times New Roman"/>
          <w:sz w:val="24"/>
          <w:szCs w:val="24"/>
          <w:u w:val="single"/>
        </w:rPr>
        <w:t>Exposé des motifs</w:t>
      </w:r>
    </w:p>
    <w:p w:rsidR="00C6720F" w:rsidRPr="009657F3" w:rsidRDefault="00C6720F" w:rsidP="00AE35AE">
      <w:pPr>
        <w:rPr>
          <w:rFonts w:ascii="Times New Roman" w:hAnsi="Times New Roman"/>
          <w:sz w:val="24"/>
          <w:szCs w:val="24"/>
        </w:rPr>
      </w:pPr>
      <w:r w:rsidRPr="009657F3">
        <w:rPr>
          <w:rFonts w:ascii="Times New Roman" w:hAnsi="Times New Roman"/>
          <w:sz w:val="24"/>
          <w:szCs w:val="24"/>
        </w:rPr>
        <w:t xml:space="preserve">Le projet de règlement du Parlement et du Conseil ci-après est fondé sur les articles 256, paragraphe 1, 257, premier et deuxième alinéas, et 281, deuxième alinéa, TFUE, ainsi que sur l’article 106 bis, paragraphe 1, CEEA. </w:t>
      </w:r>
    </w:p>
    <w:p w:rsidR="00C6720F" w:rsidRPr="009657F3" w:rsidRDefault="00C6720F" w:rsidP="00AE35AE">
      <w:pPr>
        <w:rPr>
          <w:rFonts w:ascii="Times New Roman" w:hAnsi="Times New Roman"/>
          <w:sz w:val="24"/>
          <w:szCs w:val="24"/>
        </w:rPr>
      </w:pPr>
      <w:r w:rsidRPr="009657F3">
        <w:rPr>
          <w:rFonts w:ascii="Times New Roman" w:hAnsi="Times New Roman"/>
          <w:sz w:val="24"/>
          <w:szCs w:val="24"/>
        </w:rPr>
        <w:t xml:space="preserve">Ce texte </w:t>
      </w:r>
      <w:r w:rsidRPr="009657F3">
        <w:rPr>
          <w:rFonts w:ascii="Times New Roman" w:hAnsi="Times New Roman"/>
          <w:sz w:val="24"/>
          <w:szCs w:val="24"/>
          <w:u w:val="single"/>
        </w:rPr>
        <w:t>abroge</w:t>
      </w:r>
      <w:r w:rsidRPr="009657F3">
        <w:rPr>
          <w:rFonts w:ascii="Times New Roman" w:hAnsi="Times New Roman"/>
          <w:sz w:val="24"/>
          <w:szCs w:val="24"/>
        </w:rPr>
        <w:t xml:space="preserve">, en son </w:t>
      </w:r>
      <w:r w:rsidRPr="009657F3">
        <w:rPr>
          <w:rFonts w:ascii="Times New Roman" w:hAnsi="Times New Roman"/>
          <w:i/>
          <w:sz w:val="24"/>
          <w:szCs w:val="24"/>
        </w:rPr>
        <w:t xml:space="preserve">article premier </w:t>
      </w:r>
      <w:r w:rsidRPr="009657F3">
        <w:rPr>
          <w:rFonts w:ascii="Times New Roman" w:hAnsi="Times New Roman"/>
          <w:sz w:val="24"/>
          <w:szCs w:val="24"/>
        </w:rPr>
        <w:t>:</w:t>
      </w:r>
    </w:p>
    <w:p w:rsidR="00C6720F" w:rsidRPr="009657F3" w:rsidRDefault="00C6720F" w:rsidP="00C6720F">
      <w:pPr>
        <w:numPr>
          <w:ilvl w:val="0"/>
          <w:numId w:val="16"/>
        </w:numPr>
        <w:spacing w:after="240" w:line="240" w:lineRule="auto"/>
        <w:ind w:left="426" w:hanging="426"/>
        <w:jc w:val="both"/>
        <w:rPr>
          <w:rFonts w:ascii="Times New Roman" w:hAnsi="Times New Roman"/>
          <w:sz w:val="24"/>
          <w:szCs w:val="24"/>
        </w:rPr>
      </w:pPr>
      <w:r w:rsidRPr="009657F3">
        <w:rPr>
          <w:rFonts w:ascii="Times New Roman" w:hAnsi="Times New Roman"/>
          <w:sz w:val="24"/>
          <w:szCs w:val="24"/>
        </w:rPr>
        <w:t xml:space="preserve">la </w:t>
      </w:r>
      <w:r w:rsidRPr="009657F3">
        <w:rPr>
          <w:rFonts w:ascii="Times New Roman" w:hAnsi="Times New Roman"/>
          <w:sz w:val="24"/>
          <w:szCs w:val="24"/>
          <w:u w:val="single"/>
        </w:rPr>
        <w:t>décision (2004/752/CE, Euratom) du Conseil, du 2 novembre 2004, instituant le Tribunal de la fonction publique de l'Union européenne</w:t>
      </w:r>
      <w:r w:rsidRPr="009657F3">
        <w:rPr>
          <w:rStyle w:val="FootnoteReference"/>
          <w:rFonts w:ascii="Times New Roman" w:hAnsi="Times New Roman"/>
          <w:sz w:val="24"/>
          <w:szCs w:val="24"/>
          <w:u w:val="single"/>
        </w:rPr>
        <w:footnoteReference w:id="1"/>
      </w:r>
      <w:r w:rsidRPr="009657F3">
        <w:rPr>
          <w:rFonts w:ascii="Times New Roman" w:hAnsi="Times New Roman"/>
          <w:sz w:val="24"/>
          <w:szCs w:val="24"/>
        </w:rPr>
        <w:t xml:space="preserve"> (sous réserve des dispositions transitoires contenues à l’article 4 du présent projet de règlement) et, par voie de conséquence,</w:t>
      </w:r>
    </w:p>
    <w:p w:rsidR="00C6720F" w:rsidRPr="009657F3" w:rsidRDefault="00C6720F" w:rsidP="00C6720F">
      <w:pPr>
        <w:numPr>
          <w:ilvl w:val="0"/>
          <w:numId w:val="16"/>
        </w:numPr>
        <w:spacing w:after="240" w:line="240" w:lineRule="auto"/>
        <w:ind w:left="426" w:hanging="426"/>
        <w:jc w:val="both"/>
        <w:rPr>
          <w:rFonts w:ascii="Times New Roman" w:hAnsi="Times New Roman"/>
          <w:sz w:val="24"/>
          <w:szCs w:val="24"/>
        </w:rPr>
      </w:pPr>
      <w:r w:rsidRPr="009657F3">
        <w:rPr>
          <w:rFonts w:ascii="Times New Roman" w:hAnsi="Times New Roman"/>
          <w:sz w:val="24"/>
          <w:szCs w:val="24"/>
        </w:rPr>
        <w:t>le règlement (UE, Euratom) n° 979/2012 du Parlement européen et du Conseil, du 25 octobre 2012, concernant les juges par intérim au Tribunal de la fonction publique de l’Union européenne</w:t>
      </w:r>
      <w:r w:rsidRPr="009657F3">
        <w:rPr>
          <w:rStyle w:val="FootnoteReference"/>
          <w:rFonts w:ascii="Times New Roman" w:hAnsi="Times New Roman"/>
          <w:sz w:val="24"/>
          <w:szCs w:val="24"/>
        </w:rPr>
        <w:footnoteReference w:id="2"/>
      </w:r>
      <w:r w:rsidRPr="009657F3">
        <w:rPr>
          <w:rFonts w:ascii="Times New Roman" w:hAnsi="Times New Roman"/>
          <w:sz w:val="24"/>
          <w:szCs w:val="24"/>
        </w:rPr>
        <w:t>.</w:t>
      </w:r>
    </w:p>
    <w:p w:rsidR="007C2974" w:rsidRDefault="00C6720F" w:rsidP="00AE35AE">
      <w:pPr>
        <w:rPr>
          <w:rFonts w:ascii="Times New Roman" w:hAnsi="Times New Roman"/>
          <w:sz w:val="24"/>
          <w:szCs w:val="24"/>
        </w:rPr>
      </w:pPr>
      <w:r w:rsidRPr="009657F3">
        <w:rPr>
          <w:rFonts w:ascii="Times New Roman" w:hAnsi="Times New Roman"/>
          <w:sz w:val="24"/>
          <w:szCs w:val="24"/>
        </w:rPr>
        <w:t>L’</w:t>
      </w:r>
      <w:r w:rsidRPr="009657F3">
        <w:rPr>
          <w:rFonts w:ascii="Times New Roman" w:hAnsi="Times New Roman"/>
          <w:i/>
          <w:sz w:val="24"/>
          <w:szCs w:val="24"/>
        </w:rPr>
        <w:t>article 2</w:t>
      </w:r>
      <w:r w:rsidRPr="009657F3">
        <w:rPr>
          <w:rFonts w:ascii="Times New Roman" w:hAnsi="Times New Roman"/>
          <w:sz w:val="24"/>
          <w:szCs w:val="24"/>
        </w:rPr>
        <w:t xml:space="preserve"> introduit </w:t>
      </w:r>
      <w:r w:rsidRPr="009657F3">
        <w:rPr>
          <w:rFonts w:ascii="Times New Roman" w:hAnsi="Times New Roman"/>
          <w:sz w:val="24"/>
          <w:szCs w:val="24"/>
          <w:u w:val="single"/>
        </w:rPr>
        <w:t>deux nouveaux articles dans le statut de la Cour</w:t>
      </w:r>
      <w:r w:rsidRPr="009657F3">
        <w:rPr>
          <w:rFonts w:ascii="Times New Roman" w:hAnsi="Times New Roman"/>
          <w:sz w:val="24"/>
          <w:szCs w:val="24"/>
        </w:rPr>
        <w:t>.</w:t>
      </w:r>
    </w:p>
    <w:p w:rsidR="00C6720F" w:rsidRPr="009657F3" w:rsidRDefault="007C2974" w:rsidP="00AE35AE">
      <w:pPr>
        <w:rPr>
          <w:rFonts w:ascii="Times New Roman" w:hAnsi="Times New Roman"/>
          <w:sz w:val="24"/>
          <w:szCs w:val="24"/>
        </w:rPr>
      </w:pPr>
      <w:r>
        <w:rPr>
          <w:rFonts w:ascii="Times New Roman" w:hAnsi="Times New Roman"/>
          <w:sz w:val="24"/>
          <w:szCs w:val="24"/>
        </w:rPr>
        <w:br w:type="page"/>
      </w:r>
    </w:p>
    <w:p w:rsidR="00C6720F" w:rsidRPr="009657F3" w:rsidRDefault="00C6720F" w:rsidP="00C6720F">
      <w:pPr>
        <w:numPr>
          <w:ilvl w:val="0"/>
          <w:numId w:val="17"/>
        </w:numPr>
        <w:spacing w:after="240" w:line="240" w:lineRule="auto"/>
        <w:jc w:val="both"/>
        <w:rPr>
          <w:rFonts w:ascii="Times New Roman" w:hAnsi="Times New Roman"/>
          <w:sz w:val="24"/>
          <w:szCs w:val="24"/>
        </w:rPr>
      </w:pPr>
      <w:r w:rsidRPr="009657F3">
        <w:rPr>
          <w:rFonts w:ascii="Times New Roman" w:hAnsi="Times New Roman"/>
          <w:sz w:val="24"/>
          <w:szCs w:val="24"/>
        </w:rPr>
        <w:t xml:space="preserve">Un nouvel article 50 bis énonce, en son paragraphe 1, conformément à l’article 256, paragraphe 1, dernière phrase, TFUE, les compétences du Tribunal en matière de fonction publique. En effet, l’article 256, paragraphe 1, TFUE, en ce qu’il renvoie notamment à l’article 270 TFUE, ne permettrait pas à lui seul de couvrir les litiges entre toute institution et tout organe ou organisme, d’une part,  et leur personnel, d’autre part, pour lesquels la compétence serait attribuée à la Cour de justice de l’Union européenne, formule que nous retrouvons à l’annexe I du statut de la Cour, appelée à disparaître, et qui ne relèveraient pas, comme tels, du statut des fonctionnaires de l’Union ou du RAA. Sont visés, en particulier, les litiges entre la BCE et son personnel, relevant de la compétence de la Cour de justice de l’Union européenne conformément à l’article 36.2 du protocole (n° 4) sur les statuts du Système européen de banques centrales et de la Banque centrale européenne, ou encore entre la BEI et son personnel (non soumis non plus au statut des fonctionnaires).  </w:t>
      </w:r>
    </w:p>
    <w:p w:rsidR="00C6720F" w:rsidRPr="009657F3" w:rsidRDefault="00C6720F" w:rsidP="00AE35AE">
      <w:pPr>
        <w:ind w:left="360"/>
        <w:rPr>
          <w:rFonts w:ascii="Times New Roman" w:hAnsi="Times New Roman"/>
          <w:sz w:val="24"/>
          <w:szCs w:val="24"/>
        </w:rPr>
      </w:pPr>
      <w:r w:rsidRPr="009657F3">
        <w:rPr>
          <w:rFonts w:ascii="Times New Roman" w:hAnsi="Times New Roman"/>
          <w:sz w:val="24"/>
          <w:szCs w:val="24"/>
        </w:rPr>
        <w:t xml:space="preserve">Le nouvel article 50 bis, paragraphe 2, réintroduit, dans le statut de la Cour l’invitation au juge en charge du contentieux de la fonction publique, contenue à l’article 7, paragraphe 4, de l’annexe I dudit statut, d’examiner à tout stade de la procédure  les possibilités de règlement amiable des litiges. Le recours à ce mode alternatif de règlement des différends s'est, en effet, révélé utile, dans la pratique, dans certaines catégories de litiges. </w:t>
      </w:r>
    </w:p>
    <w:p w:rsidR="00C6720F" w:rsidRPr="009657F3" w:rsidRDefault="00C6720F" w:rsidP="00C6720F">
      <w:pPr>
        <w:numPr>
          <w:ilvl w:val="0"/>
          <w:numId w:val="17"/>
        </w:numPr>
        <w:spacing w:after="240" w:line="240" w:lineRule="auto"/>
        <w:jc w:val="both"/>
        <w:rPr>
          <w:rFonts w:ascii="Times New Roman" w:hAnsi="Times New Roman"/>
          <w:sz w:val="24"/>
          <w:szCs w:val="24"/>
        </w:rPr>
      </w:pPr>
      <w:r w:rsidRPr="009657F3">
        <w:rPr>
          <w:rFonts w:ascii="Times New Roman" w:hAnsi="Times New Roman"/>
          <w:sz w:val="24"/>
          <w:szCs w:val="24"/>
        </w:rPr>
        <w:t>Un nouvel article 62 quater prévoit, de façon générale, que les dispositions relatives aux compétences, à la composition, à l’organisation et à la procédure de tout tribunal spécialisé institué en vertu de l’article 257 TFUE figurent dans une annexe du statut.</w:t>
      </w:r>
    </w:p>
    <w:p w:rsidR="00C6720F" w:rsidRPr="009657F3" w:rsidRDefault="00C6720F" w:rsidP="00AE35AE">
      <w:pPr>
        <w:rPr>
          <w:rFonts w:ascii="Times New Roman" w:hAnsi="Times New Roman"/>
          <w:sz w:val="24"/>
          <w:szCs w:val="24"/>
        </w:rPr>
      </w:pPr>
      <w:r w:rsidRPr="009657F3">
        <w:rPr>
          <w:rFonts w:ascii="Times New Roman" w:hAnsi="Times New Roman"/>
          <w:sz w:val="24"/>
          <w:szCs w:val="24"/>
        </w:rPr>
        <w:t>L’</w:t>
      </w:r>
      <w:r w:rsidRPr="009657F3">
        <w:rPr>
          <w:rFonts w:ascii="Times New Roman" w:hAnsi="Times New Roman"/>
          <w:i/>
          <w:sz w:val="24"/>
          <w:szCs w:val="24"/>
        </w:rPr>
        <w:t xml:space="preserve">article 3 </w:t>
      </w:r>
      <w:r w:rsidRPr="009657F3">
        <w:rPr>
          <w:rFonts w:ascii="Times New Roman" w:hAnsi="Times New Roman"/>
          <w:sz w:val="24"/>
          <w:szCs w:val="24"/>
        </w:rPr>
        <w:t xml:space="preserve">régit le </w:t>
      </w:r>
      <w:r w:rsidRPr="009657F3">
        <w:rPr>
          <w:rFonts w:ascii="Times New Roman" w:hAnsi="Times New Roman"/>
          <w:sz w:val="24"/>
          <w:szCs w:val="24"/>
          <w:u w:val="single"/>
        </w:rPr>
        <w:t>traitement procédural des affaires pendantes au 31 août 2016 devant le TFP</w:t>
      </w:r>
      <w:r w:rsidRPr="009657F3">
        <w:rPr>
          <w:rFonts w:ascii="Times New Roman" w:hAnsi="Times New Roman"/>
          <w:sz w:val="24"/>
          <w:szCs w:val="24"/>
        </w:rPr>
        <w:t>, lesquelles seront transférées, au 1</w:t>
      </w:r>
      <w:r w:rsidRPr="009657F3">
        <w:rPr>
          <w:rFonts w:ascii="Times New Roman" w:hAnsi="Times New Roman"/>
          <w:sz w:val="24"/>
          <w:szCs w:val="24"/>
          <w:vertAlign w:val="superscript"/>
        </w:rPr>
        <w:t>er</w:t>
      </w:r>
      <w:r w:rsidRPr="009657F3">
        <w:rPr>
          <w:rFonts w:ascii="Times New Roman" w:hAnsi="Times New Roman"/>
          <w:sz w:val="24"/>
          <w:szCs w:val="24"/>
        </w:rPr>
        <w:t xml:space="preserve"> septembre 2016, au Tribunal. Ces affaires  devraient continuer à être traitées par le Tribunal dans l’état où elles se trouveront à cette date, les dispositions procédurales prises par le TFP dans le cadre de ces affaires demeurant d’application. Dans l’hypothèse où une affaire serait transférée au Tribunal après l’audience, la phase orale de la procédure serait rouverte.</w:t>
      </w:r>
    </w:p>
    <w:p w:rsidR="00C6720F" w:rsidRPr="009657F3" w:rsidRDefault="00C6720F" w:rsidP="00AE35AE">
      <w:pPr>
        <w:rPr>
          <w:rFonts w:ascii="Times New Roman" w:hAnsi="Times New Roman"/>
          <w:sz w:val="24"/>
          <w:szCs w:val="24"/>
        </w:rPr>
      </w:pPr>
      <w:r w:rsidRPr="009657F3">
        <w:rPr>
          <w:rFonts w:ascii="Times New Roman" w:hAnsi="Times New Roman"/>
          <w:sz w:val="24"/>
          <w:szCs w:val="24"/>
        </w:rPr>
        <w:t>L'</w:t>
      </w:r>
      <w:r w:rsidRPr="009657F3">
        <w:rPr>
          <w:rFonts w:ascii="Times New Roman" w:hAnsi="Times New Roman"/>
          <w:i/>
          <w:sz w:val="24"/>
          <w:szCs w:val="24"/>
        </w:rPr>
        <w:t>article 4 du projet de règlement</w:t>
      </w:r>
      <w:r w:rsidRPr="009657F3">
        <w:rPr>
          <w:rFonts w:ascii="Times New Roman" w:hAnsi="Times New Roman"/>
          <w:sz w:val="24"/>
          <w:szCs w:val="24"/>
        </w:rPr>
        <w:t xml:space="preserve"> organise un </w:t>
      </w:r>
      <w:r w:rsidRPr="009657F3">
        <w:rPr>
          <w:rFonts w:ascii="Times New Roman" w:hAnsi="Times New Roman"/>
          <w:sz w:val="24"/>
          <w:szCs w:val="24"/>
          <w:u w:val="single"/>
        </w:rPr>
        <w:t>régime transitoire concernant les pourvois</w:t>
      </w:r>
      <w:r w:rsidRPr="009657F3">
        <w:rPr>
          <w:rFonts w:ascii="Times New Roman" w:hAnsi="Times New Roman"/>
          <w:sz w:val="24"/>
          <w:szCs w:val="24"/>
        </w:rPr>
        <w:t xml:space="preserve"> en cours d’examen au moment du transfert de compétence au 1</w:t>
      </w:r>
      <w:r w:rsidRPr="009657F3">
        <w:rPr>
          <w:rFonts w:ascii="Times New Roman" w:hAnsi="Times New Roman"/>
          <w:sz w:val="24"/>
          <w:szCs w:val="24"/>
          <w:vertAlign w:val="superscript"/>
        </w:rPr>
        <w:t>er</w:t>
      </w:r>
      <w:r w:rsidRPr="009657F3">
        <w:rPr>
          <w:rFonts w:ascii="Times New Roman" w:hAnsi="Times New Roman"/>
          <w:sz w:val="24"/>
          <w:szCs w:val="24"/>
        </w:rPr>
        <w:t xml:space="preserve"> septembre 2016 ou introduits après cette date contre les décisions du TFP. Conformément à l’article 256, paragraphe 2, TFUE, le Tribunal reste compétent pour connaître desdits pourvois. Aussi, les articles 9 à 12 de l’annexe I du statut de la Cour doivent-ils demeurer applicables aux recours en cause. Si le Tribunal annule une décision du TFP tout en considérant que le litige n’est pas en état d’être jugé, il renvoie l’affaire à une chambre autre que celle qui a statué sur le pourvoi (à savoir, la chambre des pourvois).</w:t>
      </w:r>
    </w:p>
    <w:p w:rsidR="00C6720F" w:rsidRPr="009657F3" w:rsidRDefault="00C6720F" w:rsidP="00AE35AE">
      <w:pPr>
        <w:rPr>
          <w:rFonts w:ascii="Times New Roman" w:hAnsi="Times New Roman"/>
          <w:sz w:val="24"/>
          <w:szCs w:val="24"/>
        </w:rPr>
      </w:pPr>
      <w:r w:rsidRPr="009657F3">
        <w:rPr>
          <w:rFonts w:ascii="Times New Roman" w:hAnsi="Times New Roman"/>
          <w:sz w:val="24"/>
          <w:szCs w:val="24"/>
        </w:rPr>
        <w:t>L’</w:t>
      </w:r>
      <w:r w:rsidRPr="009657F3">
        <w:rPr>
          <w:rFonts w:ascii="Times New Roman" w:hAnsi="Times New Roman"/>
          <w:i/>
          <w:sz w:val="24"/>
          <w:szCs w:val="24"/>
        </w:rPr>
        <w:t>article 5, premier alinéa</w:t>
      </w:r>
      <w:r w:rsidRPr="009657F3">
        <w:rPr>
          <w:rFonts w:ascii="Times New Roman" w:hAnsi="Times New Roman"/>
          <w:sz w:val="24"/>
          <w:szCs w:val="24"/>
        </w:rPr>
        <w:t>, fixe au 1</w:t>
      </w:r>
      <w:r w:rsidRPr="009657F3">
        <w:rPr>
          <w:rFonts w:ascii="Times New Roman" w:hAnsi="Times New Roman"/>
          <w:sz w:val="24"/>
          <w:szCs w:val="24"/>
          <w:vertAlign w:val="superscript"/>
        </w:rPr>
        <w:t>er</w:t>
      </w:r>
      <w:r w:rsidRPr="009657F3">
        <w:rPr>
          <w:rFonts w:ascii="Times New Roman" w:hAnsi="Times New Roman"/>
          <w:sz w:val="24"/>
          <w:szCs w:val="24"/>
        </w:rPr>
        <w:t xml:space="preserve"> septembre 2016 la </w:t>
      </w:r>
      <w:r w:rsidRPr="009657F3">
        <w:rPr>
          <w:rFonts w:ascii="Times New Roman" w:hAnsi="Times New Roman"/>
          <w:sz w:val="24"/>
          <w:szCs w:val="24"/>
          <w:u w:val="single"/>
        </w:rPr>
        <w:t>date de prise d’effet du transfert de compétence</w:t>
      </w:r>
      <w:r w:rsidRPr="009657F3">
        <w:rPr>
          <w:rFonts w:ascii="Times New Roman" w:hAnsi="Times New Roman"/>
          <w:sz w:val="24"/>
          <w:szCs w:val="24"/>
        </w:rPr>
        <w:t xml:space="preserve"> au Tribunal pour statuer en première instance sur les litiges entre l’Union et ses agents. </w:t>
      </w:r>
    </w:p>
    <w:p w:rsidR="00C6720F" w:rsidRPr="009657F3" w:rsidRDefault="00C6720F" w:rsidP="00AE35AE">
      <w:pPr>
        <w:rPr>
          <w:rFonts w:ascii="Times New Roman" w:hAnsi="Times New Roman"/>
          <w:sz w:val="24"/>
          <w:szCs w:val="24"/>
        </w:rPr>
      </w:pPr>
      <w:r>
        <w:rPr>
          <w:rFonts w:ascii="Times New Roman" w:hAnsi="Times New Roman"/>
          <w:sz w:val="24"/>
          <w:szCs w:val="24"/>
        </w:rPr>
        <w:br w:type="page"/>
      </w:r>
      <w:r w:rsidRPr="009657F3">
        <w:rPr>
          <w:rFonts w:ascii="Times New Roman" w:hAnsi="Times New Roman"/>
          <w:sz w:val="24"/>
          <w:szCs w:val="24"/>
        </w:rPr>
        <w:lastRenderedPageBreak/>
        <w:t>LE PARLEMENT EUROPÉEN ET LE CONSEIL DE L’UNION EUROPÉENNE</w:t>
      </w:r>
    </w:p>
    <w:p w:rsidR="00C6720F" w:rsidRPr="009657F3" w:rsidRDefault="00C6720F" w:rsidP="00AE35AE">
      <w:pPr>
        <w:rPr>
          <w:rFonts w:ascii="Times New Roman" w:hAnsi="Times New Roman"/>
          <w:sz w:val="24"/>
          <w:szCs w:val="24"/>
        </w:rPr>
      </w:pPr>
      <w:r w:rsidRPr="009657F3">
        <w:rPr>
          <w:rFonts w:ascii="Times New Roman" w:hAnsi="Times New Roman"/>
          <w:sz w:val="24"/>
          <w:szCs w:val="24"/>
        </w:rPr>
        <w:t>vu le traité sur l'Union européenne et, notamment, son article 19, paragraphe 2, deuxième alinéa,</w:t>
      </w:r>
    </w:p>
    <w:p w:rsidR="00C6720F" w:rsidRPr="009657F3" w:rsidRDefault="00C6720F" w:rsidP="00AE35AE">
      <w:pPr>
        <w:rPr>
          <w:rFonts w:ascii="Times New Roman" w:hAnsi="Times New Roman"/>
          <w:sz w:val="24"/>
          <w:szCs w:val="24"/>
        </w:rPr>
      </w:pPr>
      <w:r w:rsidRPr="009657F3">
        <w:rPr>
          <w:rFonts w:ascii="Times New Roman" w:hAnsi="Times New Roman"/>
          <w:sz w:val="24"/>
          <w:szCs w:val="24"/>
        </w:rPr>
        <w:t>vu le traité sur le fonctionnement de l’Union européenne et, notamment, ses articles 256, paragraphe 1, 257, premier et deuxième alinéas, et 281, deuxième alinéa,</w:t>
      </w:r>
    </w:p>
    <w:p w:rsidR="00C6720F" w:rsidRPr="009657F3" w:rsidRDefault="00C6720F" w:rsidP="00AE35AE">
      <w:pPr>
        <w:rPr>
          <w:rFonts w:ascii="Times New Roman" w:hAnsi="Times New Roman"/>
          <w:sz w:val="24"/>
          <w:szCs w:val="24"/>
        </w:rPr>
      </w:pPr>
      <w:r w:rsidRPr="009657F3">
        <w:rPr>
          <w:rFonts w:ascii="Times New Roman" w:hAnsi="Times New Roman"/>
          <w:sz w:val="24"/>
          <w:szCs w:val="24"/>
        </w:rPr>
        <w:t xml:space="preserve">vu le traité instituant la Communauté européenne de l'énergie atomique et, notamment, son article 106 bis, paragraphe 1, </w:t>
      </w:r>
    </w:p>
    <w:p w:rsidR="00C6720F" w:rsidRPr="009657F3" w:rsidRDefault="00C6720F" w:rsidP="00AE35AE">
      <w:pPr>
        <w:rPr>
          <w:rFonts w:ascii="Times New Roman" w:hAnsi="Times New Roman"/>
          <w:sz w:val="24"/>
          <w:szCs w:val="24"/>
        </w:rPr>
      </w:pPr>
      <w:r w:rsidRPr="009657F3">
        <w:rPr>
          <w:rFonts w:ascii="Times New Roman" w:hAnsi="Times New Roman"/>
          <w:sz w:val="24"/>
          <w:szCs w:val="24"/>
        </w:rPr>
        <w:t xml:space="preserve">vu la demande de la Cour de justice du </w:t>
      </w:r>
      <w:r>
        <w:rPr>
          <w:rFonts w:ascii="Times New Roman" w:hAnsi="Times New Roman"/>
          <w:sz w:val="24"/>
          <w:szCs w:val="24"/>
        </w:rPr>
        <w:t>…</w:t>
      </w:r>
      <w:r w:rsidRPr="009657F3">
        <w:rPr>
          <w:rFonts w:ascii="Times New Roman" w:hAnsi="Times New Roman"/>
          <w:sz w:val="24"/>
          <w:szCs w:val="24"/>
        </w:rPr>
        <w:t>,</w:t>
      </w:r>
    </w:p>
    <w:p w:rsidR="00C6720F" w:rsidRPr="009657F3" w:rsidRDefault="00C6720F" w:rsidP="00AE35AE">
      <w:pPr>
        <w:rPr>
          <w:rFonts w:ascii="Times New Roman" w:hAnsi="Times New Roman"/>
          <w:sz w:val="24"/>
          <w:szCs w:val="24"/>
        </w:rPr>
      </w:pPr>
      <w:r w:rsidRPr="009657F3">
        <w:rPr>
          <w:rFonts w:ascii="Times New Roman" w:hAnsi="Times New Roman"/>
          <w:sz w:val="24"/>
          <w:szCs w:val="24"/>
        </w:rPr>
        <w:t xml:space="preserve">vu l'avis de la Commission du </w:t>
      </w:r>
      <w:r>
        <w:rPr>
          <w:rFonts w:ascii="Times New Roman" w:hAnsi="Times New Roman"/>
          <w:sz w:val="24"/>
          <w:szCs w:val="24"/>
        </w:rPr>
        <w:t>…</w:t>
      </w:r>
      <w:r w:rsidRPr="009657F3">
        <w:rPr>
          <w:rFonts w:ascii="Times New Roman" w:hAnsi="Times New Roman"/>
          <w:sz w:val="24"/>
          <w:szCs w:val="24"/>
        </w:rPr>
        <w:t>,</w:t>
      </w:r>
    </w:p>
    <w:p w:rsidR="00C6720F" w:rsidRPr="009657F3" w:rsidRDefault="00C6720F" w:rsidP="00AE35AE">
      <w:pPr>
        <w:rPr>
          <w:rFonts w:ascii="Times New Roman" w:hAnsi="Times New Roman"/>
          <w:sz w:val="24"/>
          <w:szCs w:val="24"/>
        </w:rPr>
      </w:pPr>
      <w:r w:rsidRPr="009657F3">
        <w:rPr>
          <w:rFonts w:ascii="Times New Roman" w:hAnsi="Times New Roman"/>
          <w:sz w:val="24"/>
          <w:szCs w:val="24"/>
        </w:rPr>
        <w:t>après la transmission du projet d’acte législatif aux parlements nationaux,</w:t>
      </w:r>
    </w:p>
    <w:p w:rsidR="00C6720F" w:rsidRDefault="00C6720F" w:rsidP="00AE35AE">
      <w:pPr>
        <w:rPr>
          <w:rFonts w:ascii="Times New Roman" w:hAnsi="Times New Roman"/>
          <w:sz w:val="24"/>
          <w:szCs w:val="24"/>
        </w:rPr>
      </w:pPr>
      <w:r w:rsidRPr="009657F3">
        <w:rPr>
          <w:rFonts w:ascii="Times New Roman" w:hAnsi="Times New Roman"/>
          <w:sz w:val="24"/>
          <w:szCs w:val="24"/>
        </w:rPr>
        <w:t>statuant conformément à la procédure législative ordinaire,</w:t>
      </w:r>
    </w:p>
    <w:p w:rsidR="00C6720F" w:rsidRDefault="00C6720F" w:rsidP="00AE35AE">
      <w:pPr>
        <w:rPr>
          <w:rFonts w:ascii="Times New Roman" w:hAnsi="Times New Roman"/>
          <w:sz w:val="24"/>
          <w:szCs w:val="24"/>
        </w:rPr>
      </w:pPr>
    </w:p>
    <w:p w:rsidR="00C6720F" w:rsidRPr="009657F3" w:rsidRDefault="00C6720F" w:rsidP="00AE35AE">
      <w:pPr>
        <w:rPr>
          <w:rFonts w:ascii="Times New Roman" w:hAnsi="Times New Roman"/>
          <w:sz w:val="24"/>
          <w:szCs w:val="24"/>
        </w:rPr>
      </w:pPr>
      <w:r w:rsidRPr="009657F3">
        <w:rPr>
          <w:rFonts w:ascii="Times New Roman" w:hAnsi="Times New Roman"/>
          <w:sz w:val="24"/>
          <w:szCs w:val="24"/>
        </w:rPr>
        <w:t>considérant ce qui suit :</w:t>
      </w:r>
    </w:p>
    <w:p w:rsidR="00C6720F" w:rsidRPr="009657F3" w:rsidRDefault="00C6720F" w:rsidP="00C6720F">
      <w:pPr>
        <w:numPr>
          <w:ilvl w:val="0"/>
          <w:numId w:val="15"/>
        </w:numPr>
        <w:spacing w:after="240" w:line="240" w:lineRule="auto"/>
        <w:jc w:val="both"/>
        <w:rPr>
          <w:rFonts w:ascii="Times New Roman" w:hAnsi="Times New Roman"/>
          <w:sz w:val="24"/>
          <w:szCs w:val="24"/>
        </w:rPr>
      </w:pPr>
      <w:r w:rsidRPr="009657F3">
        <w:rPr>
          <w:rFonts w:ascii="Times New Roman" w:hAnsi="Times New Roman"/>
          <w:sz w:val="24"/>
          <w:szCs w:val="24"/>
        </w:rPr>
        <w:t xml:space="preserve">L’article 48 du protocole n° 3 sur le statut de la Cour de justice de l’Union européenne, tel que modifié par le règlement (UE, Euratom) 2015/XXX du Parlement européen et du Conseil du </w:t>
      </w:r>
      <w:r>
        <w:rPr>
          <w:rFonts w:ascii="Times New Roman" w:hAnsi="Times New Roman"/>
          <w:sz w:val="24"/>
          <w:szCs w:val="24"/>
        </w:rPr>
        <w:t>…</w:t>
      </w:r>
      <w:r w:rsidRPr="009657F3">
        <w:rPr>
          <w:rStyle w:val="FootnoteReference"/>
          <w:rFonts w:ascii="Times New Roman" w:hAnsi="Times New Roman"/>
          <w:sz w:val="24"/>
          <w:szCs w:val="24"/>
        </w:rPr>
        <w:footnoteReference w:id="3"/>
      </w:r>
      <w:r w:rsidRPr="009657F3">
        <w:rPr>
          <w:rFonts w:ascii="Times New Roman" w:hAnsi="Times New Roman"/>
          <w:sz w:val="24"/>
          <w:szCs w:val="24"/>
        </w:rPr>
        <w:t xml:space="preserve"> prévoit que le Tribunal, formé de 40 juges à partir du […] 2016, sera composé de 47 juges à partir du 1</w:t>
      </w:r>
      <w:r w:rsidRPr="009657F3">
        <w:rPr>
          <w:rFonts w:ascii="Times New Roman" w:hAnsi="Times New Roman"/>
          <w:sz w:val="24"/>
          <w:szCs w:val="24"/>
          <w:vertAlign w:val="superscript"/>
        </w:rPr>
        <w:t>er</w:t>
      </w:r>
      <w:r w:rsidRPr="009657F3">
        <w:rPr>
          <w:rFonts w:ascii="Times New Roman" w:hAnsi="Times New Roman"/>
          <w:sz w:val="24"/>
          <w:szCs w:val="24"/>
        </w:rPr>
        <w:t xml:space="preserve"> septembre 2016 et de deux juges par État membre à partir du 1</w:t>
      </w:r>
      <w:r w:rsidRPr="009657F3">
        <w:rPr>
          <w:rFonts w:ascii="Times New Roman" w:hAnsi="Times New Roman"/>
          <w:sz w:val="24"/>
          <w:szCs w:val="24"/>
          <w:vertAlign w:val="superscript"/>
        </w:rPr>
        <w:t>er</w:t>
      </w:r>
      <w:r w:rsidRPr="009657F3">
        <w:rPr>
          <w:rFonts w:ascii="Times New Roman" w:hAnsi="Times New Roman"/>
          <w:sz w:val="24"/>
          <w:szCs w:val="24"/>
        </w:rPr>
        <w:t xml:space="preserve"> septembre 2019.</w:t>
      </w:r>
    </w:p>
    <w:p w:rsidR="007160D7" w:rsidRDefault="00C6720F" w:rsidP="00C6720F">
      <w:pPr>
        <w:numPr>
          <w:ilvl w:val="0"/>
          <w:numId w:val="15"/>
        </w:numPr>
        <w:spacing w:after="240" w:line="240" w:lineRule="auto"/>
        <w:jc w:val="both"/>
        <w:rPr>
          <w:rFonts w:ascii="Times New Roman" w:hAnsi="Times New Roman"/>
          <w:sz w:val="24"/>
          <w:szCs w:val="24"/>
        </w:rPr>
      </w:pPr>
      <w:r w:rsidRPr="009657F3">
        <w:rPr>
          <w:rFonts w:ascii="Times New Roman" w:hAnsi="Times New Roman"/>
          <w:sz w:val="24"/>
          <w:szCs w:val="24"/>
        </w:rPr>
        <w:t>Il ressort du considérant 9 du règlement 2015/XXX que l'augmentation de sept du nombre de juges du Tribunal au 1</w:t>
      </w:r>
      <w:r w:rsidRPr="009657F3">
        <w:rPr>
          <w:rFonts w:ascii="Times New Roman" w:hAnsi="Times New Roman"/>
          <w:sz w:val="24"/>
          <w:szCs w:val="24"/>
          <w:vertAlign w:val="superscript"/>
        </w:rPr>
        <w:t>er</w:t>
      </w:r>
      <w:r w:rsidRPr="009657F3">
        <w:rPr>
          <w:rFonts w:ascii="Times New Roman" w:hAnsi="Times New Roman"/>
          <w:sz w:val="24"/>
          <w:szCs w:val="24"/>
        </w:rPr>
        <w:t xml:space="preserve"> septembre 2016 devra s'accompagner du transfert au Tribunal de la compétence pour statuer, en première instance, sur les litiges entre l'Union et ses agents en vertu de l'article 270 TFUE, ce qui suppose, conformément à l’article 256, paragraphe 1, TFUE, la dissolution du Tribunal de la fonction publique de l’Union européenne. Il y a lieu, en conséquence, d’abroger la décision (2004/752/CE, Euratom) du Conseil, du 2 novembre 2004, instituant le Tribunal de la fonction publique de l'Union européenne</w:t>
      </w:r>
      <w:r w:rsidRPr="009657F3">
        <w:rPr>
          <w:rStyle w:val="FootnoteReference"/>
          <w:rFonts w:ascii="Times New Roman" w:hAnsi="Times New Roman"/>
          <w:sz w:val="24"/>
          <w:szCs w:val="24"/>
        </w:rPr>
        <w:footnoteReference w:id="4"/>
      </w:r>
      <w:r w:rsidRPr="009657F3">
        <w:rPr>
          <w:rFonts w:ascii="Times New Roman" w:hAnsi="Times New Roman"/>
          <w:sz w:val="24"/>
          <w:szCs w:val="24"/>
        </w:rPr>
        <w:t>, en ce qu’elle a adjoint celui-ci au Tribunal, et par voie de conséquence, l’article 62 bis, devenu, après modification, l'article 62 quater du protocole n° 3 sur le statut de la Cour de justice de l'Union européenne</w:t>
      </w:r>
      <w:r w:rsidRPr="003C0BAB">
        <w:rPr>
          <w:rFonts w:ascii="Times New Roman" w:hAnsi="Times New Roman"/>
          <w:strike/>
          <w:color w:val="FF0000"/>
          <w:sz w:val="24"/>
          <w:szCs w:val="24"/>
          <w:highlight w:val="yellow"/>
        </w:rPr>
        <w:t>)</w:t>
      </w:r>
      <w:r w:rsidRPr="009657F3">
        <w:rPr>
          <w:rFonts w:ascii="Times New Roman" w:hAnsi="Times New Roman"/>
          <w:sz w:val="24"/>
          <w:szCs w:val="24"/>
        </w:rPr>
        <w:t xml:space="preserve"> et son annexe I, ainsi que le règlement (UE, Euratom) n° 979/2012 du Parlement européen et du Conseil, du 25 octobre 2012, concernant les juges par intérim au Tribunal de la fonction publique de l’Union européenne</w:t>
      </w:r>
      <w:r w:rsidRPr="009657F3">
        <w:rPr>
          <w:rStyle w:val="FootnoteReference"/>
          <w:rFonts w:ascii="Times New Roman" w:hAnsi="Times New Roman"/>
          <w:sz w:val="24"/>
          <w:szCs w:val="24"/>
        </w:rPr>
        <w:footnoteReference w:id="5"/>
      </w:r>
      <w:r w:rsidRPr="009657F3">
        <w:rPr>
          <w:rFonts w:ascii="Times New Roman" w:hAnsi="Times New Roman"/>
          <w:sz w:val="24"/>
          <w:szCs w:val="24"/>
        </w:rPr>
        <w:t>.</w:t>
      </w:r>
    </w:p>
    <w:p w:rsidR="00C6720F" w:rsidRPr="009657F3" w:rsidRDefault="007160D7" w:rsidP="007160D7">
      <w:pPr>
        <w:spacing w:after="240" w:line="240" w:lineRule="auto"/>
        <w:ind w:left="360"/>
        <w:jc w:val="both"/>
        <w:rPr>
          <w:rFonts w:ascii="Times New Roman" w:hAnsi="Times New Roman"/>
          <w:sz w:val="24"/>
          <w:szCs w:val="24"/>
        </w:rPr>
      </w:pPr>
      <w:r>
        <w:rPr>
          <w:rFonts w:ascii="Times New Roman" w:hAnsi="Times New Roman"/>
          <w:sz w:val="24"/>
          <w:szCs w:val="24"/>
        </w:rPr>
        <w:br w:type="page"/>
      </w:r>
    </w:p>
    <w:p w:rsidR="00C6720F" w:rsidRPr="009657F3" w:rsidRDefault="00C6720F" w:rsidP="00C6720F">
      <w:pPr>
        <w:numPr>
          <w:ilvl w:val="0"/>
          <w:numId w:val="15"/>
        </w:numPr>
        <w:spacing w:after="240" w:line="240" w:lineRule="auto"/>
        <w:jc w:val="both"/>
        <w:rPr>
          <w:rFonts w:ascii="Times New Roman" w:hAnsi="Times New Roman"/>
          <w:sz w:val="24"/>
          <w:szCs w:val="24"/>
        </w:rPr>
      </w:pPr>
      <w:r w:rsidRPr="009657F3">
        <w:rPr>
          <w:rFonts w:ascii="Times New Roman" w:hAnsi="Times New Roman"/>
          <w:sz w:val="24"/>
          <w:szCs w:val="24"/>
        </w:rPr>
        <w:t>Il convient également d’attribuer au Tribunal, à l’instar du Tribunal de la fonction publique de l’Union européenne, ainsi qu’il ressort de l’article 1</w:t>
      </w:r>
      <w:r w:rsidRPr="009657F3">
        <w:rPr>
          <w:rFonts w:ascii="Times New Roman" w:hAnsi="Times New Roman"/>
          <w:sz w:val="24"/>
          <w:szCs w:val="24"/>
          <w:vertAlign w:val="superscript"/>
        </w:rPr>
        <w:t>er</w:t>
      </w:r>
      <w:r w:rsidRPr="009657F3">
        <w:rPr>
          <w:rFonts w:ascii="Times New Roman" w:hAnsi="Times New Roman"/>
          <w:sz w:val="24"/>
          <w:szCs w:val="24"/>
        </w:rPr>
        <w:t xml:space="preserve"> de l’annexe I du protocole n° 3 sur le statut de la Cour de justice de l'Union européenne, abrogé par le présent règlement, la compétence pour statuer sur les litiges entre toute institution et tout organe ou organisme, d’une part, et leur personnel, d’autre part, pour lesquels la compétence est attribuée à la Cour de justice de l’Union européenne. </w:t>
      </w:r>
    </w:p>
    <w:p w:rsidR="00C6720F" w:rsidRPr="009657F3" w:rsidRDefault="00C6720F" w:rsidP="00C6720F">
      <w:pPr>
        <w:numPr>
          <w:ilvl w:val="0"/>
          <w:numId w:val="15"/>
        </w:numPr>
        <w:spacing w:after="240" w:line="240" w:lineRule="auto"/>
        <w:jc w:val="both"/>
        <w:rPr>
          <w:rFonts w:ascii="Times New Roman" w:hAnsi="Times New Roman"/>
          <w:sz w:val="24"/>
          <w:szCs w:val="24"/>
        </w:rPr>
      </w:pPr>
      <w:r w:rsidRPr="009657F3">
        <w:rPr>
          <w:rFonts w:ascii="Times New Roman" w:hAnsi="Times New Roman"/>
          <w:sz w:val="24"/>
          <w:szCs w:val="24"/>
        </w:rPr>
        <w:t xml:space="preserve">Le Tribunal devrait statuer, au regard des particularités du contentieux de la fonction publique de l’Union européenne, en examinant les possibilités de règlement amiable des litiges à tout stade de la procédure. </w:t>
      </w:r>
      <w:r w:rsidRPr="009657F3">
        <w:rPr>
          <w:rStyle w:val="FootnoteReference"/>
          <w:rFonts w:ascii="Times New Roman" w:hAnsi="Times New Roman"/>
          <w:sz w:val="24"/>
          <w:szCs w:val="24"/>
        </w:rPr>
        <w:footnoteReference w:id="6"/>
      </w:r>
    </w:p>
    <w:p w:rsidR="00C6720F" w:rsidRDefault="00C6720F" w:rsidP="00C6720F">
      <w:pPr>
        <w:numPr>
          <w:ilvl w:val="0"/>
          <w:numId w:val="15"/>
        </w:numPr>
        <w:spacing w:after="240" w:line="240" w:lineRule="auto"/>
        <w:jc w:val="both"/>
        <w:rPr>
          <w:rFonts w:ascii="Times New Roman" w:hAnsi="Times New Roman"/>
          <w:sz w:val="24"/>
          <w:szCs w:val="24"/>
        </w:rPr>
      </w:pPr>
      <w:r w:rsidRPr="009657F3">
        <w:rPr>
          <w:rFonts w:ascii="Times New Roman" w:hAnsi="Times New Roman"/>
          <w:sz w:val="24"/>
          <w:szCs w:val="24"/>
        </w:rPr>
        <w:t>Par ailleurs, il y a lieu de prévoir des dispositions transitoires appropriées concernant le transfert au Tribunal du contentieux en première instance relatif à la fonction publique de l’Union afin de garantir le bon déroulement de la procédure dans les affaires qui étaient pendantes devant le Tribunal de la fonction publique de l’Union européenne à la date du transfert, ainsi que de fixer le régime applicable aux pourvois en cours d’examen à cette date ou introduits ultérieurement contre des décisions dudit Tribunal.</w:t>
      </w:r>
    </w:p>
    <w:p w:rsidR="00C6720F" w:rsidRDefault="00C6720F" w:rsidP="00AE35AE">
      <w:pPr>
        <w:rPr>
          <w:rFonts w:ascii="Times New Roman" w:hAnsi="Times New Roman"/>
          <w:sz w:val="24"/>
          <w:szCs w:val="24"/>
        </w:rPr>
      </w:pPr>
    </w:p>
    <w:p w:rsidR="00C6720F" w:rsidRDefault="00C6720F" w:rsidP="00AE35AE">
      <w:pPr>
        <w:rPr>
          <w:rFonts w:ascii="Times New Roman" w:hAnsi="Times New Roman"/>
          <w:sz w:val="24"/>
          <w:szCs w:val="24"/>
        </w:rPr>
      </w:pPr>
      <w:r w:rsidRPr="009657F3">
        <w:rPr>
          <w:rFonts w:ascii="Times New Roman" w:hAnsi="Times New Roman"/>
          <w:sz w:val="24"/>
          <w:szCs w:val="24"/>
        </w:rPr>
        <w:t>ONT ARRÊTÉ LE PRÉSENT RÈGLEMENT :</w:t>
      </w:r>
    </w:p>
    <w:p w:rsidR="00C6720F" w:rsidRPr="009657F3" w:rsidRDefault="00C6720F" w:rsidP="00AE35AE">
      <w:pPr>
        <w:jc w:val="center"/>
        <w:rPr>
          <w:rFonts w:ascii="Times New Roman" w:hAnsi="Times New Roman"/>
          <w:i/>
          <w:sz w:val="24"/>
          <w:szCs w:val="24"/>
        </w:rPr>
      </w:pPr>
      <w:r w:rsidRPr="009657F3">
        <w:rPr>
          <w:rFonts w:ascii="Times New Roman" w:hAnsi="Times New Roman"/>
          <w:i/>
          <w:sz w:val="24"/>
          <w:szCs w:val="24"/>
        </w:rPr>
        <w:t>Article premier</w:t>
      </w:r>
    </w:p>
    <w:p w:rsidR="00C6720F" w:rsidRPr="009657F3" w:rsidRDefault="00C6720F" w:rsidP="00AE35AE">
      <w:pPr>
        <w:rPr>
          <w:rFonts w:ascii="Times New Roman" w:hAnsi="Times New Roman"/>
          <w:sz w:val="24"/>
          <w:szCs w:val="24"/>
        </w:rPr>
      </w:pPr>
      <w:r w:rsidRPr="009657F3">
        <w:rPr>
          <w:rFonts w:ascii="Times New Roman" w:hAnsi="Times New Roman"/>
          <w:sz w:val="24"/>
          <w:szCs w:val="24"/>
        </w:rPr>
        <w:t>Sont abrogés :</w:t>
      </w:r>
    </w:p>
    <w:p w:rsidR="00C6720F" w:rsidRPr="009657F3" w:rsidRDefault="00C6720F" w:rsidP="00AE35AE">
      <w:pPr>
        <w:rPr>
          <w:rFonts w:ascii="Times New Roman" w:hAnsi="Times New Roman"/>
          <w:sz w:val="24"/>
          <w:szCs w:val="24"/>
        </w:rPr>
      </w:pPr>
      <w:r w:rsidRPr="009657F3">
        <w:rPr>
          <w:rFonts w:ascii="Times New Roman" w:hAnsi="Times New Roman"/>
          <w:sz w:val="24"/>
          <w:szCs w:val="24"/>
        </w:rPr>
        <w:t>1</w:t>
      </w:r>
      <w:r>
        <w:rPr>
          <w:rFonts w:ascii="Times New Roman" w:hAnsi="Times New Roman"/>
          <w:sz w:val="24"/>
          <w:szCs w:val="24"/>
        </w:rPr>
        <w:t>.</w:t>
      </w:r>
      <w:r w:rsidRPr="009657F3">
        <w:rPr>
          <w:rFonts w:ascii="Times New Roman" w:hAnsi="Times New Roman"/>
          <w:sz w:val="24"/>
          <w:szCs w:val="24"/>
        </w:rPr>
        <w:t xml:space="preserve"> la décision (2004/752/CE, Euratom) du Conseil, du 2 novembre 2004, instituant le Tribunal de la fonction publique de l'Union européenne et, par voie de conséquence, l’article 62 quater du protocole n° 3 sur le statut de la Cour de justice de l'Union européenne, ainsi que son annexe I, sans préjudice de l’article 4 ;</w:t>
      </w:r>
    </w:p>
    <w:p w:rsidR="007160D7" w:rsidRDefault="00C6720F" w:rsidP="00AE35AE">
      <w:pPr>
        <w:rPr>
          <w:rFonts w:ascii="Times New Roman" w:hAnsi="Times New Roman"/>
          <w:sz w:val="24"/>
          <w:szCs w:val="24"/>
        </w:rPr>
      </w:pPr>
      <w:r w:rsidRPr="009657F3">
        <w:rPr>
          <w:rFonts w:ascii="Times New Roman" w:hAnsi="Times New Roman"/>
          <w:sz w:val="24"/>
          <w:szCs w:val="24"/>
        </w:rPr>
        <w:t>2</w:t>
      </w:r>
      <w:r>
        <w:rPr>
          <w:rFonts w:ascii="Times New Roman" w:hAnsi="Times New Roman"/>
          <w:sz w:val="24"/>
          <w:szCs w:val="24"/>
        </w:rPr>
        <w:t>.</w:t>
      </w:r>
      <w:r w:rsidRPr="009657F3">
        <w:rPr>
          <w:rFonts w:ascii="Times New Roman" w:hAnsi="Times New Roman"/>
          <w:sz w:val="24"/>
          <w:szCs w:val="24"/>
        </w:rPr>
        <w:t xml:space="preserve"> le règlement (UE, Euratom) n° 979/2012 du Parlement européen et du Conseil, du 25 octobre 2012, concernant les juges par intérim au Tribunal de la fonction publique de l’Union européenne.</w:t>
      </w:r>
    </w:p>
    <w:p w:rsidR="00C6720F" w:rsidRDefault="007160D7" w:rsidP="00AE35AE">
      <w:pPr>
        <w:rPr>
          <w:rFonts w:ascii="Times New Roman" w:hAnsi="Times New Roman"/>
          <w:sz w:val="24"/>
          <w:szCs w:val="24"/>
        </w:rPr>
      </w:pPr>
      <w:r>
        <w:rPr>
          <w:rFonts w:ascii="Times New Roman" w:hAnsi="Times New Roman"/>
          <w:sz w:val="24"/>
          <w:szCs w:val="24"/>
        </w:rPr>
        <w:br w:type="page"/>
      </w:r>
    </w:p>
    <w:p w:rsidR="00C6720F" w:rsidRPr="009657F3" w:rsidRDefault="00C6720F" w:rsidP="00AE35AE">
      <w:pPr>
        <w:jc w:val="center"/>
        <w:rPr>
          <w:rFonts w:ascii="Times New Roman" w:hAnsi="Times New Roman"/>
          <w:i/>
          <w:sz w:val="24"/>
          <w:szCs w:val="24"/>
        </w:rPr>
      </w:pPr>
      <w:r w:rsidRPr="009657F3">
        <w:rPr>
          <w:rFonts w:ascii="Times New Roman" w:hAnsi="Times New Roman"/>
          <w:i/>
          <w:sz w:val="24"/>
          <w:szCs w:val="24"/>
        </w:rPr>
        <w:t>Article 2</w:t>
      </w:r>
    </w:p>
    <w:p w:rsidR="00C6720F" w:rsidRPr="009657F3" w:rsidRDefault="00C6720F" w:rsidP="00AE35AE">
      <w:pPr>
        <w:rPr>
          <w:rFonts w:ascii="Times New Roman" w:hAnsi="Times New Roman"/>
          <w:sz w:val="24"/>
          <w:szCs w:val="24"/>
        </w:rPr>
      </w:pPr>
      <w:r w:rsidRPr="009657F3">
        <w:rPr>
          <w:rFonts w:ascii="Times New Roman" w:hAnsi="Times New Roman"/>
          <w:sz w:val="24"/>
          <w:szCs w:val="24"/>
        </w:rPr>
        <w:t>Le protocole n° 3 sur le statut de la Cour de justice de l'Union européenne est modifié comme suit :</w:t>
      </w:r>
    </w:p>
    <w:p w:rsidR="00C6720F" w:rsidRPr="009657F3" w:rsidRDefault="00C6720F" w:rsidP="00AE35AE">
      <w:pPr>
        <w:rPr>
          <w:rFonts w:ascii="Times New Roman" w:hAnsi="Times New Roman"/>
          <w:sz w:val="24"/>
          <w:szCs w:val="24"/>
        </w:rPr>
      </w:pPr>
      <w:r w:rsidRPr="009657F3">
        <w:rPr>
          <w:rFonts w:ascii="Times New Roman" w:hAnsi="Times New Roman"/>
          <w:sz w:val="24"/>
          <w:szCs w:val="24"/>
        </w:rPr>
        <w:t>1</w:t>
      </w:r>
      <w:r>
        <w:rPr>
          <w:rFonts w:ascii="Times New Roman" w:hAnsi="Times New Roman"/>
          <w:sz w:val="24"/>
          <w:szCs w:val="24"/>
        </w:rPr>
        <w:t>.</w:t>
      </w:r>
      <w:r w:rsidRPr="009657F3">
        <w:rPr>
          <w:rFonts w:ascii="Times New Roman" w:hAnsi="Times New Roman"/>
          <w:sz w:val="24"/>
          <w:szCs w:val="24"/>
        </w:rPr>
        <w:t xml:space="preserve"> L’article suivant est inséré :</w:t>
      </w:r>
    </w:p>
    <w:p w:rsidR="00C6720F" w:rsidRPr="009657F3" w:rsidRDefault="00C6720F" w:rsidP="00AE35AE">
      <w:pPr>
        <w:rPr>
          <w:rFonts w:ascii="Times New Roman" w:hAnsi="Times New Roman"/>
          <w:sz w:val="24"/>
          <w:szCs w:val="24"/>
        </w:rPr>
      </w:pPr>
      <w:r w:rsidRPr="009657F3">
        <w:rPr>
          <w:rFonts w:ascii="Times New Roman" w:hAnsi="Times New Roman"/>
          <w:sz w:val="24"/>
          <w:szCs w:val="24"/>
        </w:rPr>
        <w:t>« Article 50 bis</w:t>
      </w:r>
    </w:p>
    <w:p w:rsidR="00C6720F" w:rsidRPr="009657F3" w:rsidRDefault="00C6720F" w:rsidP="00C6720F">
      <w:pPr>
        <w:numPr>
          <w:ilvl w:val="0"/>
          <w:numId w:val="18"/>
        </w:numPr>
        <w:spacing w:after="240" w:line="240" w:lineRule="auto"/>
        <w:jc w:val="both"/>
        <w:rPr>
          <w:rFonts w:ascii="Times New Roman" w:hAnsi="Times New Roman"/>
          <w:sz w:val="24"/>
          <w:szCs w:val="24"/>
        </w:rPr>
      </w:pPr>
      <w:r w:rsidRPr="009657F3">
        <w:rPr>
          <w:rFonts w:ascii="Times New Roman" w:hAnsi="Times New Roman"/>
          <w:sz w:val="24"/>
          <w:szCs w:val="24"/>
        </w:rPr>
        <w:t>Le Tribunal exerce en première instance les compétences pour statuer sur les litiges entre l’Union et ses agents en vertu de l’article 270 du traité sur le fonctionnement de l’Union européenne, y compris les litiges entre toute institution et tout organe ou organisme, d’une part, et leur personnel, d’autre part, pour lesquels la compétence est attribuée à la Cour de justice de l’Union européenne.</w:t>
      </w:r>
    </w:p>
    <w:p w:rsidR="00C6720F" w:rsidRDefault="00C6720F" w:rsidP="00C6720F">
      <w:pPr>
        <w:numPr>
          <w:ilvl w:val="0"/>
          <w:numId w:val="18"/>
        </w:numPr>
        <w:spacing w:after="240" w:line="240" w:lineRule="auto"/>
        <w:jc w:val="both"/>
        <w:rPr>
          <w:rFonts w:ascii="Times New Roman" w:hAnsi="Times New Roman"/>
          <w:sz w:val="24"/>
          <w:szCs w:val="24"/>
        </w:rPr>
      </w:pPr>
      <w:r w:rsidRPr="009657F3">
        <w:rPr>
          <w:rFonts w:ascii="Times New Roman" w:hAnsi="Times New Roman"/>
          <w:sz w:val="24"/>
          <w:szCs w:val="24"/>
        </w:rPr>
        <w:t>À tout stade de la procédure, y compris dès le dépôt de la requête, le Tribunal peut examiner les possibilités d’un règlement amiable du litige et peut essayer de faciliter un tel règlement. »</w:t>
      </w:r>
    </w:p>
    <w:p w:rsidR="00C6720F" w:rsidRPr="009657F3" w:rsidRDefault="00C6720F" w:rsidP="00AE35AE">
      <w:pPr>
        <w:rPr>
          <w:rFonts w:ascii="Times New Roman" w:hAnsi="Times New Roman"/>
          <w:sz w:val="24"/>
          <w:szCs w:val="24"/>
        </w:rPr>
      </w:pPr>
      <w:r w:rsidRPr="009657F3">
        <w:rPr>
          <w:rFonts w:ascii="Times New Roman" w:hAnsi="Times New Roman"/>
          <w:sz w:val="24"/>
          <w:szCs w:val="24"/>
        </w:rPr>
        <w:t>2</w:t>
      </w:r>
      <w:r>
        <w:rPr>
          <w:rFonts w:ascii="Times New Roman" w:hAnsi="Times New Roman"/>
          <w:sz w:val="24"/>
          <w:szCs w:val="24"/>
        </w:rPr>
        <w:t>.</w:t>
      </w:r>
      <w:r w:rsidRPr="009657F3">
        <w:rPr>
          <w:rFonts w:ascii="Times New Roman" w:hAnsi="Times New Roman"/>
          <w:sz w:val="24"/>
          <w:szCs w:val="24"/>
        </w:rPr>
        <w:t xml:space="preserve"> L’article suivant est inséré :</w:t>
      </w:r>
    </w:p>
    <w:p w:rsidR="00C6720F" w:rsidRPr="009657F3" w:rsidRDefault="00C6720F" w:rsidP="00AE35AE">
      <w:pPr>
        <w:rPr>
          <w:rFonts w:ascii="Times New Roman" w:hAnsi="Times New Roman"/>
          <w:sz w:val="24"/>
          <w:szCs w:val="24"/>
        </w:rPr>
      </w:pPr>
      <w:r w:rsidRPr="009657F3">
        <w:rPr>
          <w:rFonts w:ascii="Times New Roman" w:hAnsi="Times New Roman"/>
          <w:sz w:val="24"/>
          <w:szCs w:val="24"/>
        </w:rPr>
        <w:t>« Article 62 quater</w:t>
      </w:r>
    </w:p>
    <w:p w:rsidR="00C6720F" w:rsidRDefault="00C6720F" w:rsidP="00AE35AE">
      <w:pPr>
        <w:rPr>
          <w:rFonts w:ascii="Times New Roman" w:hAnsi="Times New Roman"/>
          <w:sz w:val="24"/>
          <w:szCs w:val="24"/>
        </w:rPr>
      </w:pPr>
      <w:r w:rsidRPr="009657F3">
        <w:rPr>
          <w:rFonts w:ascii="Times New Roman" w:hAnsi="Times New Roman"/>
          <w:sz w:val="24"/>
          <w:szCs w:val="24"/>
        </w:rPr>
        <w:t>Les dispositions relatives aux compétences, à la composition, à l’organisation et à la procédure de tout tribunal spécialisé  institué en vertu de l’article 257 TFUE figurent dans une annexe du présent statut. »</w:t>
      </w:r>
    </w:p>
    <w:p w:rsidR="00C6720F" w:rsidRPr="009657F3" w:rsidRDefault="00C6720F" w:rsidP="00AE35AE">
      <w:pPr>
        <w:jc w:val="center"/>
        <w:rPr>
          <w:rFonts w:ascii="Times New Roman" w:hAnsi="Times New Roman"/>
          <w:i/>
          <w:sz w:val="24"/>
          <w:szCs w:val="24"/>
        </w:rPr>
      </w:pPr>
      <w:r w:rsidRPr="009657F3">
        <w:rPr>
          <w:rFonts w:ascii="Times New Roman" w:hAnsi="Times New Roman"/>
          <w:i/>
          <w:sz w:val="24"/>
          <w:szCs w:val="24"/>
        </w:rPr>
        <w:t>Article 3</w:t>
      </w:r>
    </w:p>
    <w:p w:rsidR="00C6720F" w:rsidRDefault="00C6720F" w:rsidP="00AE35AE">
      <w:pPr>
        <w:rPr>
          <w:rFonts w:ascii="Times New Roman" w:hAnsi="Times New Roman"/>
          <w:sz w:val="24"/>
          <w:szCs w:val="24"/>
        </w:rPr>
      </w:pPr>
      <w:r w:rsidRPr="009657F3">
        <w:rPr>
          <w:rFonts w:ascii="Times New Roman" w:hAnsi="Times New Roman"/>
          <w:sz w:val="24"/>
          <w:szCs w:val="24"/>
        </w:rPr>
        <w:t>Les affaires pendantes devant le Tribunal de la fonction publique de l’Union européenne à la date du 31 août 2016 sont transférées au Tribunal. Elles continuent à être traitées par le Tribunal dans l’état où elles se trouvent à cette date. Dans l’hypothèse où une affaire est transférée au Tribunal après la clôture de la phase orale de la procédure, cette phase est rouverte.</w:t>
      </w:r>
    </w:p>
    <w:p w:rsidR="00C6720F" w:rsidRPr="009657F3" w:rsidRDefault="00C6720F" w:rsidP="00AE35AE">
      <w:pPr>
        <w:jc w:val="center"/>
        <w:rPr>
          <w:rFonts w:ascii="Times New Roman" w:hAnsi="Times New Roman"/>
          <w:i/>
          <w:sz w:val="24"/>
          <w:szCs w:val="24"/>
        </w:rPr>
      </w:pPr>
      <w:r w:rsidRPr="009657F3">
        <w:rPr>
          <w:rFonts w:ascii="Times New Roman" w:hAnsi="Times New Roman"/>
          <w:i/>
          <w:sz w:val="24"/>
          <w:szCs w:val="24"/>
        </w:rPr>
        <w:t>Article 4</w:t>
      </w:r>
    </w:p>
    <w:p w:rsidR="007160D7" w:rsidRDefault="00C6720F" w:rsidP="00AE35AE">
      <w:pPr>
        <w:rPr>
          <w:rFonts w:ascii="Times New Roman" w:hAnsi="Times New Roman"/>
          <w:sz w:val="24"/>
          <w:szCs w:val="24"/>
        </w:rPr>
      </w:pPr>
      <w:r w:rsidRPr="009657F3">
        <w:rPr>
          <w:rFonts w:ascii="Times New Roman" w:hAnsi="Times New Roman"/>
          <w:sz w:val="24"/>
          <w:szCs w:val="24"/>
        </w:rPr>
        <w:t xml:space="preserve">Les articles 9 à 12 de l’annexe I du protocole n° 3 sur le statut de la Cour de justice de l'Union européenne demeurent applicables aux pourvois dont le Tribunal est saisi à la date du 31 août 2016 ou introduits après cette date contre les décisions du Tribunal de la fonction publique de l’Union européenne. Si le Tribunal annule une décision de ce dernier tout en considérant que le litige n’est pas en état d’être jugé, il renvoie l’affaire à une chambre autre que celle qui a statué sur le pourvoi. </w:t>
      </w:r>
    </w:p>
    <w:p w:rsidR="00C6720F" w:rsidRDefault="007160D7" w:rsidP="00AE35AE">
      <w:pPr>
        <w:rPr>
          <w:rFonts w:ascii="Times New Roman" w:hAnsi="Times New Roman"/>
          <w:sz w:val="24"/>
          <w:szCs w:val="24"/>
        </w:rPr>
      </w:pPr>
      <w:r>
        <w:rPr>
          <w:rFonts w:ascii="Times New Roman" w:hAnsi="Times New Roman"/>
          <w:sz w:val="24"/>
          <w:szCs w:val="24"/>
        </w:rPr>
        <w:br w:type="page"/>
      </w:r>
    </w:p>
    <w:p w:rsidR="00C6720F" w:rsidRPr="009657F3" w:rsidRDefault="00C6720F" w:rsidP="00AE35AE">
      <w:pPr>
        <w:jc w:val="center"/>
        <w:rPr>
          <w:rFonts w:ascii="Times New Roman" w:hAnsi="Times New Roman"/>
          <w:i/>
          <w:sz w:val="24"/>
          <w:szCs w:val="24"/>
        </w:rPr>
      </w:pPr>
      <w:r w:rsidRPr="009657F3">
        <w:rPr>
          <w:rFonts w:ascii="Times New Roman" w:hAnsi="Times New Roman"/>
          <w:i/>
          <w:sz w:val="24"/>
          <w:szCs w:val="24"/>
        </w:rPr>
        <w:t>Article 5</w:t>
      </w:r>
    </w:p>
    <w:p w:rsidR="00C6720F" w:rsidRPr="009657F3" w:rsidRDefault="00C6720F" w:rsidP="00AE35AE">
      <w:pPr>
        <w:rPr>
          <w:rFonts w:ascii="Times New Roman" w:hAnsi="Times New Roman"/>
          <w:sz w:val="24"/>
          <w:szCs w:val="24"/>
        </w:rPr>
      </w:pPr>
      <w:r w:rsidRPr="009657F3">
        <w:rPr>
          <w:rFonts w:ascii="Times New Roman" w:hAnsi="Times New Roman"/>
          <w:sz w:val="24"/>
          <w:szCs w:val="24"/>
        </w:rPr>
        <w:t>Le présent règlement prend effet le 1</w:t>
      </w:r>
      <w:r w:rsidRPr="009657F3">
        <w:rPr>
          <w:rFonts w:ascii="Times New Roman" w:hAnsi="Times New Roman"/>
          <w:sz w:val="24"/>
          <w:szCs w:val="24"/>
          <w:vertAlign w:val="superscript"/>
        </w:rPr>
        <w:t>er</w:t>
      </w:r>
      <w:r w:rsidRPr="009657F3">
        <w:rPr>
          <w:rFonts w:ascii="Times New Roman" w:hAnsi="Times New Roman"/>
          <w:sz w:val="24"/>
          <w:szCs w:val="24"/>
        </w:rPr>
        <w:t xml:space="preserve"> septembre 2016.</w:t>
      </w:r>
    </w:p>
    <w:p w:rsidR="00C6720F" w:rsidRPr="009657F3" w:rsidRDefault="00C6720F" w:rsidP="00AE35AE">
      <w:pPr>
        <w:rPr>
          <w:rFonts w:ascii="Times New Roman" w:hAnsi="Times New Roman"/>
          <w:sz w:val="24"/>
          <w:szCs w:val="24"/>
        </w:rPr>
      </w:pPr>
      <w:r w:rsidRPr="009657F3">
        <w:rPr>
          <w:rFonts w:ascii="Times New Roman" w:hAnsi="Times New Roman"/>
          <w:sz w:val="24"/>
          <w:szCs w:val="24"/>
        </w:rPr>
        <w:t xml:space="preserve">Il entre en vigueur le premier jour du mois suivant celui de sa publication au </w:t>
      </w:r>
      <w:r w:rsidRPr="009657F3">
        <w:rPr>
          <w:rFonts w:ascii="Times New Roman" w:hAnsi="Times New Roman"/>
          <w:i/>
          <w:sz w:val="24"/>
          <w:szCs w:val="24"/>
        </w:rPr>
        <w:t>Journal officiel de l’Union européenne</w:t>
      </w:r>
      <w:r w:rsidRPr="009657F3">
        <w:rPr>
          <w:rFonts w:ascii="Times New Roman" w:hAnsi="Times New Roman"/>
          <w:sz w:val="24"/>
          <w:szCs w:val="24"/>
        </w:rPr>
        <w:t>.</w:t>
      </w:r>
    </w:p>
    <w:p w:rsidR="00C6720F" w:rsidRPr="009657F3" w:rsidRDefault="00C6720F" w:rsidP="00AE35AE">
      <w:pPr>
        <w:rPr>
          <w:rFonts w:ascii="Times New Roman" w:hAnsi="Times New Roman"/>
          <w:sz w:val="24"/>
          <w:szCs w:val="24"/>
        </w:rPr>
      </w:pPr>
      <w:r w:rsidRPr="009657F3">
        <w:rPr>
          <w:rFonts w:ascii="Times New Roman" w:hAnsi="Times New Roman"/>
          <w:sz w:val="24"/>
          <w:szCs w:val="24"/>
        </w:rPr>
        <w:t>Le présent règlement est obligatoire dans tous ses éléments et directement applicable dans tout État membre.</w:t>
      </w:r>
    </w:p>
    <w:p w:rsidR="00C6720F" w:rsidRPr="009657F3" w:rsidRDefault="00C6720F" w:rsidP="00AE35AE">
      <w:pPr>
        <w:rPr>
          <w:rFonts w:ascii="Times New Roman" w:hAnsi="Times New Roman"/>
          <w:sz w:val="24"/>
          <w:szCs w:val="24"/>
        </w:rPr>
      </w:pPr>
    </w:p>
    <w:p w:rsidR="00C6720F" w:rsidRPr="009657F3" w:rsidRDefault="00C6720F" w:rsidP="00AE35AE">
      <w:pPr>
        <w:rPr>
          <w:rFonts w:ascii="Times New Roman" w:hAnsi="Times New Roman"/>
          <w:sz w:val="24"/>
          <w:szCs w:val="24"/>
        </w:rPr>
      </w:pPr>
      <w:r w:rsidRPr="009657F3">
        <w:rPr>
          <w:rFonts w:ascii="Times New Roman" w:hAnsi="Times New Roman"/>
          <w:sz w:val="24"/>
          <w:szCs w:val="24"/>
        </w:rPr>
        <w:t xml:space="preserve">Fait à Bruxelles, le </w:t>
      </w:r>
      <w:r>
        <w:rPr>
          <w:rFonts w:ascii="Times New Roman" w:hAnsi="Times New Roman"/>
          <w:sz w:val="24"/>
          <w:szCs w:val="24"/>
        </w:rPr>
        <w:t>…</w:t>
      </w:r>
    </w:p>
    <w:p w:rsidR="00C6720F" w:rsidRPr="009657F3" w:rsidRDefault="00C6720F" w:rsidP="00AE35AE">
      <w:pPr>
        <w:ind w:firstLine="708"/>
        <w:rPr>
          <w:rFonts w:ascii="Times New Roman" w:hAnsi="Times New Roman"/>
          <w:i/>
          <w:sz w:val="24"/>
          <w:szCs w:val="24"/>
        </w:rPr>
      </w:pPr>
      <w:r w:rsidRPr="009657F3">
        <w:rPr>
          <w:rFonts w:ascii="Times New Roman" w:hAnsi="Times New Roman"/>
          <w:i/>
          <w:sz w:val="24"/>
          <w:szCs w:val="24"/>
        </w:rPr>
        <w:t xml:space="preserve">Par le Parlement européen </w:t>
      </w:r>
      <w:r w:rsidRPr="009657F3">
        <w:rPr>
          <w:rFonts w:ascii="Times New Roman" w:hAnsi="Times New Roman"/>
          <w:i/>
          <w:sz w:val="24"/>
          <w:szCs w:val="24"/>
        </w:rPr>
        <w:tab/>
      </w:r>
      <w:r w:rsidRPr="009657F3">
        <w:rPr>
          <w:rFonts w:ascii="Times New Roman" w:hAnsi="Times New Roman"/>
          <w:i/>
          <w:sz w:val="24"/>
          <w:szCs w:val="24"/>
        </w:rPr>
        <w:tab/>
      </w:r>
      <w:r w:rsidRPr="009657F3">
        <w:rPr>
          <w:rFonts w:ascii="Times New Roman" w:hAnsi="Times New Roman"/>
          <w:i/>
          <w:sz w:val="24"/>
          <w:szCs w:val="24"/>
        </w:rPr>
        <w:tab/>
      </w:r>
      <w:r w:rsidRPr="009657F3">
        <w:rPr>
          <w:rFonts w:ascii="Times New Roman" w:hAnsi="Times New Roman"/>
          <w:i/>
          <w:sz w:val="24"/>
          <w:szCs w:val="24"/>
        </w:rPr>
        <w:tab/>
      </w:r>
      <w:r w:rsidRPr="009657F3">
        <w:rPr>
          <w:rFonts w:ascii="Times New Roman" w:hAnsi="Times New Roman"/>
          <w:i/>
          <w:sz w:val="24"/>
          <w:szCs w:val="24"/>
        </w:rPr>
        <w:tab/>
        <w:t>Par le Conseil</w:t>
      </w:r>
    </w:p>
    <w:p w:rsidR="00C6720F" w:rsidRPr="009657F3" w:rsidRDefault="00C6720F" w:rsidP="00AE35AE">
      <w:pPr>
        <w:ind w:firstLine="708"/>
        <w:rPr>
          <w:rFonts w:ascii="Times New Roman" w:hAnsi="Times New Roman"/>
          <w:sz w:val="24"/>
          <w:szCs w:val="24"/>
        </w:rPr>
      </w:pPr>
      <w:r w:rsidRPr="009657F3">
        <w:rPr>
          <w:rFonts w:ascii="Times New Roman" w:hAnsi="Times New Roman"/>
          <w:i/>
          <w:sz w:val="24"/>
          <w:szCs w:val="24"/>
        </w:rPr>
        <w:t>Le président</w:t>
      </w:r>
      <w:r w:rsidRPr="009657F3">
        <w:rPr>
          <w:rFonts w:ascii="Times New Roman" w:hAnsi="Times New Roman"/>
          <w:sz w:val="24"/>
          <w:szCs w:val="24"/>
        </w:rPr>
        <w:t xml:space="preserve"> </w:t>
      </w:r>
      <w:r w:rsidRPr="009657F3">
        <w:rPr>
          <w:rFonts w:ascii="Times New Roman" w:hAnsi="Times New Roman"/>
          <w:sz w:val="24"/>
          <w:szCs w:val="24"/>
        </w:rPr>
        <w:tab/>
      </w:r>
      <w:r w:rsidRPr="009657F3">
        <w:rPr>
          <w:rFonts w:ascii="Times New Roman" w:hAnsi="Times New Roman"/>
          <w:sz w:val="24"/>
          <w:szCs w:val="24"/>
        </w:rPr>
        <w:tab/>
      </w:r>
      <w:r w:rsidRPr="009657F3">
        <w:rPr>
          <w:rFonts w:ascii="Times New Roman" w:hAnsi="Times New Roman"/>
          <w:sz w:val="24"/>
          <w:szCs w:val="24"/>
        </w:rPr>
        <w:tab/>
      </w:r>
      <w:r w:rsidRPr="009657F3">
        <w:rPr>
          <w:rFonts w:ascii="Times New Roman" w:hAnsi="Times New Roman"/>
          <w:sz w:val="24"/>
          <w:szCs w:val="24"/>
        </w:rPr>
        <w:tab/>
      </w:r>
      <w:r w:rsidRPr="009657F3">
        <w:rPr>
          <w:rFonts w:ascii="Times New Roman" w:hAnsi="Times New Roman"/>
          <w:sz w:val="24"/>
          <w:szCs w:val="24"/>
        </w:rPr>
        <w:tab/>
      </w:r>
      <w:r w:rsidRPr="009657F3">
        <w:rPr>
          <w:rFonts w:ascii="Times New Roman" w:hAnsi="Times New Roman"/>
          <w:sz w:val="24"/>
          <w:szCs w:val="24"/>
        </w:rPr>
        <w:tab/>
      </w:r>
      <w:r w:rsidRPr="009657F3">
        <w:rPr>
          <w:rFonts w:ascii="Times New Roman" w:hAnsi="Times New Roman"/>
          <w:sz w:val="24"/>
          <w:szCs w:val="24"/>
        </w:rPr>
        <w:tab/>
      </w:r>
      <w:r w:rsidRPr="009657F3">
        <w:rPr>
          <w:rFonts w:ascii="Times New Roman" w:hAnsi="Times New Roman"/>
          <w:i/>
          <w:sz w:val="24"/>
          <w:szCs w:val="24"/>
        </w:rPr>
        <w:t>Le président</w:t>
      </w:r>
    </w:p>
    <w:p w:rsidR="00C6720F" w:rsidRPr="009657F3" w:rsidRDefault="00C6720F" w:rsidP="00AE35AE">
      <w:pPr>
        <w:ind w:firstLine="708"/>
        <w:rPr>
          <w:rFonts w:ascii="Times New Roman" w:hAnsi="Times New Roman"/>
          <w:sz w:val="24"/>
          <w:szCs w:val="24"/>
        </w:rPr>
      </w:pPr>
      <w:r w:rsidRPr="009657F3">
        <w:rPr>
          <w:rFonts w:ascii="Times New Roman" w:hAnsi="Times New Roman"/>
          <w:sz w:val="24"/>
          <w:szCs w:val="24"/>
        </w:rPr>
        <w:tab/>
      </w:r>
      <w:r w:rsidRPr="009657F3">
        <w:rPr>
          <w:rFonts w:ascii="Times New Roman" w:hAnsi="Times New Roman"/>
          <w:sz w:val="24"/>
          <w:szCs w:val="24"/>
        </w:rPr>
        <w:tab/>
      </w:r>
      <w:r w:rsidRPr="009657F3">
        <w:rPr>
          <w:rFonts w:ascii="Times New Roman" w:hAnsi="Times New Roman"/>
          <w:sz w:val="24"/>
          <w:szCs w:val="24"/>
        </w:rPr>
        <w:tab/>
      </w:r>
      <w:r w:rsidRPr="009657F3">
        <w:rPr>
          <w:rFonts w:ascii="Times New Roman" w:hAnsi="Times New Roman"/>
          <w:sz w:val="24"/>
          <w:szCs w:val="24"/>
        </w:rPr>
        <w:tab/>
      </w:r>
      <w:r w:rsidRPr="009657F3">
        <w:rPr>
          <w:rFonts w:ascii="Times New Roman" w:hAnsi="Times New Roman"/>
          <w:sz w:val="24"/>
          <w:szCs w:val="24"/>
        </w:rPr>
        <w:tab/>
      </w:r>
      <w:r w:rsidRPr="009657F3">
        <w:rPr>
          <w:rFonts w:ascii="Times New Roman" w:hAnsi="Times New Roman"/>
          <w:sz w:val="24"/>
          <w:szCs w:val="24"/>
        </w:rPr>
        <w:tab/>
      </w:r>
      <w:r w:rsidRPr="009657F3">
        <w:rPr>
          <w:rFonts w:ascii="Times New Roman" w:hAnsi="Times New Roman"/>
          <w:sz w:val="24"/>
          <w:szCs w:val="24"/>
        </w:rPr>
        <w:tab/>
      </w:r>
    </w:p>
    <w:p w:rsidR="00F774F4" w:rsidRPr="00F774F4" w:rsidRDefault="00F774F4" w:rsidP="00C6720F">
      <w:pPr>
        <w:jc w:val="center"/>
        <w:rPr>
          <w:rFonts w:ascii="Times New Roman" w:hAnsi="Times New Roman"/>
          <w:sz w:val="24"/>
          <w:szCs w:val="24"/>
        </w:rPr>
      </w:pPr>
    </w:p>
    <w:p w:rsidR="00020793" w:rsidRPr="005C6849" w:rsidRDefault="00020793" w:rsidP="005C6849">
      <w:pPr>
        <w:tabs>
          <w:tab w:val="left" w:pos="5103"/>
        </w:tabs>
        <w:spacing w:after="0" w:line="240" w:lineRule="auto"/>
        <w:rPr>
          <w:rFonts w:ascii="Times New Roman" w:hAnsi="Times New Roman"/>
          <w:i/>
          <w:sz w:val="24"/>
          <w:szCs w:val="24"/>
        </w:rPr>
      </w:pPr>
    </w:p>
    <w:sectPr w:rsidR="00020793" w:rsidRPr="005C6849" w:rsidSect="00A3356B">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5AE" w:rsidRDefault="00AE35AE">
      <w:r>
        <w:separator/>
      </w:r>
    </w:p>
  </w:endnote>
  <w:endnote w:type="continuationSeparator" w:id="0">
    <w:p w:rsidR="00AE35AE" w:rsidRDefault="00AE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56B" w:rsidRPr="00A3356B" w:rsidRDefault="00A3356B" w:rsidP="00A335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A3356B" w:rsidRPr="00D94637" w:rsidTr="00A3356B">
      <w:trPr>
        <w:jc w:val="center"/>
      </w:trPr>
      <w:tc>
        <w:tcPr>
          <w:tcW w:w="5000" w:type="pct"/>
          <w:gridSpan w:val="7"/>
          <w:shd w:val="clear" w:color="auto" w:fill="auto"/>
          <w:tcMar>
            <w:top w:w="57" w:type="dxa"/>
          </w:tcMar>
        </w:tcPr>
        <w:p w:rsidR="00A3356B" w:rsidRPr="00D94637" w:rsidRDefault="00A3356B" w:rsidP="00D94637">
          <w:pPr>
            <w:pStyle w:val="FooterText"/>
            <w:pBdr>
              <w:top w:val="single" w:sz="4" w:space="1" w:color="auto"/>
            </w:pBdr>
            <w:spacing w:before="200"/>
            <w:rPr>
              <w:sz w:val="2"/>
              <w:szCs w:val="2"/>
            </w:rPr>
          </w:pPr>
          <w:bookmarkStart w:id="2" w:name="FOOTER_STANDARD"/>
        </w:p>
      </w:tc>
    </w:tr>
    <w:tr w:rsidR="00A3356B" w:rsidRPr="00B310DC" w:rsidTr="00A3356B">
      <w:trPr>
        <w:jc w:val="center"/>
      </w:trPr>
      <w:tc>
        <w:tcPr>
          <w:tcW w:w="2500" w:type="pct"/>
          <w:gridSpan w:val="2"/>
          <w:shd w:val="clear" w:color="auto" w:fill="auto"/>
          <w:tcMar>
            <w:top w:w="0" w:type="dxa"/>
          </w:tcMar>
        </w:tcPr>
        <w:p w:rsidR="00A3356B" w:rsidRPr="00AD7BF2" w:rsidRDefault="00A3356B" w:rsidP="004F54B2">
          <w:pPr>
            <w:pStyle w:val="FooterText"/>
          </w:pPr>
          <w:r>
            <w:t>14306/15</w:t>
          </w:r>
          <w:r w:rsidRPr="002511D8">
            <w:t xml:space="preserve"> </w:t>
          </w:r>
        </w:p>
      </w:tc>
      <w:tc>
        <w:tcPr>
          <w:tcW w:w="625" w:type="pct"/>
          <w:shd w:val="clear" w:color="auto" w:fill="auto"/>
          <w:tcMar>
            <w:top w:w="0" w:type="dxa"/>
          </w:tcMar>
        </w:tcPr>
        <w:p w:rsidR="00A3356B" w:rsidRPr="00AD7BF2" w:rsidRDefault="00A3356B" w:rsidP="00D94637">
          <w:pPr>
            <w:pStyle w:val="FooterText"/>
            <w:jc w:val="center"/>
          </w:pPr>
        </w:p>
      </w:tc>
      <w:tc>
        <w:tcPr>
          <w:tcW w:w="1287" w:type="pct"/>
          <w:gridSpan w:val="3"/>
          <w:shd w:val="clear" w:color="auto" w:fill="auto"/>
          <w:tcMar>
            <w:top w:w="0" w:type="dxa"/>
          </w:tcMar>
        </w:tcPr>
        <w:p w:rsidR="00A3356B" w:rsidRPr="002511D8" w:rsidRDefault="00A3356B" w:rsidP="00D94637">
          <w:pPr>
            <w:pStyle w:val="FooterText"/>
            <w:jc w:val="center"/>
          </w:pPr>
        </w:p>
      </w:tc>
      <w:tc>
        <w:tcPr>
          <w:tcW w:w="588" w:type="pct"/>
          <w:shd w:val="clear" w:color="auto" w:fill="auto"/>
          <w:tcMar>
            <w:top w:w="0" w:type="dxa"/>
          </w:tcMar>
        </w:tcPr>
        <w:p w:rsidR="00A3356B" w:rsidRPr="00B310DC" w:rsidRDefault="00A3356B" w:rsidP="00D94637">
          <w:pPr>
            <w:pStyle w:val="FooterText"/>
            <w:jc w:val="right"/>
          </w:pPr>
          <w:r>
            <w:fldChar w:fldCharType="begin"/>
          </w:r>
          <w:r>
            <w:instrText xml:space="preserve"> PAGE  \* MERGEFORMAT </w:instrText>
          </w:r>
          <w:r>
            <w:fldChar w:fldCharType="separate"/>
          </w:r>
          <w:r>
            <w:rPr>
              <w:noProof/>
            </w:rPr>
            <w:t>7</w:t>
          </w:r>
          <w:r>
            <w:fldChar w:fldCharType="end"/>
          </w:r>
        </w:p>
      </w:tc>
    </w:tr>
    <w:tr w:rsidR="00A3356B" w:rsidRPr="00D94637" w:rsidTr="00A3356B">
      <w:trPr>
        <w:jc w:val="center"/>
      </w:trPr>
      <w:tc>
        <w:tcPr>
          <w:tcW w:w="1774" w:type="pct"/>
          <w:shd w:val="clear" w:color="auto" w:fill="auto"/>
        </w:tcPr>
        <w:p w:rsidR="00A3356B" w:rsidRPr="00AD7BF2" w:rsidRDefault="00A3356B" w:rsidP="00D94637">
          <w:pPr>
            <w:pStyle w:val="FooterText"/>
            <w:spacing w:before="40"/>
          </w:pPr>
        </w:p>
      </w:tc>
      <w:tc>
        <w:tcPr>
          <w:tcW w:w="1455" w:type="pct"/>
          <w:gridSpan w:val="3"/>
          <w:shd w:val="clear" w:color="auto" w:fill="auto"/>
        </w:tcPr>
        <w:p w:rsidR="00A3356B" w:rsidRPr="00AD7BF2" w:rsidRDefault="00A3356B" w:rsidP="00D204D6">
          <w:pPr>
            <w:pStyle w:val="FooterText"/>
            <w:spacing w:before="40"/>
            <w:jc w:val="center"/>
          </w:pPr>
          <w:r>
            <w:t>JUR</w:t>
          </w:r>
        </w:p>
      </w:tc>
      <w:tc>
        <w:tcPr>
          <w:tcW w:w="1147" w:type="pct"/>
          <w:shd w:val="clear" w:color="auto" w:fill="auto"/>
        </w:tcPr>
        <w:p w:rsidR="00A3356B" w:rsidRPr="00D94637" w:rsidRDefault="00A3356B" w:rsidP="00D94637">
          <w:pPr>
            <w:pStyle w:val="FooterText"/>
            <w:jc w:val="right"/>
            <w:rPr>
              <w:b/>
              <w:position w:val="-4"/>
              <w:sz w:val="36"/>
            </w:rPr>
          </w:pPr>
        </w:p>
      </w:tc>
      <w:tc>
        <w:tcPr>
          <w:tcW w:w="625" w:type="pct"/>
          <w:gridSpan w:val="2"/>
          <w:shd w:val="clear" w:color="auto" w:fill="auto"/>
        </w:tcPr>
        <w:p w:rsidR="00A3356B" w:rsidRPr="00D94637" w:rsidRDefault="00A3356B" w:rsidP="00D94637">
          <w:pPr>
            <w:pStyle w:val="FooterText"/>
            <w:jc w:val="right"/>
            <w:rPr>
              <w:sz w:val="16"/>
            </w:rPr>
          </w:pPr>
          <w:r>
            <w:rPr>
              <w:b/>
              <w:position w:val="-4"/>
              <w:sz w:val="36"/>
            </w:rPr>
            <w:t>FR</w:t>
          </w:r>
        </w:p>
      </w:tc>
    </w:tr>
    <w:bookmarkEnd w:id="2"/>
  </w:tbl>
  <w:p w:rsidR="00F774F4" w:rsidRPr="00A3356B" w:rsidRDefault="00F774F4" w:rsidP="00A3356B">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A3356B" w:rsidRPr="00D94637" w:rsidTr="00A3356B">
      <w:trPr>
        <w:jc w:val="center"/>
      </w:trPr>
      <w:tc>
        <w:tcPr>
          <w:tcW w:w="5000" w:type="pct"/>
          <w:gridSpan w:val="7"/>
          <w:shd w:val="clear" w:color="auto" w:fill="auto"/>
          <w:tcMar>
            <w:top w:w="57" w:type="dxa"/>
          </w:tcMar>
        </w:tcPr>
        <w:p w:rsidR="00A3356B" w:rsidRPr="00D94637" w:rsidRDefault="00A3356B" w:rsidP="00D94637">
          <w:pPr>
            <w:pStyle w:val="FooterText"/>
            <w:pBdr>
              <w:top w:val="single" w:sz="4" w:space="1" w:color="auto"/>
            </w:pBdr>
            <w:spacing w:before="200"/>
            <w:rPr>
              <w:sz w:val="2"/>
              <w:szCs w:val="2"/>
            </w:rPr>
          </w:pPr>
        </w:p>
      </w:tc>
    </w:tr>
    <w:tr w:rsidR="00A3356B" w:rsidRPr="00B310DC" w:rsidTr="00A3356B">
      <w:trPr>
        <w:jc w:val="center"/>
      </w:trPr>
      <w:tc>
        <w:tcPr>
          <w:tcW w:w="2500" w:type="pct"/>
          <w:gridSpan w:val="2"/>
          <w:shd w:val="clear" w:color="auto" w:fill="auto"/>
          <w:tcMar>
            <w:top w:w="0" w:type="dxa"/>
          </w:tcMar>
        </w:tcPr>
        <w:p w:rsidR="00A3356B" w:rsidRPr="00AD7BF2" w:rsidRDefault="00A3356B" w:rsidP="004F54B2">
          <w:pPr>
            <w:pStyle w:val="FooterText"/>
          </w:pPr>
          <w:r>
            <w:t>14306/15</w:t>
          </w:r>
          <w:r w:rsidRPr="002511D8">
            <w:t xml:space="preserve"> </w:t>
          </w:r>
        </w:p>
      </w:tc>
      <w:tc>
        <w:tcPr>
          <w:tcW w:w="625" w:type="pct"/>
          <w:shd w:val="clear" w:color="auto" w:fill="auto"/>
          <w:tcMar>
            <w:top w:w="0" w:type="dxa"/>
          </w:tcMar>
        </w:tcPr>
        <w:p w:rsidR="00A3356B" w:rsidRPr="00AD7BF2" w:rsidRDefault="00A3356B" w:rsidP="00D94637">
          <w:pPr>
            <w:pStyle w:val="FooterText"/>
            <w:jc w:val="center"/>
          </w:pPr>
        </w:p>
      </w:tc>
      <w:tc>
        <w:tcPr>
          <w:tcW w:w="1287" w:type="pct"/>
          <w:gridSpan w:val="3"/>
          <w:shd w:val="clear" w:color="auto" w:fill="auto"/>
          <w:tcMar>
            <w:top w:w="0" w:type="dxa"/>
          </w:tcMar>
        </w:tcPr>
        <w:p w:rsidR="00A3356B" w:rsidRPr="002511D8" w:rsidRDefault="00A3356B" w:rsidP="00D94637">
          <w:pPr>
            <w:pStyle w:val="FooterText"/>
            <w:jc w:val="center"/>
          </w:pPr>
        </w:p>
      </w:tc>
      <w:tc>
        <w:tcPr>
          <w:tcW w:w="588" w:type="pct"/>
          <w:shd w:val="clear" w:color="auto" w:fill="auto"/>
          <w:tcMar>
            <w:top w:w="0" w:type="dxa"/>
          </w:tcMar>
        </w:tcPr>
        <w:p w:rsidR="00A3356B" w:rsidRPr="00B310DC" w:rsidRDefault="00A3356B" w:rsidP="00D94637">
          <w:pPr>
            <w:pStyle w:val="FooterText"/>
            <w:jc w:val="right"/>
          </w:pPr>
        </w:p>
      </w:tc>
    </w:tr>
    <w:tr w:rsidR="00A3356B" w:rsidRPr="00D94637" w:rsidTr="00A3356B">
      <w:trPr>
        <w:jc w:val="center"/>
      </w:trPr>
      <w:tc>
        <w:tcPr>
          <w:tcW w:w="1774" w:type="pct"/>
          <w:shd w:val="clear" w:color="auto" w:fill="auto"/>
        </w:tcPr>
        <w:p w:rsidR="00A3356B" w:rsidRPr="00AD7BF2" w:rsidRDefault="00A3356B" w:rsidP="00D94637">
          <w:pPr>
            <w:pStyle w:val="FooterText"/>
            <w:spacing w:before="40"/>
          </w:pPr>
        </w:p>
      </w:tc>
      <w:tc>
        <w:tcPr>
          <w:tcW w:w="1455" w:type="pct"/>
          <w:gridSpan w:val="3"/>
          <w:shd w:val="clear" w:color="auto" w:fill="auto"/>
        </w:tcPr>
        <w:p w:rsidR="00A3356B" w:rsidRPr="00AD7BF2" w:rsidRDefault="00A3356B" w:rsidP="00D204D6">
          <w:pPr>
            <w:pStyle w:val="FooterText"/>
            <w:spacing w:before="40"/>
            <w:jc w:val="center"/>
          </w:pPr>
          <w:r>
            <w:t>JUR</w:t>
          </w:r>
        </w:p>
      </w:tc>
      <w:tc>
        <w:tcPr>
          <w:tcW w:w="1147" w:type="pct"/>
          <w:shd w:val="clear" w:color="auto" w:fill="auto"/>
        </w:tcPr>
        <w:p w:rsidR="00A3356B" w:rsidRPr="00D94637" w:rsidRDefault="00A3356B" w:rsidP="00D94637">
          <w:pPr>
            <w:pStyle w:val="FooterText"/>
            <w:jc w:val="right"/>
            <w:rPr>
              <w:b/>
              <w:position w:val="-4"/>
              <w:sz w:val="36"/>
            </w:rPr>
          </w:pPr>
        </w:p>
      </w:tc>
      <w:tc>
        <w:tcPr>
          <w:tcW w:w="625" w:type="pct"/>
          <w:gridSpan w:val="2"/>
          <w:shd w:val="clear" w:color="auto" w:fill="auto"/>
        </w:tcPr>
        <w:p w:rsidR="00A3356B" w:rsidRPr="00D94637" w:rsidRDefault="00A3356B" w:rsidP="00D94637">
          <w:pPr>
            <w:pStyle w:val="FooterText"/>
            <w:jc w:val="right"/>
            <w:rPr>
              <w:sz w:val="16"/>
            </w:rPr>
          </w:pPr>
          <w:r>
            <w:rPr>
              <w:b/>
              <w:position w:val="-4"/>
              <w:sz w:val="36"/>
            </w:rPr>
            <w:t>FR</w:t>
          </w:r>
        </w:p>
      </w:tc>
    </w:tr>
  </w:tbl>
  <w:p w:rsidR="00AE313F" w:rsidRPr="00A3356B" w:rsidRDefault="00AE313F" w:rsidP="00A3356B">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F5" w:rsidRPr="00A3356B" w:rsidRDefault="00773DF5" w:rsidP="00A3356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F5" w:rsidRPr="00A3356B" w:rsidRDefault="00773DF5" w:rsidP="00A335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5AE" w:rsidRDefault="00AE35AE">
      <w:r>
        <w:separator/>
      </w:r>
    </w:p>
  </w:footnote>
  <w:footnote w:type="continuationSeparator" w:id="0">
    <w:p w:rsidR="00AE35AE" w:rsidRDefault="00AE35AE">
      <w:r>
        <w:continuationSeparator/>
      </w:r>
    </w:p>
  </w:footnote>
  <w:footnote w:id="1">
    <w:p w:rsidR="00C6720F" w:rsidRPr="00CC657C" w:rsidRDefault="00C6720F" w:rsidP="00AE35AE">
      <w:pPr>
        <w:pStyle w:val="FootnoteText"/>
        <w:rPr>
          <w:rFonts w:ascii="Times New Roman" w:hAnsi="Times New Roman"/>
        </w:rPr>
      </w:pPr>
      <w:r w:rsidRPr="00CC657C">
        <w:rPr>
          <w:rStyle w:val="FootnoteReference"/>
          <w:rFonts w:ascii="Times New Roman" w:hAnsi="Times New Roman"/>
        </w:rPr>
        <w:footnoteRef/>
      </w:r>
      <w:r w:rsidRPr="00CC657C">
        <w:rPr>
          <w:rFonts w:ascii="Times New Roman" w:hAnsi="Times New Roman"/>
        </w:rPr>
        <w:t xml:space="preserve"> JO L 333 du 9.11.2004, p. 7.</w:t>
      </w:r>
    </w:p>
  </w:footnote>
  <w:footnote w:id="2">
    <w:p w:rsidR="00C6720F" w:rsidRPr="00CC657C" w:rsidRDefault="00C6720F" w:rsidP="00AE35AE">
      <w:pPr>
        <w:pStyle w:val="FootnoteText"/>
        <w:rPr>
          <w:rFonts w:ascii="Times New Roman" w:hAnsi="Times New Roman"/>
        </w:rPr>
      </w:pPr>
      <w:r w:rsidRPr="00CC657C">
        <w:rPr>
          <w:rStyle w:val="FootnoteReference"/>
          <w:rFonts w:ascii="Times New Roman" w:hAnsi="Times New Roman"/>
        </w:rPr>
        <w:footnoteRef/>
      </w:r>
      <w:r w:rsidRPr="00CC657C">
        <w:rPr>
          <w:rFonts w:ascii="Times New Roman" w:hAnsi="Times New Roman"/>
        </w:rPr>
        <w:t xml:space="preserve"> Il n'est pas envisagé d’abroger les </w:t>
      </w:r>
      <w:r w:rsidRPr="00CC657C">
        <w:rPr>
          <w:rFonts w:ascii="Times New Roman" w:hAnsi="Times New Roman"/>
          <w:u w:val="single"/>
        </w:rPr>
        <w:t>articles 62 à 62 ter du statut de la Cour</w:t>
      </w:r>
      <w:r w:rsidRPr="00CC657C">
        <w:rPr>
          <w:rFonts w:ascii="Times New Roman" w:hAnsi="Times New Roman"/>
        </w:rPr>
        <w:t xml:space="preserve"> relatifs au réexamen. En effet, ces dispositions peuvent demeurer « en réserve » pour le cas où un tribunal spécialisé serait à l’avenir recréé. Ces mêmes dispositions traitent d’ailleurs du réexamen des arrêts rendus sur renvoi préjudiciel. Or, une compétence préjudicielle n'a pas encore été reconnue au Tribunal. De toutes façons, il ne saurait être exclu qu’un réexamen soit pendant devant la Cour au 1</w:t>
      </w:r>
      <w:r w:rsidRPr="00CC657C">
        <w:rPr>
          <w:rFonts w:ascii="Times New Roman" w:hAnsi="Times New Roman"/>
          <w:szCs w:val="18"/>
          <w:vertAlign w:val="superscript"/>
        </w:rPr>
        <w:t xml:space="preserve">er </w:t>
      </w:r>
      <w:r w:rsidRPr="00CC657C">
        <w:rPr>
          <w:rFonts w:ascii="Times New Roman" w:hAnsi="Times New Roman"/>
        </w:rPr>
        <w:t>septembre 2016. Il faudrait aussi permettre à la Cour d’entamer, même après cette date, le réexamen d’un arrêt que le Tribunal aurait rendu sur pourvoi. Au cas où le Tribunal serait saisi d’un renvoi après réexamen, les dispositions de son règlement de procédure s’appliqueraient.</w:t>
      </w:r>
    </w:p>
  </w:footnote>
  <w:footnote w:id="3">
    <w:p w:rsidR="00C6720F" w:rsidRPr="00FB7EC5" w:rsidRDefault="00C6720F" w:rsidP="00AE35AE">
      <w:pPr>
        <w:pStyle w:val="FootnoteText"/>
        <w:rPr>
          <w:rFonts w:ascii="Times New Roman" w:hAnsi="Times New Roman"/>
          <w:lang w:val="da-DK"/>
        </w:rPr>
      </w:pPr>
      <w:r w:rsidRPr="00CC657C">
        <w:rPr>
          <w:rStyle w:val="FootnoteReference"/>
          <w:rFonts w:ascii="Times New Roman" w:hAnsi="Times New Roman"/>
        </w:rPr>
        <w:footnoteRef/>
      </w:r>
      <w:r w:rsidRPr="00FB7EC5">
        <w:rPr>
          <w:rFonts w:ascii="Times New Roman" w:hAnsi="Times New Roman"/>
          <w:lang w:val="da-DK"/>
        </w:rPr>
        <w:t xml:space="preserve"> JO L XXX</w:t>
      </w:r>
    </w:p>
  </w:footnote>
  <w:footnote w:id="4">
    <w:p w:rsidR="00C6720F" w:rsidRPr="00FB7EC5" w:rsidRDefault="00C6720F" w:rsidP="00AE35AE">
      <w:pPr>
        <w:pStyle w:val="FootnoteText"/>
        <w:rPr>
          <w:rFonts w:ascii="Times New Roman" w:hAnsi="Times New Roman"/>
          <w:lang w:val="da-DK"/>
        </w:rPr>
      </w:pPr>
      <w:r w:rsidRPr="00CC657C">
        <w:rPr>
          <w:rStyle w:val="FootnoteReference"/>
          <w:rFonts w:ascii="Times New Roman" w:hAnsi="Times New Roman"/>
        </w:rPr>
        <w:footnoteRef/>
      </w:r>
      <w:r w:rsidRPr="00FB7EC5">
        <w:rPr>
          <w:rFonts w:ascii="Times New Roman" w:hAnsi="Times New Roman"/>
          <w:lang w:val="da-DK"/>
        </w:rPr>
        <w:t xml:space="preserve"> JO L 333 du 9.11.2004, p. 7.</w:t>
      </w:r>
    </w:p>
  </w:footnote>
  <w:footnote w:id="5">
    <w:p w:rsidR="00C6720F" w:rsidRPr="00CC657C" w:rsidRDefault="00C6720F">
      <w:pPr>
        <w:pStyle w:val="FootnoteText"/>
        <w:rPr>
          <w:rFonts w:ascii="Times New Roman" w:hAnsi="Times New Roman"/>
        </w:rPr>
      </w:pPr>
      <w:r w:rsidRPr="00CC657C">
        <w:rPr>
          <w:rStyle w:val="FootnoteReference"/>
          <w:rFonts w:ascii="Times New Roman" w:hAnsi="Times New Roman"/>
        </w:rPr>
        <w:footnoteRef/>
      </w:r>
      <w:r w:rsidRPr="00CC657C">
        <w:rPr>
          <w:rFonts w:ascii="Times New Roman" w:hAnsi="Times New Roman"/>
        </w:rPr>
        <w:t xml:space="preserve"> JO L 303 du 31.10.2012, p. 83.</w:t>
      </w:r>
    </w:p>
  </w:footnote>
  <w:footnote w:id="6">
    <w:p w:rsidR="00C6720F" w:rsidRPr="00CC657C" w:rsidRDefault="00C6720F">
      <w:pPr>
        <w:pStyle w:val="FootnoteText"/>
        <w:rPr>
          <w:rFonts w:ascii="Times New Roman" w:hAnsi="Times New Roman"/>
        </w:rPr>
      </w:pPr>
      <w:r w:rsidRPr="00CC657C">
        <w:rPr>
          <w:rStyle w:val="FootnoteReference"/>
          <w:rFonts w:ascii="Times New Roman" w:hAnsi="Times New Roman"/>
        </w:rPr>
        <w:footnoteRef/>
      </w:r>
      <w:r w:rsidRPr="00CC657C">
        <w:rPr>
          <w:rFonts w:ascii="Times New Roman" w:hAnsi="Times New Roman"/>
        </w:rPr>
        <w:t xml:space="preserve"> Le texte s’inspire du considérant 7 de la décision 2004/752 instituant le TFP.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56B" w:rsidRPr="00A3356B" w:rsidRDefault="00A3356B" w:rsidP="00A335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56B" w:rsidRPr="00A3356B" w:rsidRDefault="00A3356B" w:rsidP="00A3356B">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56B" w:rsidRPr="00A3356B" w:rsidRDefault="00A3356B" w:rsidP="00A3356B">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F5" w:rsidRPr="00A3356B" w:rsidRDefault="00773DF5" w:rsidP="00A3356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F5" w:rsidRPr="00A3356B" w:rsidRDefault="00773DF5" w:rsidP="00A3356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F5" w:rsidRPr="00A3356B" w:rsidRDefault="00773DF5" w:rsidP="00A335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8AC1B1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E743FE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C84507C"/>
    <w:lvl w:ilvl="0">
      <w:start w:val="1"/>
      <w:numFmt w:val="decimal"/>
      <w:pStyle w:val="ListNumber3"/>
      <w:lvlText w:val="%1."/>
      <w:lvlJc w:val="left"/>
      <w:pPr>
        <w:tabs>
          <w:tab w:val="num" w:pos="926"/>
        </w:tabs>
        <w:ind w:left="926" w:hanging="360"/>
      </w:pPr>
    </w:lvl>
  </w:abstractNum>
  <w:abstractNum w:abstractNumId="3">
    <w:nsid w:val="FFFFFF7F"/>
    <w:multiLevelType w:val="singleLevel"/>
    <w:tmpl w:val="D94CC9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6238672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81CBE1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D5C614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3BC299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A101EE6"/>
    <w:lvl w:ilvl="0">
      <w:start w:val="1"/>
      <w:numFmt w:val="decimal"/>
      <w:pStyle w:val="ListNumber"/>
      <w:lvlText w:val="%1."/>
      <w:lvlJc w:val="left"/>
      <w:pPr>
        <w:tabs>
          <w:tab w:val="num" w:pos="360"/>
        </w:tabs>
        <w:ind w:left="360" w:hanging="360"/>
      </w:pPr>
    </w:lvl>
  </w:abstractNum>
  <w:abstractNum w:abstractNumId="9">
    <w:nsid w:val="FFFFFF89"/>
    <w:multiLevelType w:val="singleLevel"/>
    <w:tmpl w:val="A35A622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DC1BC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F774A32"/>
    <w:multiLevelType w:val="hybridMultilevel"/>
    <w:tmpl w:val="69147C4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28BD248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C83289A"/>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nsid w:val="49C14831"/>
    <w:multiLevelType w:val="hybridMultilevel"/>
    <w:tmpl w:val="6E922EA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nsid w:val="58CB3724"/>
    <w:multiLevelType w:val="hybridMultilevel"/>
    <w:tmpl w:val="552A7CEE"/>
    <w:lvl w:ilvl="0" w:tplc="02E2D04C">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6">
    <w:nsid w:val="5C0870B5"/>
    <w:multiLevelType w:val="hybridMultilevel"/>
    <w:tmpl w:val="AE4E608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nsid w:val="6F8A62DF"/>
    <w:multiLevelType w:val="hybridMultilevel"/>
    <w:tmpl w:val="8670ECEC"/>
    <w:lvl w:ilvl="0" w:tplc="080C0001">
      <w:start w:val="1"/>
      <w:numFmt w:val="bullet"/>
      <w:lvlText w:val=""/>
      <w:lvlJc w:val="left"/>
      <w:pPr>
        <w:ind w:left="783" w:hanging="360"/>
      </w:pPr>
      <w:rPr>
        <w:rFonts w:ascii="Symbol" w:hAnsi="Symbol" w:hint="default"/>
      </w:rPr>
    </w:lvl>
    <w:lvl w:ilvl="1" w:tplc="08090003">
      <w:start w:val="1"/>
      <w:numFmt w:val="bullet"/>
      <w:lvlText w:val="o"/>
      <w:lvlJc w:val="left"/>
      <w:pPr>
        <w:tabs>
          <w:tab w:val="num" w:pos="1503"/>
        </w:tabs>
        <w:ind w:left="1503" w:hanging="360"/>
      </w:pPr>
      <w:rPr>
        <w:rFonts w:ascii="Courier New" w:hAnsi="Courier New" w:cs="Courier New" w:hint="default"/>
      </w:rPr>
    </w:lvl>
    <w:lvl w:ilvl="2" w:tplc="080C0005" w:tentative="1">
      <w:start w:val="1"/>
      <w:numFmt w:val="bullet"/>
      <w:lvlText w:val=""/>
      <w:lvlJc w:val="left"/>
      <w:pPr>
        <w:ind w:left="2223" w:hanging="360"/>
      </w:pPr>
      <w:rPr>
        <w:rFonts w:ascii="Wingdings" w:hAnsi="Wingdings" w:hint="default"/>
      </w:rPr>
    </w:lvl>
    <w:lvl w:ilvl="3" w:tplc="080C0001" w:tentative="1">
      <w:start w:val="1"/>
      <w:numFmt w:val="bullet"/>
      <w:lvlText w:val=""/>
      <w:lvlJc w:val="left"/>
      <w:pPr>
        <w:ind w:left="2943" w:hanging="360"/>
      </w:pPr>
      <w:rPr>
        <w:rFonts w:ascii="Symbol" w:hAnsi="Symbol" w:hint="default"/>
      </w:rPr>
    </w:lvl>
    <w:lvl w:ilvl="4" w:tplc="080C0003" w:tentative="1">
      <w:start w:val="1"/>
      <w:numFmt w:val="bullet"/>
      <w:lvlText w:val="o"/>
      <w:lvlJc w:val="left"/>
      <w:pPr>
        <w:ind w:left="3663" w:hanging="360"/>
      </w:pPr>
      <w:rPr>
        <w:rFonts w:ascii="Courier New" w:hAnsi="Courier New" w:cs="Courier New" w:hint="default"/>
      </w:rPr>
    </w:lvl>
    <w:lvl w:ilvl="5" w:tplc="080C0005" w:tentative="1">
      <w:start w:val="1"/>
      <w:numFmt w:val="bullet"/>
      <w:lvlText w:val=""/>
      <w:lvlJc w:val="left"/>
      <w:pPr>
        <w:ind w:left="4383" w:hanging="360"/>
      </w:pPr>
      <w:rPr>
        <w:rFonts w:ascii="Wingdings" w:hAnsi="Wingdings" w:hint="default"/>
      </w:rPr>
    </w:lvl>
    <w:lvl w:ilvl="6" w:tplc="080C0001" w:tentative="1">
      <w:start w:val="1"/>
      <w:numFmt w:val="bullet"/>
      <w:lvlText w:val=""/>
      <w:lvlJc w:val="left"/>
      <w:pPr>
        <w:ind w:left="5103" w:hanging="360"/>
      </w:pPr>
      <w:rPr>
        <w:rFonts w:ascii="Symbol" w:hAnsi="Symbol" w:hint="default"/>
      </w:rPr>
    </w:lvl>
    <w:lvl w:ilvl="7" w:tplc="080C0003" w:tentative="1">
      <w:start w:val="1"/>
      <w:numFmt w:val="bullet"/>
      <w:lvlText w:val="o"/>
      <w:lvlJc w:val="left"/>
      <w:pPr>
        <w:ind w:left="5823" w:hanging="360"/>
      </w:pPr>
      <w:rPr>
        <w:rFonts w:ascii="Courier New" w:hAnsi="Courier New" w:cs="Courier New" w:hint="default"/>
      </w:rPr>
    </w:lvl>
    <w:lvl w:ilvl="8" w:tplc="080C0005" w:tentative="1">
      <w:start w:val="1"/>
      <w:numFmt w:val="bullet"/>
      <w:lvlText w:val=""/>
      <w:lvlJc w:val="left"/>
      <w:pPr>
        <w:ind w:left="6543"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3"/>
  </w:num>
  <w:num w:numId="14">
    <w:abstractNumId w:val="11"/>
  </w:num>
  <w:num w:numId="15">
    <w:abstractNumId w:val="15"/>
  </w:num>
  <w:num w:numId="16">
    <w:abstractNumId w:val="17"/>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uncil" w:val="true"/>
    <w:docVar w:name="CoverPageOnWordDoc" w:val="true"/>
    <w:docVar w:name="DocuWriteMetaData" w:val="&lt;metadataset docuwriteversion=&quot;3.6.7&quot; technicalblockguid=&quot;0b491f92-f3f3-4fc8-9bb2-7df5f5e26244&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gt;_x000d__x000a_      &lt;language key=&quot;FR&quot; text=&quot;FR&quot; /&gt;_x000d__x000a_    &lt;/basicdatatypelist&gt;_x000d__x000a_  &lt;/metadata&gt;_x000d__x000a_  &lt;metadata key=&quot;md_UniqueHeading&quot;&gt;_x000d__x000a_    &lt;basicdatatype&gt;_x000d__x000a_      &lt;heading key=&quot;uh_64&quot; text=&quot;NOTE DE TRANSMISSION&quot; /&gt;_x000d__x000a_    &lt;/basicdatatype&gt;_x000d__x000a_  &lt;/metadata&gt;_x000d__x000a_  &lt;metadata key=&quot;md_HeadingText&quot;&gt;_x000d__x000a_    &lt;headingtext text=&quot;NOTE DE TRANSMISSION&quot;&gt;_x000d__x000a_      &lt;formattedtext&gt;_x000d__x000a_        &lt;xaml text=&quot;NOTE DE TRANSMISSION&quot;&gt;&amp;lt;FlowDocument xmlns=&quot;http://schemas.microsoft.com/winfx/2006/xaml/presentation&quot;&amp;gt;&amp;lt;Paragraph&amp;gt;NOTE DE TRANSMISSION&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5-11-24&lt;/text&gt;_x000d__x000a_  &lt;/metadata&gt;_x000d__x000a_  &lt;metadata key=&quot;md_Prefix&quot;&gt;_x000d__x000a_    &lt;text&gt;&lt;/text&gt;_x000d__x000a_  &lt;/metadata&gt;_x000d__x000a_  &lt;metadata key=&quot;md_DocumentNumber&quot;&gt;_x000d__x000a_    &lt;text&gt;14306&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JUR 737&lt;/text&gt;_x000d__x000a_      &lt;text&gt;INST 411&lt;/text&gt;_x000d__x000a_      &lt;text&gt;COUR 62&lt;/text&gt;_x000d__x000a_      &lt;text&gt;CODEC 1571&lt;/text&gt;_x000d__x000a_      &lt;text&gt;PARLNAT 135&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5/0906 (COD)&lt;/text&gt;_x000d__x000a_    &lt;/textlist&gt;_x000d__x000a_  &lt;/metadata&gt;_x000d__x000a_  &lt;metadata key=&quot;md_AdditionalReferences&quot; /&gt;_x000d__x000a_  &lt;metadata key=&quot;md_LEXNumber&quot; /&gt;_x000d__x000a_  &lt;metadata key=&quot;md_SousEmbargo&quot;&gt;_x000d__x000a_    &lt;text&gt;&lt;/text&gt;_x000d__x000a_  &lt;/metadata&gt;_x000d__x000a_  &lt;metadata key=&quot;md_Originator&quot;&gt;_x000d__x000a_    &lt;basicdatatype&gt;_x000d__x000a_      &lt;xaml text=&quot;M. Koen LENAERTS, Président de la Cour de justice de l'Union européenne&quot;&gt;&amp;lt;FlowDocument PagePadding=&quot;5,0,5,0&quot; AllowDrop=&quot;True&quot; xmlns=&quot;http://schemas.microsoft.com/winfx/2006/xaml/presentation&quot;&amp;gt;&amp;lt;Paragraph&amp;gt;M. Koen LENAERTS, Président de la Cour de justice de l'Union européenne&amp;lt;/Paragraph&amp;gt;&amp;lt;/FlowDocument&amp;gt;&lt;/xaml&gt;_x000d__x000a_    &lt;/basicdatatype&gt;_x000d__x000a_  &lt;/metadata&gt;_x000d__x000a_  &lt;metadata key=&quot;md_Recipient&quot;&gt;_x000d__x000a_    &lt;basicdatatype&gt;_x000d__x000a_      &lt;xaml text=&quot;M. Jean ASSELBORN, Président du Conseil de l'Union européenne&quot;&gt;&amp;lt;FlowDocument PagePadding=&quot;5,0,5,0&quot; AllowDrop=&quot;True&quot; xmlns=&quot;http://schemas.microsoft.com/winfx/2006/xaml/presentation&quot;&amp;gt;&amp;lt;Paragraph&amp;gt;M. Jean ASSELBORN, Président du Conseil de l'Union européenne&amp;lt;/Paragraph&amp;gt;&amp;lt;/FlowDocument&amp;gt;&lt;/xaml&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roposition de règlement du Parlement européen et du Conseil relatif au transfert au Tribunal de l'Union européenne de la compétence pour statuer, en première instance, sur les litiges entre l'Union et ses agents&quot;&gt;&amp;lt;FlowDocument FontFamily=&quot;Arial Unicode MS&quot; FontSize=&quot;12&quot; PageWidth=&quot;329&quot; PagePadding=&quot;5,0,5,0&quot; AllowDrop=&quot;False&quot; xmlns=&quot;http://schemas.microsoft.com/winfx/2006/xaml/presentation&quot;&amp;gt;&amp;lt;Paragraph&amp;gt;&amp;lt;Run xml:lang=&quot;fr-be&quot;&amp;gt;Proposition de règlement du Parlement européen et du Conseil relatif au transfert au Tribunal de l'Union européenne de la compétence pour statuer, en première instance, sur les litiges entre l'Union et ses agents&amp;lt;/Run&amp;gt;&amp;lt;/Paragraph&amp;gt;&amp;lt;/FlowDocument&amp;gt;&lt;/xaml&gt;_x000d__x000a_  &lt;/metadata&gt;_x000d__x000a_  &lt;metadata key=&quot;md_SubjectFootnote&quot; /&gt;_x000d__x000a_  &lt;metadata key=&quot;md_DG&quot;&gt;_x000d__x000a_    &lt;text&gt;JUR&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true&lt;/text&gt;_x000d__x000a_  &lt;/metadata&gt;_x000d__x000a_  &lt;metadata key=&quot;md_SourceDocLanguage&quot;&gt;_x000d__x000a_    &lt;text&gt;EN&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MEMO_TYPE"/>
  </w:docVars>
  <w:rsids>
    <w:rsidRoot w:val="00A6500E"/>
    <w:rsid w:val="00012B7F"/>
    <w:rsid w:val="000143FC"/>
    <w:rsid w:val="00020793"/>
    <w:rsid w:val="0004034B"/>
    <w:rsid w:val="00041E79"/>
    <w:rsid w:val="000432EB"/>
    <w:rsid w:val="00054DCB"/>
    <w:rsid w:val="00073315"/>
    <w:rsid w:val="000743D8"/>
    <w:rsid w:val="00080E61"/>
    <w:rsid w:val="001C4C52"/>
    <w:rsid w:val="00202A72"/>
    <w:rsid w:val="00242945"/>
    <w:rsid w:val="002C29C2"/>
    <w:rsid w:val="00333B94"/>
    <w:rsid w:val="003A6BF0"/>
    <w:rsid w:val="003F240B"/>
    <w:rsid w:val="00407D8B"/>
    <w:rsid w:val="00425381"/>
    <w:rsid w:val="00446619"/>
    <w:rsid w:val="00453A25"/>
    <w:rsid w:val="004618D2"/>
    <w:rsid w:val="004955B4"/>
    <w:rsid w:val="004A03DD"/>
    <w:rsid w:val="004D1980"/>
    <w:rsid w:val="004E037A"/>
    <w:rsid w:val="0050747D"/>
    <w:rsid w:val="00542A70"/>
    <w:rsid w:val="00543C7C"/>
    <w:rsid w:val="005668FF"/>
    <w:rsid w:val="00590D3F"/>
    <w:rsid w:val="005C6849"/>
    <w:rsid w:val="00623FD9"/>
    <w:rsid w:val="00626ED7"/>
    <w:rsid w:val="006863D4"/>
    <w:rsid w:val="007160D7"/>
    <w:rsid w:val="00722D5F"/>
    <w:rsid w:val="00773DF5"/>
    <w:rsid w:val="00783411"/>
    <w:rsid w:val="00786591"/>
    <w:rsid w:val="007C2974"/>
    <w:rsid w:val="007D4A23"/>
    <w:rsid w:val="00822269"/>
    <w:rsid w:val="00830918"/>
    <w:rsid w:val="00913D90"/>
    <w:rsid w:val="009522B8"/>
    <w:rsid w:val="009903BD"/>
    <w:rsid w:val="009A6994"/>
    <w:rsid w:val="00A21138"/>
    <w:rsid w:val="00A3356B"/>
    <w:rsid w:val="00A457B4"/>
    <w:rsid w:val="00A47994"/>
    <w:rsid w:val="00A6023F"/>
    <w:rsid w:val="00A6500E"/>
    <w:rsid w:val="00A8653D"/>
    <w:rsid w:val="00AA3B34"/>
    <w:rsid w:val="00AD2B90"/>
    <w:rsid w:val="00AE313F"/>
    <w:rsid w:val="00AE35AE"/>
    <w:rsid w:val="00B37A03"/>
    <w:rsid w:val="00BC02D5"/>
    <w:rsid w:val="00C30B8B"/>
    <w:rsid w:val="00C61D77"/>
    <w:rsid w:val="00C6720F"/>
    <w:rsid w:val="00C71842"/>
    <w:rsid w:val="00CA7E83"/>
    <w:rsid w:val="00D16A32"/>
    <w:rsid w:val="00D24DFB"/>
    <w:rsid w:val="00D90224"/>
    <w:rsid w:val="00D93AD8"/>
    <w:rsid w:val="00D95126"/>
    <w:rsid w:val="00DA6A90"/>
    <w:rsid w:val="00E30A18"/>
    <w:rsid w:val="00E364A0"/>
    <w:rsid w:val="00E40B3A"/>
    <w:rsid w:val="00EC69AC"/>
    <w:rsid w:val="00F1727A"/>
    <w:rsid w:val="00F46DAA"/>
    <w:rsid w:val="00F72EC3"/>
    <w:rsid w:val="00F774F4"/>
    <w:rsid w:val="00FB7EC5"/>
    <w:rsid w:val="00FC355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849"/>
    <w:pPr>
      <w:spacing w:after="200" w:line="276" w:lineRule="auto"/>
    </w:pPr>
    <w:rPr>
      <w:rFonts w:ascii="Calibri" w:eastAsia="Calibri" w:hAnsi="Calibri"/>
      <w:sz w:val="22"/>
      <w:szCs w:val="22"/>
      <w:lang w:val="fr-BE" w:eastAsia="en-US"/>
    </w:rPr>
  </w:style>
  <w:style w:type="paragraph" w:styleId="Heading1">
    <w:name w:val="heading 1"/>
    <w:basedOn w:val="Normal"/>
    <w:next w:val="Normal"/>
    <w:qFormat/>
    <w:rsid w:val="00A6500E"/>
    <w:pPr>
      <w:keepNext/>
      <w:numPr>
        <w:numId w:val="13"/>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A6500E"/>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rsid w:val="00A6500E"/>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rsid w:val="00A6500E"/>
    <w:pPr>
      <w:keepNext/>
      <w:numPr>
        <w:ilvl w:val="3"/>
        <w:numId w:val="13"/>
      </w:numPr>
      <w:spacing w:before="240" w:after="60"/>
      <w:outlineLvl w:val="3"/>
    </w:pPr>
    <w:rPr>
      <w:b/>
      <w:bCs/>
      <w:sz w:val="28"/>
      <w:szCs w:val="28"/>
    </w:rPr>
  </w:style>
  <w:style w:type="paragraph" w:styleId="Heading5">
    <w:name w:val="heading 5"/>
    <w:basedOn w:val="Normal"/>
    <w:next w:val="Normal"/>
    <w:qFormat/>
    <w:rsid w:val="00A6500E"/>
    <w:pPr>
      <w:numPr>
        <w:ilvl w:val="4"/>
        <w:numId w:val="13"/>
      </w:numPr>
      <w:spacing w:before="240" w:after="60"/>
      <w:outlineLvl w:val="4"/>
    </w:pPr>
    <w:rPr>
      <w:b/>
      <w:bCs/>
      <w:i/>
      <w:iCs/>
      <w:sz w:val="26"/>
      <w:szCs w:val="26"/>
    </w:rPr>
  </w:style>
  <w:style w:type="paragraph" w:styleId="Heading6">
    <w:name w:val="heading 6"/>
    <w:basedOn w:val="Normal"/>
    <w:next w:val="Normal"/>
    <w:qFormat/>
    <w:rsid w:val="00A6500E"/>
    <w:pPr>
      <w:numPr>
        <w:ilvl w:val="5"/>
        <w:numId w:val="13"/>
      </w:numPr>
      <w:spacing w:before="240" w:after="60"/>
      <w:outlineLvl w:val="5"/>
    </w:pPr>
    <w:rPr>
      <w:b/>
      <w:bCs/>
    </w:rPr>
  </w:style>
  <w:style w:type="paragraph" w:styleId="Heading7">
    <w:name w:val="heading 7"/>
    <w:basedOn w:val="Normal"/>
    <w:next w:val="Normal"/>
    <w:qFormat/>
    <w:rsid w:val="00A6500E"/>
    <w:pPr>
      <w:numPr>
        <w:ilvl w:val="6"/>
        <w:numId w:val="13"/>
      </w:numPr>
      <w:spacing w:before="240" w:after="60"/>
      <w:outlineLvl w:val="6"/>
    </w:pPr>
  </w:style>
  <w:style w:type="paragraph" w:styleId="Heading8">
    <w:name w:val="heading 8"/>
    <w:basedOn w:val="Normal"/>
    <w:next w:val="Normal"/>
    <w:qFormat/>
    <w:rsid w:val="00A6500E"/>
    <w:pPr>
      <w:numPr>
        <w:ilvl w:val="7"/>
        <w:numId w:val="13"/>
      </w:numPr>
      <w:spacing w:before="240" w:after="60"/>
      <w:outlineLvl w:val="7"/>
    </w:pPr>
    <w:rPr>
      <w:i/>
      <w:iCs/>
    </w:rPr>
  </w:style>
  <w:style w:type="paragraph" w:styleId="Heading9">
    <w:name w:val="heading 9"/>
    <w:basedOn w:val="Normal"/>
    <w:next w:val="Normal"/>
    <w:qFormat/>
    <w:rsid w:val="00A6500E"/>
    <w:pPr>
      <w:numPr>
        <w:ilvl w:val="8"/>
        <w:numId w:val="13"/>
      </w:numPr>
      <w:spacing w:before="240" w:after="60"/>
      <w:outlineLvl w:val="8"/>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A6500E"/>
    <w:pPr>
      <w:numPr>
        <w:numId w:val="11"/>
      </w:numPr>
    </w:pPr>
  </w:style>
  <w:style w:type="numbering" w:styleId="1ai">
    <w:name w:val="Outline List 1"/>
    <w:basedOn w:val="NoList"/>
    <w:semiHidden/>
    <w:rsid w:val="00A6500E"/>
    <w:pPr>
      <w:numPr>
        <w:numId w:val="12"/>
      </w:numPr>
    </w:pPr>
  </w:style>
  <w:style w:type="numbering" w:styleId="ArticleSection">
    <w:name w:val="Outline List 3"/>
    <w:basedOn w:val="NoList"/>
    <w:semiHidden/>
    <w:rsid w:val="00A6500E"/>
    <w:pPr>
      <w:numPr>
        <w:numId w:val="13"/>
      </w:numPr>
    </w:pPr>
  </w:style>
  <w:style w:type="paragraph" w:styleId="BlockText">
    <w:name w:val="Block Text"/>
    <w:basedOn w:val="Normal"/>
    <w:rsid w:val="00A6500E"/>
    <w:pPr>
      <w:spacing w:after="120"/>
      <w:ind w:left="1440" w:right="1440"/>
    </w:pPr>
  </w:style>
  <w:style w:type="paragraph" w:styleId="BodyText">
    <w:name w:val="Body Text"/>
    <w:basedOn w:val="Normal"/>
    <w:rsid w:val="00A6500E"/>
    <w:pPr>
      <w:spacing w:after="120"/>
    </w:pPr>
  </w:style>
  <w:style w:type="paragraph" w:styleId="BodyText2">
    <w:name w:val="Body Text 2"/>
    <w:basedOn w:val="Normal"/>
    <w:rsid w:val="00A6500E"/>
    <w:pPr>
      <w:spacing w:after="120" w:line="480" w:lineRule="auto"/>
    </w:pPr>
  </w:style>
  <w:style w:type="paragraph" w:styleId="BodyText3">
    <w:name w:val="Body Text 3"/>
    <w:basedOn w:val="Normal"/>
    <w:rsid w:val="00A6500E"/>
    <w:pPr>
      <w:spacing w:after="120"/>
    </w:pPr>
    <w:rPr>
      <w:sz w:val="16"/>
      <w:szCs w:val="16"/>
    </w:rPr>
  </w:style>
  <w:style w:type="paragraph" w:styleId="BodyTextFirstIndent">
    <w:name w:val="Body Text First Indent"/>
    <w:basedOn w:val="BodyText"/>
    <w:rsid w:val="00A6500E"/>
    <w:pPr>
      <w:ind w:firstLine="210"/>
    </w:pPr>
  </w:style>
  <w:style w:type="paragraph" w:styleId="BodyTextIndent">
    <w:name w:val="Body Text Indent"/>
    <w:basedOn w:val="Normal"/>
    <w:rsid w:val="00A6500E"/>
    <w:pPr>
      <w:spacing w:after="120"/>
      <w:ind w:left="283"/>
    </w:pPr>
  </w:style>
  <w:style w:type="paragraph" w:styleId="BodyTextFirstIndent2">
    <w:name w:val="Body Text First Indent 2"/>
    <w:basedOn w:val="BodyTextIndent"/>
    <w:rsid w:val="00A6500E"/>
    <w:pPr>
      <w:ind w:firstLine="210"/>
    </w:pPr>
  </w:style>
  <w:style w:type="paragraph" w:styleId="BodyTextIndent2">
    <w:name w:val="Body Text Indent 2"/>
    <w:basedOn w:val="Normal"/>
    <w:rsid w:val="00A6500E"/>
    <w:pPr>
      <w:spacing w:after="120" w:line="480" w:lineRule="auto"/>
      <w:ind w:left="283"/>
    </w:pPr>
  </w:style>
  <w:style w:type="paragraph" w:styleId="BodyTextIndent3">
    <w:name w:val="Body Text Indent 3"/>
    <w:basedOn w:val="Normal"/>
    <w:rsid w:val="00A6500E"/>
    <w:pPr>
      <w:spacing w:after="120"/>
      <w:ind w:left="283"/>
    </w:pPr>
    <w:rPr>
      <w:sz w:val="16"/>
      <w:szCs w:val="16"/>
    </w:rPr>
  </w:style>
  <w:style w:type="paragraph" w:styleId="Closing">
    <w:name w:val="Closing"/>
    <w:basedOn w:val="Normal"/>
    <w:semiHidden/>
    <w:rsid w:val="00A6500E"/>
    <w:pPr>
      <w:ind w:left="4252"/>
    </w:pPr>
  </w:style>
  <w:style w:type="character" w:styleId="FollowedHyperlink">
    <w:name w:val="FollowedHyperlink"/>
    <w:semiHidden/>
    <w:rsid w:val="00A6500E"/>
    <w:rPr>
      <w:color w:val="800080"/>
      <w:u w:val="single"/>
    </w:rPr>
  </w:style>
  <w:style w:type="paragraph" w:styleId="Footer">
    <w:name w:val="footer"/>
    <w:basedOn w:val="Normal"/>
    <w:link w:val="FooterChar"/>
    <w:uiPriority w:val="99"/>
    <w:rsid w:val="00A6500E"/>
    <w:pPr>
      <w:tabs>
        <w:tab w:val="center" w:pos="4320"/>
        <w:tab w:val="right" w:pos="8640"/>
      </w:tabs>
    </w:pPr>
  </w:style>
  <w:style w:type="paragraph" w:styleId="Header">
    <w:name w:val="header"/>
    <w:basedOn w:val="Normal"/>
    <w:rsid w:val="00A6500E"/>
    <w:pPr>
      <w:tabs>
        <w:tab w:val="center" w:pos="4320"/>
        <w:tab w:val="right" w:pos="8640"/>
      </w:tabs>
    </w:pPr>
  </w:style>
  <w:style w:type="character" w:styleId="HTMLAcronym">
    <w:name w:val="HTML Acronym"/>
    <w:basedOn w:val="DefaultParagraphFont"/>
    <w:semiHidden/>
    <w:rsid w:val="00A6500E"/>
  </w:style>
  <w:style w:type="paragraph" w:styleId="HTMLAddress">
    <w:name w:val="HTML Address"/>
    <w:basedOn w:val="Normal"/>
    <w:semiHidden/>
    <w:rsid w:val="00A6500E"/>
    <w:rPr>
      <w:i/>
      <w:iCs/>
    </w:rPr>
  </w:style>
  <w:style w:type="character" w:styleId="HTMLCite">
    <w:name w:val="HTML Cite"/>
    <w:semiHidden/>
    <w:rsid w:val="00A6500E"/>
    <w:rPr>
      <w:i/>
      <w:iCs/>
    </w:rPr>
  </w:style>
  <w:style w:type="character" w:styleId="HTMLCode">
    <w:name w:val="HTML Code"/>
    <w:semiHidden/>
    <w:rsid w:val="00A6500E"/>
    <w:rPr>
      <w:rFonts w:ascii="Courier New" w:hAnsi="Courier New" w:cs="Courier New"/>
      <w:sz w:val="20"/>
      <w:szCs w:val="20"/>
    </w:rPr>
  </w:style>
  <w:style w:type="character" w:styleId="HTMLDefinition">
    <w:name w:val="HTML Definition"/>
    <w:semiHidden/>
    <w:rsid w:val="00A6500E"/>
    <w:rPr>
      <w:i/>
      <w:iCs/>
    </w:rPr>
  </w:style>
  <w:style w:type="character" w:styleId="HTMLKeyboard">
    <w:name w:val="HTML Keyboard"/>
    <w:semiHidden/>
    <w:rsid w:val="00A6500E"/>
    <w:rPr>
      <w:rFonts w:ascii="Courier New" w:hAnsi="Courier New" w:cs="Courier New"/>
      <w:sz w:val="20"/>
      <w:szCs w:val="20"/>
    </w:rPr>
  </w:style>
  <w:style w:type="paragraph" w:styleId="HTMLPreformatted">
    <w:name w:val="HTML Preformatted"/>
    <w:basedOn w:val="Normal"/>
    <w:semiHidden/>
    <w:rsid w:val="00A6500E"/>
    <w:rPr>
      <w:rFonts w:ascii="Courier New" w:hAnsi="Courier New" w:cs="Courier New"/>
      <w:sz w:val="20"/>
      <w:szCs w:val="20"/>
    </w:rPr>
  </w:style>
  <w:style w:type="character" w:styleId="HTMLSample">
    <w:name w:val="HTML Sample"/>
    <w:semiHidden/>
    <w:rsid w:val="00A6500E"/>
    <w:rPr>
      <w:rFonts w:ascii="Courier New" w:hAnsi="Courier New" w:cs="Courier New"/>
    </w:rPr>
  </w:style>
  <w:style w:type="character" w:styleId="HTMLTypewriter">
    <w:name w:val="HTML Typewriter"/>
    <w:semiHidden/>
    <w:rsid w:val="00A6500E"/>
    <w:rPr>
      <w:rFonts w:ascii="Courier New" w:hAnsi="Courier New" w:cs="Courier New"/>
      <w:sz w:val="20"/>
      <w:szCs w:val="20"/>
    </w:rPr>
  </w:style>
  <w:style w:type="character" w:styleId="HTMLVariable">
    <w:name w:val="HTML Variable"/>
    <w:semiHidden/>
    <w:rsid w:val="00A6500E"/>
    <w:rPr>
      <w:i/>
      <w:iCs/>
    </w:rPr>
  </w:style>
  <w:style w:type="character" w:styleId="Hyperlink">
    <w:name w:val="Hyperlink"/>
    <w:semiHidden/>
    <w:rsid w:val="00A6500E"/>
    <w:rPr>
      <w:color w:val="0000FF"/>
      <w:u w:val="single"/>
    </w:rPr>
  </w:style>
  <w:style w:type="character" w:styleId="LineNumber">
    <w:name w:val="line number"/>
    <w:basedOn w:val="DefaultParagraphFont"/>
    <w:semiHidden/>
    <w:rsid w:val="00A6500E"/>
  </w:style>
  <w:style w:type="paragraph" w:styleId="List">
    <w:name w:val="List"/>
    <w:basedOn w:val="Normal"/>
    <w:rsid w:val="00A6500E"/>
    <w:pPr>
      <w:ind w:left="283" w:hanging="283"/>
    </w:pPr>
  </w:style>
  <w:style w:type="paragraph" w:styleId="List2">
    <w:name w:val="List 2"/>
    <w:basedOn w:val="Normal"/>
    <w:rsid w:val="00A6500E"/>
    <w:pPr>
      <w:ind w:left="566" w:hanging="283"/>
    </w:pPr>
  </w:style>
  <w:style w:type="paragraph" w:styleId="List3">
    <w:name w:val="List 3"/>
    <w:basedOn w:val="Normal"/>
    <w:rsid w:val="00A6500E"/>
    <w:pPr>
      <w:ind w:left="849" w:hanging="283"/>
    </w:pPr>
  </w:style>
  <w:style w:type="paragraph" w:styleId="List4">
    <w:name w:val="List 4"/>
    <w:basedOn w:val="Normal"/>
    <w:semiHidden/>
    <w:rsid w:val="00A6500E"/>
    <w:pPr>
      <w:ind w:left="1132" w:hanging="283"/>
    </w:pPr>
  </w:style>
  <w:style w:type="paragraph" w:styleId="List5">
    <w:name w:val="List 5"/>
    <w:basedOn w:val="Normal"/>
    <w:semiHidden/>
    <w:rsid w:val="00A6500E"/>
    <w:pPr>
      <w:ind w:left="1415" w:hanging="283"/>
    </w:pPr>
  </w:style>
  <w:style w:type="paragraph" w:styleId="ListBullet">
    <w:name w:val="List Bullet"/>
    <w:basedOn w:val="Normal"/>
    <w:autoRedefine/>
    <w:rsid w:val="00A6500E"/>
    <w:pPr>
      <w:numPr>
        <w:numId w:val="1"/>
      </w:numPr>
    </w:pPr>
  </w:style>
  <w:style w:type="paragraph" w:styleId="ListBullet2">
    <w:name w:val="List Bullet 2"/>
    <w:basedOn w:val="Normal"/>
    <w:autoRedefine/>
    <w:rsid w:val="00A6500E"/>
    <w:pPr>
      <w:numPr>
        <w:numId w:val="2"/>
      </w:numPr>
    </w:pPr>
  </w:style>
  <w:style w:type="paragraph" w:styleId="ListBullet3">
    <w:name w:val="List Bullet 3"/>
    <w:basedOn w:val="Normal"/>
    <w:autoRedefine/>
    <w:rsid w:val="00A6500E"/>
    <w:pPr>
      <w:numPr>
        <w:numId w:val="3"/>
      </w:numPr>
    </w:pPr>
  </w:style>
  <w:style w:type="paragraph" w:styleId="ListBullet4">
    <w:name w:val="List Bullet 4"/>
    <w:basedOn w:val="Normal"/>
    <w:autoRedefine/>
    <w:semiHidden/>
    <w:rsid w:val="00A6500E"/>
    <w:pPr>
      <w:numPr>
        <w:numId w:val="4"/>
      </w:numPr>
    </w:pPr>
  </w:style>
  <w:style w:type="paragraph" w:styleId="ListBullet5">
    <w:name w:val="List Bullet 5"/>
    <w:basedOn w:val="Normal"/>
    <w:autoRedefine/>
    <w:semiHidden/>
    <w:rsid w:val="00A6500E"/>
    <w:pPr>
      <w:numPr>
        <w:numId w:val="5"/>
      </w:numPr>
    </w:pPr>
  </w:style>
  <w:style w:type="paragraph" w:styleId="ListContinue">
    <w:name w:val="List Continue"/>
    <w:basedOn w:val="Normal"/>
    <w:semiHidden/>
    <w:rsid w:val="00A6500E"/>
    <w:pPr>
      <w:spacing w:after="120"/>
      <w:ind w:left="283"/>
    </w:pPr>
  </w:style>
  <w:style w:type="paragraph" w:styleId="ListContinue2">
    <w:name w:val="List Continue 2"/>
    <w:basedOn w:val="Normal"/>
    <w:semiHidden/>
    <w:rsid w:val="00A6500E"/>
    <w:pPr>
      <w:spacing w:after="120"/>
      <w:ind w:left="566"/>
    </w:pPr>
  </w:style>
  <w:style w:type="paragraph" w:styleId="ListContinue3">
    <w:name w:val="List Continue 3"/>
    <w:basedOn w:val="Normal"/>
    <w:semiHidden/>
    <w:rsid w:val="00A6500E"/>
    <w:pPr>
      <w:spacing w:after="120"/>
      <w:ind w:left="849"/>
    </w:pPr>
  </w:style>
  <w:style w:type="paragraph" w:styleId="ListContinue4">
    <w:name w:val="List Continue 4"/>
    <w:basedOn w:val="Normal"/>
    <w:semiHidden/>
    <w:rsid w:val="00A6500E"/>
    <w:pPr>
      <w:spacing w:after="120"/>
      <w:ind w:left="1132"/>
    </w:pPr>
  </w:style>
  <w:style w:type="paragraph" w:styleId="ListContinue5">
    <w:name w:val="List Continue 5"/>
    <w:basedOn w:val="Normal"/>
    <w:semiHidden/>
    <w:rsid w:val="00A6500E"/>
    <w:pPr>
      <w:spacing w:after="120"/>
      <w:ind w:left="1415"/>
    </w:pPr>
  </w:style>
  <w:style w:type="paragraph" w:styleId="ListNumber">
    <w:name w:val="List Number"/>
    <w:basedOn w:val="Normal"/>
    <w:rsid w:val="00A6500E"/>
    <w:pPr>
      <w:numPr>
        <w:numId w:val="6"/>
      </w:numPr>
    </w:pPr>
  </w:style>
  <w:style w:type="paragraph" w:styleId="ListNumber2">
    <w:name w:val="List Number 2"/>
    <w:basedOn w:val="Normal"/>
    <w:rsid w:val="00A6500E"/>
    <w:pPr>
      <w:numPr>
        <w:numId w:val="7"/>
      </w:numPr>
    </w:pPr>
  </w:style>
  <w:style w:type="paragraph" w:styleId="ListNumber3">
    <w:name w:val="List Number 3"/>
    <w:basedOn w:val="Normal"/>
    <w:semiHidden/>
    <w:rsid w:val="00A6500E"/>
    <w:pPr>
      <w:numPr>
        <w:numId w:val="8"/>
      </w:numPr>
    </w:pPr>
  </w:style>
  <w:style w:type="paragraph" w:styleId="ListNumber4">
    <w:name w:val="List Number 4"/>
    <w:basedOn w:val="Normal"/>
    <w:semiHidden/>
    <w:rsid w:val="00A6500E"/>
    <w:pPr>
      <w:numPr>
        <w:numId w:val="9"/>
      </w:numPr>
    </w:pPr>
  </w:style>
  <w:style w:type="paragraph" w:styleId="ListNumber5">
    <w:name w:val="List Number 5"/>
    <w:basedOn w:val="Normal"/>
    <w:semiHidden/>
    <w:rsid w:val="00A6500E"/>
    <w:pPr>
      <w:numPr>
        <w:numId w:val="10"/>
      </w:numPr>
    </w:pPr>
  </w:style>
  <w:style w:type="paragraph" w:styleId="MessageHeader">
    <w:name w:val="Message Header"/>
    <w:basedOn w:val="Normal"/>
    <w:rsid w:val="00A650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A6500E"/>
  </w:style>
  <w:style w:type="paragraph" w:styleId="NormalIndent">
    <w:name w:val="Normal Indent"/>
    <w:basedOn w:val="Normal"/>
    <w:semiHidden/>
    <w:rsid w:val="00A6500E"/>
    <w:pPr>
      <w:ind w:left="720"/>
    </w:pPr>
  </w:style>
  <w:style w:type="paragraph" w:styleId="NoteHeading">
    <w:name w:val="Note Heading"/>
    <w:basedOn w:val="Normal"/>
    <w:next w:val="Normal"/>
    <w:semiHidden/>
    <w:rsid w:val="00A6500E"/>
  </w:style>
  <w:style w:type="character" w:styleId="PageNumber">
    <w:name w:val="page number"/>
    <w:basedOn w:val="DefaultParagraphFont"/>
    <w:rsid w:val="00A6500E"/>
  </w:style>
  <w:style w:type="paragraph" w:styleId="PlainText">
    <w:name w:val="Plain Text"/>
    <w:basedOn w:val="Normal"/>
    <w:rsid w:val="00A6500E"/>
    <w:rPr>
      <w:rFonts w:ascii="Courier New" w:hAnsi="Courier New" w:cs="Courier New"/>
      <w:sz w:val="20"/>
      <w:szCs w:val="20"/>
    </w:rPr>
  </w:style>
  <w:style w:type="paragraph" w:styleId="Salutation">
    <w:name w:val="Salutation"/>
    <w:basedOn w:val="Normal"/>
    <w:next w:val="Normal"/>
    <w:rsid w:val="00A6500E"/>
  </w:style>
  <w:style w:type="paragraph" w:styleId="Signature">
    <w:name w:val="Signature"/>
    <w:basedOn w:val="Normal"/>
    <w:semiHidden/>
    <w:rsid w:val="00A6500E"/>
    <w:pPr>
      <w:ind w:left="4252"/>
    </w:pPr>
  </w:style>
  <w:style w:type="character" w:styleId="Strong">
    <w:name w:val="Strong"/>
    <w:qFormat/>
    <w:rsid w:val="00A6500E"/>
    <w:rPr>
      <w:b/>
      <w:bCs/>
    </w:rPr>
  </w:style>
  <w:style w:type="paragraph" w:styleId="Subtitle">
    <w:name w:val="Subtitle"/>
    <w:basedOn w:val="Normal"/>
    <w:qFormat/>
    <w:rsid w:val="00A6500E"/>
    <w:pPr>
      <w:spacing w:after="60"/>
      <w:jc w:val="center"/>
      <w:outlineLvl w:val="1"/>
    </w:pPr>
    <w:rPr>
      <w:rFonts w:ascii="Arial" w:hAnsi="Arial" w:cs="Arial"/>
    </w:rPr>
  </w:style>
  <w:style w:type="table" w:styleId="Table3Deffects1">
    <w:name w:val="Table 3D effects 1"/>
    <w:basedOn w:val="TableNormal"/>
    <w:semiHidden/>
    <w:rsid w:val="00A6500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6500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6500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6500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6500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6500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6500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6500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6500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6500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6500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6500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6500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6500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6500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6500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6500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A65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A650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6500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6500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6500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6500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6500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6500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6500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6500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6500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6500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6500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6500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6500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6500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6500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650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6500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6500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6500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6500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6500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65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6500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6500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6500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A6500E"/>
    <w:pPr>
      <w:spacing w:before="240" w:after="60"/>
      <w:jc w:val="center"/>
      <w:outlineLvl w:val="0"/>
    </w:pPr>
    <w:rPr>
      <w:rFonts w:ascii="Arial" w:hAnsi="Arial" w:cs="Arial"/>
      <w:b/>
      <w:bCs/>
      <w:kern w:val="28"/>
      <w:sz w:val="32"/>
      <w:szCs w:val="32"/>
    </w:rPr>
  </w:style>
  <w:style w:type="paragraph" w:styleId="Date">
    <w:name w:val="Date"/>
    <w:basedOn w:val="Normal"/>
    <w:next w:val="Normal"/>
    <w:rsid w:val="00A6500E"/>
  </w:style>
  <w:style w:type="paragraph" w:styleId="E-mailSignature">
    <w:name w:val="E-mail Signature"/>
    <w:basedOn w:val="Normal"/>
    <w:rsid w:val="00A6500E"/>
  </w:style>
  <w:style w:type="character" w:styleId="Emphasis">
    <w:name w:val="Emphasis"/>
    <w:qFormat/>
    <w:rsid w:val="00A6500E"/>
    <w:rPr>
      <w:i/>
      <w:iCs/>
    </w:rPr>
  </w:style>
  <w:style w:type="paragraph" w:styleId="EnvelopeAddress">
    <w:name w:val="envelope address"/>
    <w:basedOn w:val="Normal"/>
    <w:rsid w:val="00A6500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6500E"/>
    <w:rPr>
      <w:rFonts w:ascii="Arial" w:hAnsi="Arial" w:cs="Arial"/>
      <w:sz w:val="20"/>
      <w:szCs w:val="20"/>
    </w:rPr>
  </w:style>
  <w:style w:type="paragraph" w:styleId="BalloonText">
    <w:name w:val="Balloon Text"/>
    <w:basedOn w:val="Normal"/>
    <w:link w:val="BalloonTextChar"/>
    <w:uiPriority w:val="99"/>
    <w:semiHidden/>
    <w:unhideWhenUsed/>
    <w:rsid w:val="00080E61"/>
    <w:rPr>
      <w:rFonts w:ascii="Tahoma" w:hAnsi="Tahoma" w:cs="Tahoma"/>
      <w:sz w:val="16"/>
      <w:szCs w:val="16"/>
    </w:rPr>
  </w:style>
  <w:style w:type="character" w:customStyle="1" w:styleId="BalloonTextChar">
    <w:name w:val="Balloon Text Char"/>
    <w:link w:val="BalloonText"/>
    <w:uiPriority w:val="99"/>
    <w:semiHidden/>
    <w:rsid w:val="00080E61"/>
    <w:rPr>
      <w:rFonts w:ascii="Tahoma" w:hAnsi="Tahoma" w:cs="Tahoma"/>
      <w:sz w:val="16"/>
      <w:szCs w:val="16"/>
      <w:lang w:val="en-US" w:eastAsia="en-US"/>
    </w:rPr>
  </w:style>
  <w:style w:type="paragraph" w:styleId="FootnoteText">
    <w:name w:val="footnote text"/>
    <w:basedOn w:val="Normal"/>
    <w:link w:val="FootnoteTextChar"/>
    <w:uiPriority w:val="99"/>
    <w:unhideWhenUsed/>
    <w:rsid w:val="00F774F4"/>
    <w:rPr>
      <w:sz w:val="20"/>
      <w:szCs w:val="20"/>
    </w:rPr>
  </w:style>
  <w:style w:type="character" w:customStyle="1" w:styleId="FootnoteTextChar">
    <w:name w:val="Footnote Text Char"/>
    <w:link w:val="FootnoteText"/>
    <w:uiPriority w:val="99"/>
    <w:rsid w:val="00F774F4"/>
    <w:rPr>
      <w:rFonts w:ascii="Calibri" w:eastAsia="Calibri" w:hAnsi="Calibri"/>
      <w:lang w:val="fr-BE" w:eastAsia="en-US"/>
    </w:rPr>
  </w:style>
  <w:style w:type="character" w:styleId="FootnoteReference">
    <w:name w:val="footnote reference"/>
    <w:uiPriority w:val="99"/>
    <w:semiHidden/>
    <w:unhideWhenUsed/>
    <w:rsid w:val="00F774F4"/>
    <w:rPr>
      <w:vertAlign w:val="superscript"/>
    </w:rPr>
  </w:style>
  <w:style w:type="character" w:customStyle="1" w:styleId="FooterChar">
    <w:name w:val="Footer Char"/>
    <w:link w:val="Footer"/>
    <w:uiPriority w:val="99"/>
    <w:rsid w:val="00AE313F"/>
    <w:rPr>
      <w:rFonts w:ascii="Calibri" w:eastAsia="Calibri" w:hAnsi="Calibri"/>
      <w:sz w:val="22"/>
      <w:szCs w:val="22"/>
      <w:lang w:val="fr-BE" w:eastAsia="en-US"/>
    </w:rPr>
  </w:style>
  <w:style w:type="paragraph" w:customStyle="1" w:styleId="TechnicalBlock">
    <w:name w:val="Technical Block"/>
    <w:basedOn w:val="Normal"/>
    <w:link w:val="TechnicalBlockChar"/>
    <w:rsid w:val="00773DF5"/>
    <w:pPr>
      <w:spacing w:after="240"/>
      <w:jc w:val="center"/>
    </w:pPr>
    <w:rPr>
      <w:rFonts w:ascii="Times New Roman" w:hAnsi="Times New Roman"/>
      <w:i/>
      <w:sz w:val="24"/>
      <w:szCs w:val="24"/>
    </w:rPr>
  </w:style>
  <w:style w:type="character" w:customStyle="1" w:styleId="TechnicalBlockChar">
    <w:name w:val="Technical Block Char"/>
    <w:basedOn w:val="DefaultParagraphFont"/>
    <w:link w:val="TechnicalBlock"/>
    <w:rsid w:val="00773DF5"/>
    <w:rPr>
      <w:rFonts w:eastAsia="Calibri"/>
      <w:i/>
      <w:sz w:val="24"/>
      <w:szCs w:val="24"/>
      <w:lang w:val="fr-BE" w:eastAsia="en-US"/>
    </w:rPr>
  </w:style>
  <w:style w:type="paragraph" w:customStyle="1" w:styleId="EntText">
    <w:name w:val="EntText"/>
    <w:basedOn w:val="Normal"/>
    <w:rsid w:val="00773DF5"/>
    <w:pPr>
      <w:spacing w:before="120" w:after="120" w:line="360" w:lineRule="auto"/>
    </w:pPr>
    <w:rPr>
      <w:rFonts w:ascii="Times New Roman" w:eastAsia="Times New Roman" w:hAnsi="Times New Roman"/>
      <w:sz w:val="24"/>
      <w:szCs w:val="24"/>
    </w:rPr>
  </w:style>
  <w:style w:type="paragraph" w:customStyle="1" w:styleId="Lignefinal">
    <w:name w:val="Ligne final"/>
    <w:basedOn w:val="Normal"/>
    <w:next w:val="Normal"/>
    <w:rsid w:val="00773DF5"/>
    <w:pPr>
      <w:pBdr>
        <w:bottom w:val="single" w:sz="4" w:space="0" w:color="000000"/>
      </w:pBdr>
      <w:spacing w:before="360" w:after="120" w:line="360" w:lineRule="auto"/>
      <w:ind w:left="3400" w:right="3400"/>
      <w:jc w:val="center"/>
    </w:pPr>
    <w:rPr>
      <w:rFonts w:ascii="Times New Roman" w:eastAsia="Times New Roman" w:hAnsi="Times New Roman"/>
      <w:b/>
      <w:sz w:val="24"/>
      <w:szCs w:val="24"/>
    </w:rPr>
  </w:style>
  <w:style w:type="character" w:customStyle="1" w:styleId="Marker">
    <w:name w:val="Marker"/>
    <w:basedOn w:val="DefaultParagraphFont"/>
    <w:rsid w:val="00773DF5"/>
    <w:rPr>
      <w:color w:val="0000FF"/>
      <w:shd w:val="clear" w:color="auto" w:fill="auto"/>
    </w:rPr>
  </w:style>
  <w:style w:type="paragraph" w:customStyle="1" w:styleId="pj">
    <w:name w:val="p.j."/>
    <w:basedOn w:val="Normal"/>
    <w:link w:val="pjChar"/>
    <w:rsid w:val="00773DF5"/>
    <w:pPr>
      <w:spacing w:before="1200" w:after="120" w:line="240" w:lineRule="auto"/>
      <w:ind w:left="1440" w:hanging="1440"/>
    </w:pPr>
    <w:rPr>
      <w:rFonts w:ascii="Times New Roman" w:hAnsi="Times New Roman"/>
      <w:sz w:val="24"/>
    </w:rPr>
  </w:style>
  <w:style w:type="character" w:customStyle="1" w:styleId="pjChar">
    <w:name w:val="p.j. Char"/>
    <w:basedOn w:val="DefaultParagraphFont"/>
    <w:link w:val="pj"/>
    <w:rsid w:val="00773DF5"/>
    <w:rPr>
      <w:rFonts w:eastAsia="Calibri"/>
      <w:sz w:val="24"/>
      <w:szCs w:val="22"/>
      <w:lang w:val="fr-BE" w:eastAsia="en-US"/>
    </w:rPr>
  </w:style>
  <w:style w:type="paragraph" w:customStyle="1" w:styleId="HeaderCouncil">
    <w:name w:val="Header Council"/>
    <w:basedOn w:val="Normal"/>
    <w:link w:val="HeaderCouncilChar"/>
    <w:rsid w:val="00773DF5"/>
    <w:pPr>
      <w:spacing w:after="0"/>
    </w:pPr>
    <w:rPr>
      <w:sz w:val="2"/>
    </w:rPr>
  </w:style>
  <w:style w:type="character" w:customStyle="1" w:styleId="HeaderCouncilChar">
    <w:name w:val="Header Council Char"/>
    <w:basedOn w:val="pjChar"/>
    <w:link w:val="HeaderCouncil"/>
    <w:rsid w:val="00773DF5"/>
    <w:rPr>
      <w:rFonts w:ascii="Calibri" w:eastAsia="Calibri" w:hAnsi="Calibri"/>
      <w:sz w:val="2"/>
      <w:szCs w:val="22"/>
      <w:lang w:val="fr-BE" w:eastAsia="en-US"/>
    </w:rPr>
  </w:style>
  <w:style w:type="paragraph" w:customStyle="1" w:styleId="HeaderCouncilLarge">
    <w:name w:val="Header Council Large"/>
    <w:basedOn w:val="Normal"/>
    <w:link w:val="HeaderCouncilLargeChar"/>
    <w:rsid w:val="00773DF5"/>
    <w:pPr>
      <w:spacing w:after="440"/>
    </w:pPr>
    <w:rPr>
      <w:sz w:val="2"/>
    </w:rPr>
  </w:style>
  <w:style w:type="character" w:customStyle="1" w:styleId="HeaderCouncilLargeChar">
    <w:name w:val="Header Council Large Char"/>
    <w:basedOn w:val="pjChar"/>
    <w:link w:val="HeaderCouncilLarge"/>
    <w:rsid w:val="00773DF5"/>
    <w:rPr>
      <w:rFonts w:ascii="Calibri" w:eastAsia="Calibri" w:hAnsi="Calibri"/>
      <w:sz w:val="2"/>
      <w:szCs w:val="22"/>
      <w:lang w:val="fr-BE" w:eastAsia="en-US"/>
    </w:rPr>
  </w:style>
  <w:style w:type="paragraph" w:customStyle="1" w:styleId="FooterCouncil">
    <w:name w:val="Footer Council"/>
    <w:basedOn w:val="Normal"/>
    <w:link w:val="FooterCouncilChar"/>
    <w:rsid w:val="00773DF5"/>
    <w:pPr>
      <w:spacing w:after="0"/>
    </w:pPr>
    <w:rPr>
      <w:sz w:val="2"/>
    </w:rPr>
  </w:style>
  <w:style w:type="character" w:customStyle="1" w:styleId="FooterCouncilChar">
    <w:name w:val="Footer Council Char"/>
    <w:basedOn w:val="pjChar"/>
    <w:link w:val="FooterCouncil"/>
    <w:rsid w:val="00773DF5"/>
    <w:rPr>
      <w:rFonts w:ascii="Calibri" w:eastAsia="Calibri" w:hAnsi="Calibri"/>
      <w:sz w:val="2"/>
      <w:szCs w:val="22"/>
      <w:lang w:val="fr-BE" w:eastAsia="en-US"/>
    </w:rPr>
  </w:style>
  <w:style w:type="paragraph" w:customStyle="1" w:styleId="FooterText">
    <w:name w:val="Footer Text"/>
    <w:basedOn w:val="Normal"/>
    <w:rsid w:val="00773DF5"/>
    <w:pPr>
      <w:spacing w:after="0" w:line="240" w:lineRule="auto"/>
    </w:pPr>
    <w:rPr>
      <w:rFonts w:ascii="Times New Roman" w:eastAsia="Times New Roman" w:hAnsi="Times New Roman"/>
      <w:sz w:val="24"/>
      <w:szCs w:val="24"/>
      <w:lang w:val="en-GB"/>
    </w:rPr>
  </w:style>
  <w:style w:type="paragraph" w:customStyle="1" w:styleId="Default">
    <w:name w:val="Default"/>
    <w:rsid w:val="00FB7EC5"/>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849"/>
    <w:pPr>
      <w:spacing w:after="200" w:line="276" w:lineRule="auto"/>
    </w:pPr>
    <w:rPr>
      <w:rFonts w:ascii="Calibri" w:eastAsia="Calibri" w:hAnsi="Calibri"/>
      <w:sz w:val="22"/>
      <w:szCs w:val="22"/>
      <w:lang w:val="fr-BE" w:eastAsia="en-US"/>
    </w:rPr>
  </w:style>
  <w:style w:type="paragraph" w:styleId="Heading1">
    <w:name w:val="heading 1"/>
    <w:basedOn w:val="Normal"/>
    <w:next w:val="Normal"/>
    <w:qFormat/>
    <w:rsid w:val="00A6500E"/>
    <w:pPr>
      <w:keepNext/>
      <w:numPr>
        <w:numId w:val="13"/>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A6500E"/>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rsid w:val="00A6500E"/>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rsid w:val="00A6500E"/>
    <w:pPr>
      <w:keepNext/>
      <w:numPr>
        <w:ilvl w:val="3"/>
        <w:numId w:val="13"/>
      </w:numPr>
      <w:spacing w:before="240" w:after="60"/>
      <w:outlineLvl w:val="3"/>
    </w:pPr>
    <w:rPr>
      <w:b/>
      <w:bCs/>
      <w:sz w:val="28"/>
      <w:szCs w:val="28"/>
    </w:rPr>
  </w:style>
  <w:style w:type="paragraph" w:styleId="Heading5">
    <w:name w:val="heading 5"/>
    <w:basedOn w:val="Normal"/>
    <w:next w:val="Normal"/>
    <w:qFormat/>
    <w:rsid w:val="00A6500E"/>
    <w:pPr>
      <w:numPr>
        <w:ilvl w:val="4"/>
        <w:numId w:val="13"/>
      </w:numPr>
      <w:spacing w:before="240" w:after="60"/>
      <w:outlineLvl w:val="4"/>
    </w:pPr>
    <w:rPr>
      <w:b/>
      <w:bCs/>
      <w:i/>
      <w:iCs/>
      <w:sz w:val="26"/>
      <w:szCs w:val="26"/>
    </w:rPr>
  </w:style>
  <w:style w:type="paragraph" w:styleId="Heading6">
    <w:name w:val="heading 6"/>
    <w:basedOn w:val="Normal"/>
    <w:next w:val="Normal"/>
    <w:qFormat/>
    <w:rsid w:val="00A6500E"/>
    <w:pPr>
      <w:numPr>
        <w:ilvl w:val="5"/>
        <w:numId w:val="13"/>
      </w:numPr>
      <w:spacing w:before="240" w:after="60"/>
      <w:outlineLvl w:val="5"/>
    </w:pPr>
    <w:rPr>
      <w:b/>
      <w:bCs/>
    </w:rPr>
  </w:style>
  <w:style w:type="paragraph" w:styleId="Heading7">
    <w:name w:val="heading 7"/>
    <w:basedOn w:val="Normal"/>
    <w:next w:val="Normal"/>
    <w:qFormat/>
    <w:rsid w:val="00A6500E"/>
    <w:pPr>
      <w:numPr>
        <w:ilvl w:val="6"/>
        <w:numId w:val="13"/>
      </w:numPr>
      <w:spacing w:before="240" w:after="60"/>
      <w:outlineLvl w:val="6"/>
    </w:pPr>
  </w:style>
  <w:style w:type="paragraph" w:styleId="Heading8">
    <w:name w:val="heading 8"/>
    <w:basedOn w:val="Normal"/>
    <w:next w:val="Normal"/>
    <w:qFormat/>
    <w:rsid w:val="00A6500E"/>
    <w:pPr>
      <w:numPr>
        <w:ilvl w:val="7"/>
        <w:numId w:val="13"/>
      </w:numPr>
      <w:spacing w:before="240" w:after="60"/>
      <w:outlineLvl w:val="7"/>
    </w:pPr>
    <w:rPr>
      <w:i/>
      <w:iCs/>
    </w:rPr>
  </w:style>
  <w:style w:type="paragraph" w:styleId="Heading9">
    <w:name w:val="heading 9"/>
    <w:basedOn w:val="Normal"/>
    <w:next w:val="Normal"/>
    <w:qFormat/>
    <w:rsid w:val="00A6500E"/>
    <w:pPr>
      <w:numPr>
        <w:ilvl w:val="8"/>
        <w:numId w:val="13"/>
      </w:numPr>
      <w:spacing w:before="240" w:after="60"/>
      <w:outlineLvl w:val="8"/>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A6500E"/>
    <w:pPr>
      <w:numPr>
        <w:numId w:val="11"/>
      </w:numPr>
    </w:pPr>
  </w:style>
  <w:style w:type="numbering" w:styleId="1ai">
    <w:name w:val="Outline List 1"/>
    <w:basedOn w:val="NoList"/>
    <w:semiHidden/>
    <w:rsid w:val="00A6500E"/>
    <w:pPr>
      <w:numPr>
        <w:numId w:val="12"/>
      </w:numPr>
    </w:pPr>
  </w:style>
  <w:style w:type="numbering" w:styleId="ArticleSection">
    <w:name w:val="Outline List 3"/>
    <w:basedOn w:val="NoList"/>
    <w:semiHidden/>
    <w:rsid w:val="00A6500E"/>
    <w:pPr>
      <w:numPr>
        <w:numId w:val="13"/>
      </w:numPr>
    </w:pPr>
  </w:style>
  <w:style w:type="paragraph" w:styleId="BlockText">
    <w:name w:val="Block Text"/>
    <w:basedOn w:val="Normal"/>
    <w:rsid w:val="00A6500E"/>
    <w:pPr>
      <w:spacing w:after="120"/>
      <w:ind w:left="1440" w:right="1440"/>
    </w:pPr>
  </w:style>
  <w:style w:type="paragraph" w:styleId="BodyText">
    <w:name w:val="Body Text"/>
    <w:basedOn w:val="Normal"/>
    <w:rsid w:val="00A6500E"/>
    <w:pPr>
      <w:spacing w:after="120"/>
    </w:pPr>
  </w:style>
  <w:style w:type="paragraph" w:styleId="BodyText2">
    <w:name w:val="Body Text 2"/>
    <w:basedOn w:val="Normal"/>
    <w:rsid w:val="00A6500E"/>
    <w:pPr>
      <w:spacing w:after="120" w:line="480" w:lineRule="auto"/>
    </w:pPr>
  </w:style>
  <w:style w:type="paragraph" w:styleId="BodyText3">
    <w:name w:val="Body Text 3"/>
    <w:basedOn w:val="Normal"/>
    <w:rsid w:val="00A6500E"/>
    <w:pPr>
      <w:spacing w:after="120"/>
    </w:pPr>
    <w:rPr>
      <w:sz w:val="16"/>
      <w:szCs w:val="16"/>
    </w:rPr>
  </w:style>
  <w:style w:type="paragraph" w:styleId="BodyTextFirstIndent">
    <w:name w:val="Body Text First Indent"/>
    <w:basedOn w:val="BodyText"/>
    <w:rsid w:val="00A6500E"/>
    <w:pPr>
      <w:ind w:firstLine="210"/>
    </w:pPr>
  </w:style>
  <w:style w:type="paragraph" w:styleId="BodyTextIndent">
    <w:name w:val="Body Text Indent"/>
    <w:basedOn w:val="Normal"/>
    <w:rsid w:val="00A6500E"/>
    <w:pPr>
      <w:spacing w:after="120"/>
      <w:ind w:left="283"/>
    </w:pPr>
  </w:style>
  <w:style w:type="paragraph" w:styleId="BodyTextFirstIndent2">
    <w:name w:val="Body Text First Indent 2"/>
    <w:basedOn w:val="BodyTextIndent"/>
    <w:rsid w:val="00A6500E"/>
    <w:pPr>
      <w:ind w:firstLine="210"/>
    </w:pPr>
  </w:style>
  <w:style w:type="paragraph" w:styleId="BodyTextIndent2">
    <w:name w:val="Body Text Indent 2"/>
    <w:basedOn w:val="Normal"/>
    <w:rsid w:val="00A6500E"/>
    <w:pPr>
      <w:spacing w:after="120" w:line="480" w:lineRule="auto"/>
      <w:ind w:left="283"/>
    </w:pPr>
  </w:style>
  <w:style w:type="paragraph" w:styleId="BodyTextIndent3">
    <w:name w:val="Body Text Indent 3"/>
    <w:basedOn w:val="Normal"/>
    <w:rsid w:val="00A6500E"/>
    <w:pPr>
      <w:spacing w:after="120"/>
      <w:ind w:left="283"/>
    </w:pPr>
    <w:rPr>
      <w:sz w:val="16"/>
      <w:szCs w:val="16"/>
    </w:rPr>
  </w:style>
  <w:style w:type="paragraph" w:styleId="Closing">
    <w:name w:val="Closing"/>
    <w:basedOn w:val="Normal"/>
    <w:semiHidden/>
    <w:rsid w:val="00A6500E"/>
    <w:pPr>
      <w:ind w:left="4252"/>
    </w:pPr>
  </w:style>
  <w:style w:type="character" w:styleId="FollowedHyperlink">
    <w:name w:val="FollowedHyperlink"/>
    <w:semiHidden/>
    <w:rsid w:val="00A6500E"/>
    <w:rPr>
      <w:color w:val="800080"/>
      <w:u w:val="single"/>
    </w:rPr>
  </w:style>
  <w:style w:type="paragraph" w:styleId="Footer">
    <w:name w:val="footer"/>
    <w:basedOn w:val="Normal"/>
    <w:link w:val="FooterChar"/>
    <w:uiPriority w:val="99"/>
    <w:rsid w:val="00A6500E"/>
    <w:pPr>
      <w:tabs>
        <w:tab w:val="center" w:pos="4320"/>
        <w:tab w:val="right" w:pos="8640"/>
      </w:tabs>
    </w:pPr>
  </w:style>
  <w:style w:type="paragraph" w:styleId="Header">
    <w:name w:val="header"/>
    <w:basedOn w:val="Normal"/>
    <w:rsid w:val="00A6500E"/>
    <w:pPr>
      <w:tabs>
        <w:tab w:val="center" w:pos="4320"/>
        <w:tab w:val="right" w:pos="8640"/>
      </w:tabs>
    </w:pPr>
  </w:style>
  <w:style w:type="character" w:styleId="HTMLAcronym">
    <w:name w:val="HTML Acronym"/>
    <w:basedOn w:val="DefaultParagraphFont"/>
    <w:semiHidden/>
    <w:rsid w:val="00A6500E"/>
  </w:style>
  <w:style w:type="paragraph" w:styleId="HTMLAddress">
    <w:name w:val="HTML Address"/>
    <w:basedOn w:val="Normal"/>
    <w:semiHidden/>
    <w:rsid w:val="00A6500E"/>
    <w:rPr>
      <w:i/>
      <w:iCs/>
    </w:rPr>
  </w:style>
  <w:style w:type="character" w:styleId="HTMLCite">
    <w:name w:val="HTML Cite"/>
    <w:semiHidden/>
    <w:rsid w:val="00A6500E"/>
    <w:rPr>
      <w:i/>
      <w:iCs/>
    </w:rPr>
  </w:style>
  <w:style w:type="character" w:styleId="HTMLCode">
    <w:name w:val="HTML Code"/>
    <w:semiHidden/>
    <w:rsid w:val="00A6500E"/>
    <w:rPr>
      <w:rFonts w:ascii="Courier New" w:hAnsi="Courier New" w:cs="Courier New"/>
      <w:sz w:val="20"/>
      <w:szCs w:val="20"/>
    </w:rPr>
  </w:style>
  <w:style w:type="character" w:styleId="HTMLDefinition">
    <w:name w:val="HTML Definition"/>
    <w:semiHidden/>
    <w:rsid w:val="00A6500E"/>
    <w:rPr>
      <w:i/>
      <w:iCs/>
    </w:rPr>
  </w:style>
  <w:style w:type="character" w:styleId="HTMLKeyboard">
    <w:name w:val="HTML Keyboard"/>
    <w:semiHidden/>
    <w:rsid w:val="00A6500E"/>
    <w:rPr>
      <w:rFonts w:ascii="Courier New" w:hAnsi="Courier New" w:cs="Courier New"/>
      <w:sz w:val="20"/>
      <w:szCs w:val="20"/>
    </w:rPr>
  </w:style>
  <w:style w:type="paragraph" w:styleId="HTMLPreformatted">
    <w:name w:val="HTML Preformatted"/>
    <w:basedOn w:val="Normal"/>
    <w:semiHidden/>
    <w:rsid w:val="00A6500E"/>
    <w:rPr>
      <w:rFonts w:ascii="Courier New" w:hAnsi="Courier New" w:cs="Courier New"/>
      <w:sz w:val="20"/>
      <w:szCs w:val="20"/>
    </w:rPr>
  </w:style>
  <w:style w:type="character" w:styleId="HTMLSample">
    <w:name w:val="HTML Sample"/>
    <w:semiHidden/>
    <w:rsid w:val="00A6500E"/>
    <w:rPr>
      <w:rFonts w:ascii="Courier New" w:hAnsi="Courier New" w:cs="Courier New"/>
    </w:rPr>
  </w:style>
  <w:style w:type="character" w:styleId="HTMLTypewriter">
    <w:name w:val="HTML Typewriter"/>
    <w:semiHidden/>
    <w:rsid w:val="00A6500E"/>
    <w:rPr>
      <w:rFonts w:ascii="Courier New" w:hAnsi="Courier New" w:cs="Courier New"/>
      <w:sz w:val="20"/>
      <w:szCs w:val="20"/>
    </w:rPr>
  </w:style>
  <w:style w:type="character" w:styleId="HTMLVariable">
    <w:name w:val="HTML Variable"/>
    <w:semiHidden/>
    <w:rsid w:val="00A6500E"/>
    <w:rPr>
      <w:i/>
      <w:iCs/>
    </w:rPr>
  </w:style>
  <w:style w:type="character" w:styleId="Hyperlink">
    <w:name w:val="Hyperlink"/>
    <w:semiHidden/>
    <w:rsid w:val="00A6500E"/>
    <w:rPr>
      <w:color w:val="0000FF"/>
      <w:u w:val="single"/>
    </w:rPr>
  </w:style>
  <w:style w:type="character" w:styleId="LineNumber">
    <w:name w:val="line number"/>
    <w:basedOn w:val="DefaultParagraphFont"/>
    <w:semiHidden/>
    <w:rsid w:val="00A6500E"/>
  </w:style>
  <w:style w:type="paragraph" w:styleId="List">
    <w:name w:val="List"/>
    <w:basedOn w:val="Normal"/>
    <w:rsid w:val="00A6500E"/>
    <w:pPr>
      <w:ind w:left="283" w:hanging="283"/>
    </w:pPr>
  </w:style>
  <w:style w:type="paragraph" w:styleId="List2">
    <w:name w:val="List 2"/>
    <w:basedOn w:val="Normal"/>
    <w:rsid w:val="00A6500E"/>
    <w:pPr>
      <w:ind w:left="566" w:hanging="283"/>
    </w:pPr>
  </w:style>
  <w:style w:type="paragraph" w:styleId="List3">
    <w:name w:val="List 3"/>
    <w:basedOn w:val="Normal"/>
    <w:rsid w:val="00A6500E"/>
    <w:pPr>
      <w:ind w:left="849" w:hanging="283"/>
    </w:pPr>
  </w:style>
  <w:style w:type="paragraph" w:styleId="List4">
    <w:name w:val="List 4"/>
    <w:basedOn w:val="Normal"/>
    <w:semiHidden/>
    <w:rsid w:val="00A6500E"/>
    <w:pPr>
      <w:ind w:left="1132" w:hanging="283"/>
    </w:pPr>
  </w:style>
  <w:style w:type="paragraph" w:styleId="List5">
    <w:name w:val="List 5"/>
    <w:basedOn w:val="Normal"/>
    <w:semiHidden/>
    <w:rsid w:val="00A6500E"/>
    <w:pPr>
      <w:ind w:left="1415" w:hanging="283"/>
    </w:pPr>
  </w:style>
  <w:style w:type="paragraph" w:styleId="ListBullet">
    <w:name w:val="List Bullet"/>
    <w:basedOn w:val="Normal"/>
    <w:autoRedefine/>
    <w:rsid w:val="00A6500E"/>
    <w:pPr>
      <w:numPr>
        <w:numId w:val="1"/>
      </w:numPr>
    </w:pPr>
  </w:style>
  <w:style w:type="paragraph" w:styleId="ListBullet2">
    <w:name w:val="List Bullet 2"/>
    <w:basedOn w:val="Normal"/>
    <w:autoRedefine/>
    <w:rsid w:val="00A6500E"/>
    <w:pPr>
      <w:numPr>
        <w:numId w:val="2"/>
      </w:numPr>
    </w:pPr>
  </w:style>
  <w:style w:type="paragraph" w:styleId="ListBullet3">
    <w:name w:val="List Bullet 3"/>
    <w:basedOn w:val="Normal"/>
    <w:autoRedefine/>
    <w:rsid w:val="00A6500E"/>
    <w:pPr>
      <w:numPr>
        <w:numId w:val="3"/>
      </w:numPr>
    </w:pPr>
  </w:style>
  <w:style w:type="paragraph" w:styleId="ListBullet4">
    <w:name w:val="List Bullet 4"/>
    <w:basedOn w:val="Normal"/>
    <w:autoRedefine/>
    <w:semiHidden/>
    <w:rsid w:val="00A6500E"/>
    <w:pPr>
      <w:numPr>
        <w:numId w:val="4"/>
      </w:numPr>
    </w:pPr>
  </w:style>
  <w:style w:type="paragraph" w:styleId="ListBullet5">
    <w:name w:val="List Bullet 5"/>
    <w:basedOn w:val="Normal"/>
    <w:autoRedefine/>
    <w:semiHidden/>
    <w:rsid w:val="00A6500E"/>
    <w:pPr>
      <w:numPr>
        <w:numId w:val="5"/>
      </w:numPr>
    </w:pPr>
  </w:style>
  <w:style w:type="paragraph" w:styleId="ListContinue">
    <w:name w:val="List Continue"/>
    <w:basedOn w:val="Normal"/>
    <w:semiHidden/>
    <w:rsid w:val="00A6500E"/>
    <w:pPr>
      <w:spacing w:after="120"/>
      <w:ind w:left="283"/>
    </w:pPr>
  </w:style>
  <w:style w:type="paragraph" w:styleId="ListContinue2">
    <w:name w:val="List Continue 2"/>
    <w:basedOn w:val="Normal"/>
    <w:semiHidden/>
    <w:rsid w:val="00A6500E"/>
    <w:pPr>
      <w:spacing w:after="120"/>
      <w:ind w:left="566"/>
    </w:pPr>
  </w:style>
  <w:style w:type="paragraph" w:styleId="ListContinue3">
    <w:name w:val="List Continue 3"/>
    <w:basedOn w:val="Normal"/>
    <w:semiHidden/>
    <w:rsid w:val="00A6500E"/>
    <w:pPr>
      <w:spacing w:after="120"/>
      <w:ind w:left="849"/>
    </w:pPr>
  </w:style>
  <w:style w:type="paragraph" w:styleId="ListContinue4">
    <w:name w:val="List Continue 4"/>
    <w:basedOn w:val="Normal"/>
    <w:semiHidden/>
    <w:rsid w:val="00A6500E"/>
    <w:pPr>
      <w:spacing w:after="120"/>
      <w:ind w:left="1132"/>
    </w:pPr>
  </w:style>
  <w:style w:type="paragraph" w:styleId="ListContinue5">
    <w:name w:val="List Continue 5"/>
    <w:basedOn w:val="Normal"/>
    <w:semiHidden/>
    <w:rsid w:val="00A6500E"/>
    <w:pPr>
      <w:spacing w:after="120"/>
      <w:ind w:left="1415"/>
    </w:pPr>
  </w:style>
  <w:style w:type="paragraph" w:styleId="ListNumber">
    <w:name w:val="List Number"/>
    <w:basedOn w:val="Normal"/>
    <w:rsid w:val="00A6500E"/>
    <w:pPr>
      <w:numPr>
        <w:numId w:val="6"/>
      </w:numPr>
    </w:pPr>
  </w:style>
  <w:style w:type="paragraph" w:styleId="ListNumber2">
    <w:name w:val="List Number 2"/>
    <w:basedOn w:val="Normal"/>
    <w:rsid w:val="00A6500E"/>
    <w:pPr>
      <w:numPr>
        <w:numId w:val="7"/>
      </w:numPr>
    </w:pPr>
  </w:style>
  <w:style w:type="paragraph" w:styleId="ListNumber3">
    <w:name w:val="List Number 3"/>
    <w:basedOn w:val="Normal"/>
    <w:semiHidden/>
    <w:rsid w:val="00A6500E"/>
    <w:pPr>
      <w:numPr>
        <w:numId w:val="8"/>
      </w:numPr>
    </w:pPr>
  </w:style>
  <w:style w:type="paragraph" w:styleId="ListNumber4">
    <w:name w:val="List Number 4"/>
    <w:basedOn w:val="Normal"/>
    <w:semiHidden/>
    <w:rsid w:val="00A6500E"/>
    <w:pPr>
      <w:numPr>
        <w:numId w:val="9"/>
      </w:numPr>
    </w:pPr>
  </w:style>
  <w:style w:type="paragraph" w:styleId="ListNumber5">
    <w:name w:val="List Number 5"/>
    <w:basedOn w:val="Normal"/>
    <w:semiHidden/>
    <w:rsid w:val="00A6500E"/>
    <w:pPr>
      <w:numPr>
        <w:numId w:val="10"/>
      </w:numPr>
    </w:pPr>
  </w:style>
  <w:style w:type="paragraph" w:styleId="MessageHeader">
    <w:name w:val="Message Header"/>
    <w:basedOn w:val="Normal"/>
    <w:rsid w:val="00A650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A6500E"/>
  </w:style>
  <w:style w:type="paragraph" w:styleId="NormalIndent">
    <w:name w:val="Normal Indent"/>
    <w:basedOn w:val="Normal"/>
    <w:semiHidden/>
    <w:rsid w:val="00A6500E"/>
    <w:pPr>
      <w:ind w:left="720"/>
    </w:pPr>
  </w:style>
  <w:style w:type="paragraph" w:styleId="NoteHeading">
    <w:name w:val="Note Heading"/>
    <w:basedOn w:val="Normal"/>
    <w:next w:val="Normal"/>
    <w:semiHidden/>
    <w:rsid w:val="00A6500E"/>
  </w:style>
  <w:style w:type="character" w:styleId="PageNumber">
    <w:name w:val="page number"/>
    <w:basedOn w:val="DefaultParagraphFont"/>
    <w:rsid w:val="00A6500E"/>
  </w:style>
  <w:style w:type="paragraph" w:styleId="PlainText">
    <w:name w:val="Plain Text"/>
    <w:basedOn w:val="Normal"/>
    <w:rsid w:val="00A6500E"/>
    <w:rPr>
      <w:rFonts w:ascii="Courier New" w:hAnsi="Courier New" w:cs="Courier New"/>
      <w:sz w:val="20"/>
      <w:szCs w:val="20"/>
    </w:rPr>
  </w:style>
  <w:style w:type="paragraph" w:styleId="Salutation">
    <w:name w:val="Salutation"/>
    <w:basedOn w:val="Normal"/>
    <w:next w:val="Normal"/>
    <w:rsid w:val="00A6500E"/>
  </w:style>
  <w:style w:type="paragraph" w:styleId="Signature">
    <w:name w:val="Signature"/>
    <w:basedOn w:val="Normal"/>
    <w:semiHidden/>
    <w:rsid w:val="00A6500E"/>
    <w:pPr>
      <w:ind w:left="4252"/>
    </w:pPr>
  </w:style>
  <w:style w:type="character" w:styleId="Strong">
    <w:name w:val="Strong"/>
    <w:qFormat/>
    <w:rsid w:val="00A6500E"/>
    <w:rPr>
      <w:b/>
      <w:bCs/>
    </w:rPr>
  </w:style>
  <w:style w:type="paragraph" w:styleId="Subtitle">
    <w:name w:val="Subtitle"/>
    <w:basedOn w:val="Normal"/>
    <w:qFormat/>
    <w:rsid w:val="00A6500E"/>
    <w:pPr>
      <w:spacing w:after="60"/>
      <w:jc w:val="center"/>
      <w:outlineLvl w:val="1"/>
    </w:pPr>
    <w:rPr>
      <w:rFonts w:ascii="Arial" w:hAnsi="Arial" w:cs="Arial"/>
    </w:rPr>
  </w:style>
  <w:style w:type="table" w:styleId="Table3Deffects1">
    <w:name w:val="Table 3D effects 1"/>
    <w:basedOn w:val="TableNormal"/>
    <w:semiHidden/>
    <w:rsid w:val="00A6500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6500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6500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6500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6500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6500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6500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6500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6500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6500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6500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6500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6500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6500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6500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6500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6500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A65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A650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6500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6500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6500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6500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6500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6500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6500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6500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6500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6500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6500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6500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6500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6500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6500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650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6500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6500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6500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6500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6500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65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6500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6500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6500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A6500E"/>
    <w:pPr>
      <w:spacing w:before="240" w:after="60"/>
      <w:jc w:val="center"/>
      <w:outlineLvl w:val="0"/>
    </w:pPr>
    <w:rPr>
      <w:rFonts w:ascii="Arial" w:hAnsi="Arial" w:cs="Arial"/>
      <w:b/>
      <w:bCs/>
      <w:kern w:val="28"/>
      <w:sz w:val="32"/>
      <w:szCs w:val="32"/>
    </w:rPr>
  </w:style>
  <w:style w:type="paragraph" w:styleId="Date">
    <w:name w:val="Date"/>
    <w:basedOn w:val="Normal"/>
    <w:next w:val="Normal"/>
    <w:rsid w:val="00A6500E"/>
  </w:style>
  <w:style w:type="paragraph" w:styleId="E-mailSignature">
    <w:name w:val="E-mail Signature"/>
    <w:basedOn w:val="Normal"/>
    <w:rsid w:val="00A6500E"/>
  </w:style>
  <w:style w:type="character" w:styleId="Emphasis">
    <w:name w:val="Emphasis"/>
    <w:qFormat/>
    <w:rsid w:val="00A6500E"/>
    <w:rPr>
      <w:i/>
      <w:iCs/>
    </w:rPr>
  </w:style>
  <w:style w:type="paragraph" w:styleId="EnvelopeAddress">
    <w:name w:val="envelope address"/>
    <w:basedOn w:val="Normal"/>
    <w:rsid w:val="00A6500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6500E"/>
    <w:rPr>
      <w:rFonts w:ascii="Arial" w:hAnsi="Arial" w:cs="Arial"/>
      <w:sz w:val="20"/>
      <w:szCs w:val="20"/>
    </w:rPr>
  </w:style>
  <w:style w:type="paragraph" w:styleId="BalloonText">
    <w:name w:val="Balloon Text"/>
    <w:basedOn w:val="Normal"/>
    <w:link w:val="BalloonTextChar"/>
    <w:uiPriority w:val="99"/>
    <w:semiHidden/>
    <w:unhideWhenUsed/>
    <w:rsid w:val="00080E61"/>
    <w:rPr>
      <w:rFonts w:ascii="Tahoma" w:hAnsi="Tahoma" w:cs="Tahoma"/>
      <w:sz w:val="16"/>
      <w:szCs w:val="16"/>
    </w:rPr>
  </w:style>
  <w:style w:type="character" w:customStyle="1" w:styleId="BalloonTextChar">
    <w:name w:val="Balloon Text Char"/>
    <w:link w:val="BalloonText"/>
    <w:uiPriority w:val="99"/>
    <w:semiHidden/>
    <w:rsid w:val="00080E61"/>
    <w:rPr>
      <w:rFonts w:ascii="Tahoma" w:hAnsi="Tahoma" w:cs="Tahoma"/>
      <w:sz w:val="16"/>
      <w:szCs w:val="16"/>
      <w:lang w:val="en-US" w:eastAsia="en-US"/>
    </w:rPr>
  </w:style>
  <w:style w:type="paragraph" w:styleId="FootnoteText">
    <w:name w:val="footnote text"/>
    <w:basedOn w:val="Normal"/>
    <w:link w:val="FootnoteTextChar"/>
    <w:uiPriority w:val="99"/>
    <w:unhideWhenUsed/>
    <w:rsid w:val="00F774F4"/>
    <w:rPr>
      <w:sz w:val="20"/>
      <w:szCs w:val="20"/>
    </w:rPr>
  </w:style>
  <w:style w:type="character" w:customStyle="1" w:styleId="FootnoteTextChar">
    <w:name w:val="Footnote Text Char"/>
    <w:link w:val="FootnoteText"/>
    <w:uiPriority w:val="99"/>
    <w:rsid w:val="00F774F4"/>
    <w:rPr>
      <w:rFonts w:ascii="Calibri" w:eastAsia="Calibri" w:hAnsi="Calibri"/>
      <w:lang w:val="fr-BE" w:eastAsia="en-US"/>
    </w:rPr>
  </w:style>
  <w:style w:type="character" w:styleId="FootnoteReference">
    <w:name w:val="footnote reference"/>
    <w:uiPriority w:val="99"/>
    <w:semiHidden/>
    <w:unhideWhenUsed/>
    <w:rsid w:val="00F774F4"/>
    <w:rPr>
      <w:vertAlign w:val="superscript"/>
    </w:rPr>
  </w:style>
  <w:style w:type="character" w:customStyle="1" w:styleId="FooterChar">
    <w:name w:val="Footer Char"/>
    <w:link w:val="Footer"/>
    <w:uiPriority w:val="99"/>
    <w:rsid w:val="00AE313F"/>
    <w:rPr>
      <w:rFonts w:ascii="Calibri" w:eastAsia="Calibri" w:hAnsi="Calibri"/>
      <w:sz w:val="22"/>
      <w:szCs w:val="22"/>
      <w:lang w:val="fr-BE" w:eastAsia="en-US"/>
    </w:rPr>
  </w:style>
  <w:style w:type="paragraph" w:customStyle="1" w:styleId="TechnicalBlock">
    <w:name w:val="Technical Block"/>
    <w:basedOn w:val="Normal"/>
    <w:link w:val="TechnicalBlockChar"/>
    <w:rsid w:val="00773DF5"/>
    <w:pPr>
      <w:spacing w:after="240"/>
      <w:jc w:val="center"/>
    </w:pPr>
    <w:rPr>
      <w:rFonts w:ascii="Times New Roman" w:hAnsi="Times New Roman"/>
      <w:i/>
      <w:sz w:val="24"/>
      <w:szCs w:val="24"/>
    </w:rPr>
  </w:style>
  <w:style w:type="character" w:customStyle="1" w:styleId="TechnicalBlockChar">
    <w:name w:val="Technical Block Char"/>
    <w:basedOn w:val="DefaultParagraphFont"/>
    <w:link w:val="TechnicalBlock"/>
    <w:rsid w:val="00773DF5"/>
    <w:rPr>
      <w:rFonts w:eastAsia="Calibri"/>
      <w:i/>
      <w:sz w:val="24"/>
      <w:szCs w:val="24"/>
      <w:lang w:val="fr-BE" w:eastAsia="en-US"/>
    </w:rPr>
  </w:style>
  <w:style w:type="paragraph" w:customStyle="1" w:styleId="EntText">
    <w:name w:val="EntText"/>
    <w:basedOn w:val="Normal"/>
    <w:rsid w:val="00773DF5"/>
    <w:pPr>
      <w:spacing w:before="120" w:after="120" w:line="360" w:lineRule="auto"/>
    </w:pPr>
    <w:rPr>
      <w:rFonts w:ascii="Times New Roman" w:eastAsia="Times New Roman" w:hAnsi="Times New Roman"/>
      <w:sz w:val="24"/>
      <w:szCs w:val="24"/>
    </w:rPr>
  </w:style>
  <w:style w:type="paragraph" w:customStyle="1" w:styleId="Lignefinal">
    <w:name w:val="Ligne final"/>
    <w:basedOn w:val="Normal"/>
    <w:next w:val="Normal"/>
    <w:rsid w:val="00773DF5"/>
    <w:pPr>
      <w:pBdr>
        <w:bottom w:val="single" w:sz="4" w:space="0" w:color="000000"/>
      </w:pBdr>
      <w:spacing w:before="360" w:after="120" w:line="360" w:lineRule="auto"/>
      <w:ind w:left="3400" w:right="3400"/>
      <w:jc w:val="center"/>
    </w:pPr>
    <w:rPr>
      <w:rFonts w:ascii="Times New Roman" w:eastAsia="Times New Roman" w:hAnsi="Times New Roman"/>
      <w:b/>
      <w:sz w:val="24"/>
      <w:szCs w:val="24"/>
    </w:rPr>
  </w:style>
  <w:style w:type="character" w:customStyle="1" w:styleId="Marker">
    <w:name w:val="Marker"/>
    <w:basedOn w:val="DefaultParagraphFont"/>
    <w:rsid w:val="00773DF5"/>
    <w:rPr>
      <w:color w:val="0000FF"/>
      <w:shd w:val="clear" w:color="auto" w:fill="auto"/>
    </w:rPr>
  </w:style>
  <w:style w:type="paragraph" w:customStyle="1" w:styleId="pj">
    <w:name w:val="p.j."/>
    <w:basedOn w:val="Normal"/>
    <w:link w:val="pjChar"/>
    <w:rsid w:val="00773DF5"/>
    <w:pPr>
      <w:spacing w:before="1200" w:after="120" w:line="240" w:lineRule="auto"/>
      <w:ind w:left="1440" w:hanging="1440"/>
    </w:pPr>
    <w:rPr>
      <w:rFonts w:ascii="Times New Roman" w:hAnsi="Times New Roman"/>
      <w:sz w:val="24"/>
    </w:rPr>
  </w:style>
  <w:style w:type="character" w:customStyle="1" w:styleId="pjChar">
    <w:name w:val="p.j. Char"/>
    <w:basedOn w:val="DefaultParagraphFont"/>
    <w:link w:val="pj"/>
    <w:rsid w:val="00773DF5"/>
    <w:rPr>
      <w:rFonts w:eastAsia="Calibri"/>
      <w:sz w:val="24"/>
      <w:szCs w:val="22"/>
      <w:lang w:val="fr-BE" w:eastAsia="en-US"/>
    </w:rPr>
  </w:style>
  <w:style w:type="paragraph" w:customStyle="1" w:styleId="HeaderCouncil">
    <w:name w:val="Header Council"/>
    <w:basedOn w:val="Normal"/>
    <w:link w:val="HeaderCouncilChar"/>
    <w:rsid w:val="00773DF5"/>
    <w:pPr>
      <w:spacing w:after="0"/>
    </w:pPr>
    <w:rPr>
      <w:sz w:val="2"/>
    </w:rPr>
  </w:style>
  <w:style w:type="character" w:customStyle="1" w:styleId="HeaderCouncilChar">
    <w:name w:val="Header Council Char"/>
    <w:basedOn w:val="pjChar"/>
    <w:link w:val="HeaderCouncil"/>
    <w:rsid w:val="00773DF5"/>
    <w:rPr>
      <w:rFonts w:ascii="Calibri" w:eastAsia="Calibri" w:hAnsi="Calibri"/>
      <w:sz w:val="2"/>
      <w:szCs w:val="22"/>
      <w:lang w:val="fr-BE" w:eastAsia="en-US"/>
    </w:rPr>
  </w:style>
  <w:style w:type="paragraph" w:customStyle="1" w:styleId="HeaderCouncilLarge">
    <w:name w:val="Header Council Large"/>
    <w:basedOn w:val="Normal"/>
    <w:link w:val="HeaderCouncilLargeChar"/>
    <w:rsid w:val="00773DF5"/>
    <w:pPr>
      <w:spacing w:after="440"/>
    </w:pPr>
    <w:rPr>
      <w:sz w:val="2"/>
    </w:rPr>
  </w:style>
  <w:style w:type="character" w:customStyle="1" w:styleId="HeaderCouncilLargeChar">
    <w:name w:val="Header Council Large Char"/>
    <w:basedOn w:val="pjChar"/>
    <w:link w:val="HeaderCouncilLarge"/>
    <w:rsid w:val="00773DF5"/>
    <w:rPr>
      <w:rFonts w:ascii="Calibri" w:eastAsia="Calibri" w:hAnsi="Calibri"/>
      <w:sz w:val="2"/>
      <w:szCs w:val="22"/>
      <w:lang w:val="fr-BE" w:eastAsia="en-US"/>
    </w:rPr>
  </w:style>
  <w:style w:type="paragraph" w:customStyle="1" w:styleId="FooterCouncil">
    <w:name w:val="Footer Council"/>
    <w:basedOn w:val="Normal"/>
    <w:link w:val="FooterCouncilChar"/>
    <w:rsid w:val="00773DF5"/>
    <w:pPr>
      <w:spacing w:after="0"/>
    </w:pPr>
    <w:rPr>
      <w:sz w:val="2"/>
    </w:rPr>
  </w:style>
  <w:style w:type="character" w:customStyle="1" w:styleId="FooterCouncilChar">
    <w:name w:val="Footer Council Char"/>
    <w:basedOn w:val="pjChar"/>
    <w:link w:val="FooterCouncil"/>
    <w:rsid w:val="00773DF5"/>
    <w:rPr>
      <w:rFonts w:ascii="Calibri" w:eastAsia="Calibri" w:hAnsi="Calibri"/>
      <w:sz w:val="2"/>
      <w:szCs w:val="22"/>
      <w:lang w:val="fr-BE" w:eastAsia="en-US"/>
    </w:rPr>
  </w:style>
  <w:style w:type="paragraph" w:customStyle="1" w:styleId="FooterText">
    <w:name w:val="Footer Text"/>
    <w:basedOn w:val="Normal"/>
    <w:rsid w:val="00773DF5"/>
    <w:pPr>
      <w:spacing w:after="0" w:line="240" w:lineRule="auto"/>
    </w:pPr>
    <w:rPr>
      <w:rFonts w:ascii="Times New Roman" w:eastAsia="Times New Roman" w:hAnsi="Times New Roman"/>
      <w:sz w:val="24"/>
      <w:szCs w:val="24"/>
      <w:lang w:val="en-GB"/>
    </w:rPr>
  </w:style>
  <w:style w:type="paragraph" w:customStyle="1" w:styleId="Default">
    <w:name w:val="Default"/>
    <w:rsid w:val="00FB7EC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23433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s\Templates\XPTemplates\Curia\Memo_ty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4C8E8-24C8-409E-9D38-20B32D29E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Memo_type.dot</Template>
  <TotalTime>10</TotalTime>
  <Pages>8</Pages>
  <Words>1907</Words>
  <Characters>10874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Memorandum</vt:lpstr>
    </vt:vector>
  </TitlesOfParts>
  <Company>Cour de justice</Company>
  <LinksUpToDate>false</LinksUpToDate>
  <CharactersWithSpaces>12756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apa</dc:creator>
  <cp:keywords/>
  <cp:lastModifiedBy>KREPELKOVA Jaroslava</cp:lastModifiedBy>
  <cp:revision>9</cp:revision>
  <cp:lastPrinted>2015-11-25T10:23:00Z</cp:lastPrinted>
  <dcterms:created xsi:type="dcterms:W3CDTF">2015-11-25T09:19:00Z</dcterms:created>
  <dcterms:modified xsi:type="dcterms:W3CDTF">2015-11-25T10:23:00Z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DocuWrite 3.6.7, Build 20150916</vt:lpwstr>
  </property>
  <property fmtid="{D5CDD505-2E9C-101B-9397-08002B2CF9AE}" pid="3" name="Last edited using">
    <vt:lpwstr>DocuWrite 3.6.7, Build 20150916</vt:lpwstr>
  </property>
</Properties>
</file>