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38" w:rsidRPr="00D17005" w:rsidRDefault="00BF2B65" w:rsidP="00D1700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8c3e2c0-01b4-46a9-9915-d3b5c393f458_0" style="width:568.5pt;height:299.25pt">
            <v:imagedata r:id="rId8" o:title=""/>
          </v:shape>
        </w:pict>
      </w:r>
      <w:bookmarkEnd w:id="0"/>
    </w:p>
    <w:p w:rsidR="00764CA1" w:rsidRPr="006E6109" w:rsidRDefault="00764CA1" w:rsidP="00F35EDB">
      <w:pPr>
        <w:pStyle w:val="HeadingCentered"/>
        <w:spacing w:before="1080" w:after="720"/>
      </w:pPr>
      <w:r w:rsidRPr="006E6109">
        <w:br w:type="page"/>
      </w:r>
      <w:r w:rsidRPr="006E6109">
        <w:lastRenderedPageBreak/>
        <w:t>ТОЧКИ ЗА ОТКРИТО ОБСЪЖДАНЕ</w:t>
      </w:r>
      <w:r w:rsidRPr="006E6109">
        <w:rPr>
          <w:rStyle w:val="FootnoteReference"/>
        </w:rPr>
        <w:footnoteReference w:id="1"/>
      </w:r>
    </w:p>
    <w:p w:rsidR="00764CA1" w:rsidRPr="006E6109" w:rsidRDefault="00764CA1" w:rsidP="00764CA1">
      <w:pPr>
        <w:pStyle w:val="NormalRight"/>
        <w:spacing w:before="0"/>
        <w:rPr>
          <w:b/>
        </w:rPr>
      </w:pPr>
      <w:r w:rsidRPr="006E6109">
        <w:rPr>
          <w:b/>
        </w:rPr>
        <w:t>Страница</w:t>
      </w:r>
    </w:p>
    <w:p w:rsidR="00764CA1" w:rsidRPr="006E6109" w:rsidRDefault="00764CA1" w:rsidP="00764CA1">
      <w:pPr>
        <w:pStyle w:val="HeadingLeft"/>
        <w:spacing w:before="120"/>
        <w:rPr>
          <w:u w:val="none"/>
        </w:rPr>
      </w:pPr>
      <w:r w:rsidRPr="006E6109">
        <w:rPr>
          <w:u w:val="none"/>
        </w:rPr>
        <w:t>ОБСЪЖДАНИЯ НА ЗАКОНОДАТЕЛНИ АКТОВЕ</w:t>
      </w:r>
    </w:p>
    <w:p w:rsidR="00764CA1" w:rsidRPr="006E6109" w:rsidRDefault="00764CA1" w:rsidP="00764CA1">
      <w:pPr>
        <w:spacing w:before="360"/>
        <w:rPr>
          <w:bCs/>
        </w:rPr>
      </w:pPr>
      <w:r w:rsidRPr="006E6109">
        <w:t>ТОЧКИ A (док. 9982/15 PTS A 50)</w:t>
      </w:r>
    </w:p>
    <w:p w:rsidR="00764CA1" w:rsidRPr="006E6109" w:rsidRDefault="00764CA1" w:rsidP="00764CA1">
      <w:pPr>
        <w:pStyle w:val="PointManual"/>
        <w:tabs>
          <w:tab w:val="left" w:leader="dot" w:pos="9639"/>
        </w:tabs>
      </w:pPr>
      <w:r w:rsidRPr="006E6109">
        <w:t>1.</w:t>
      </w:r>
      <w:r w:rsidRPr="006E6109">
        <w:tab/>
        <w:t>Проект за коригиращ бюджет № 3 към общия бюджет за 2015 г.: Въвеждане на излишъка за финансовата 2014 година</w:t>
      </w:r>
      <w:r w:rsidRPr="006E6109">
        <w:tab/>
        <w:t>3</w:t>
      </w:r>
    </w:p>
    <w:p w:rsidR="00764CA1" w:rsidRPr="006E6109" w:rsidRDefault="00764CA1" w:rsidP="00764CA1">
      <w:pPr>
        <w:pStyle w:val="PointManual"/>
        <w:tabs>
          <w:tab w:val="left" w:leader="dot" w:pos="9639"/>
        </w:tabs>
      </w:pPr>
      <w:r w:rsidRPr="006E6109">
        <w:t>2.</w:t>
      </w:r>
      <w:r w:rsidRPr="006E6109">
        <w:tab/>
        <w:t>Проект за коригиращ бюджет № 4 към общия бюджет за 2015 г., придружаващ предложението за мобилизиране на средства от фонд „Солидарност“ на Европейския съюз за Румъния, България и Италия</w:t>
      </w:r>
      <w:r w:rsidRPr="006E6109">
        <w:tab/>
        <w:t>3</w:t>
      </w:r>
    </w:p>
    <w:p w:rsidR="00764CA1" w:rsidRPr="006E6109" w:rsidRDefault="00764CA1" w:rsidP="00764CA1">
      <w:pPr>
        <w:pStyle w:val="PointManual"/>
        <w:tabs>
          <w:tab w:val="left" w:leader="dot" w:pos="9639"/>
        </w:tabs>
      </w:pPr>
      <w:r w:rsidRPr="006E6109">
        <w:t>3.</w:t>
      </w:r>
      <w:r w:rsidRPr="006E6109">
        <w:tab/>
        <w:t>Проект за коригиращ бюджет № 5 към общия бюджет за 2015 г.: Отговор на миграционния натиск</w:t>
      </w:r>
      <w:r w:rsidRPr="006E6109">
        <w:tab/>
        <w:t>3</w:t>
      </w:r>
    </w:p>
    <w:p w:rsidR="00764CA1" w:rsidRPr="006E6109" w:rsidRDefault="00764CA1" w:rsidP="00EA2BCE">
      <w:pPr>
        <w:spacing w:before="720"/>
        <w:rPr>
          <w:bCs/>
        </w:rPr>
      </w:pPr>
      <w:r w:rsidRPr="006E6109">
        <w:t>ТОЧКИ Б (док. 9980/15 OJ CONS 36 ECOFIN 492)</w:t>
      </w:r>
    </w:p>
    <w:p w:rsidR="00EA2BCE" w:rsidRPr="006E6109" w:rsidRDefault="00EA2BCE" w:rsidP="00EA2BCE">
      <w:pPr>
        <w:pStyle w:val="PointManual"/>
        <w:tabs>
          <w:tab w:val="left" w:leader="dot" w:pos="9639"/>
        </w:tabs>
      </w:pPr>
      <w:r w:rsidRPr="006E6109">
        <w:t>3.</w:t>
      </w:r>
      <w:r w:rsidRPr="006E6109">
        <w:tab/>
        <w:t>Реформа на банковия сектор</w:t>
      </w:r>
      <w:r w:rsidRPr="006E6109">
        <w:tab/>
        <w:t>4</w:t>
      </w:r>
    </w:p>
    <w:p w:rsidR="00EA2BCE" w:rsidRPr="006E6109" w:rsidRDefault="00EA2BCE" w:rsidP="00EA2BCE">
      <w:pPr>
        <w:pStyle w:val="PointManual"/>
        <w:tabs>
          <w:tab w:val="left" w:leader="dot" w:pos="9639"/>
        </w:tabs>
      </w:pPr>
      <w:r w:rsidRPr="006E6109">
        <w:t>4.</w:t>
      </w:r>
      <w:r w:rsidRPr="006E6109">
        <w:tab/>
        <w:t>Инвестиционен план за Европа</w:t>
      </w:r>
      <w:r w:rsidRPr="006E6109">
        <w:tab/>
        <w:t>4</w:t>
      </w:r>
    </w:p>
    <w:p w:rsidR="00EA2BCE" w:rsidRPr="006E6109" w:rsidRDefault="00EA2BCE" w:rsidP="00EA2BCE">
      <w:pPr>
        <w:pStyle w:val="PointManual"/>
        <w:tabs>
          <w:tab w:val="left" w:leader="dot" w:pos="9639"/>
        </w:tabs>
      </w:pPr>
      <w:r w:rsidRPr="006E6109">
        <w:t>5.</w:t>
      </w:r>
      <w:r w:rsidRPr="006E6109">
        <w:tab/>
        <w:t>Административно сътрудничество</w:t>
      </w:r>
      <w:r w:rsidRPr="006E6109">
        <w:tab/>
        <w:t>4</w:t>
      </w:r>
    </w:p>
    <w:p w:rsidR="00EA2BCE" w:rsidRPr="006E6109" w:rsidRDefault="00EA2BCE" w:rsidP="00EA2BCE">
      <w:pPr>
        <w:pStyle w:val="PointManual"/>
        <w:tabs>
          <w:tab w:val="left" w:leader="dot" w:pos="9639"/>
        </w:tabs>
      </w:pPr>
      <w:r w:rsidRPr="006E6109">
        <w:t>6.</w:t>
      </w:r>
      <w:r w:rsidRPr="006E6109">
        <w:tab/>
        <w:t>Директива относно лихвите и авторските и лицензионните възнаграждения</w:t>
      </w:r>
      <w:r w:rsidRPr="006E6109">
        <w:tab/>
        <w:t>5</w:t>
      </w:r>
    </w:p>
    <w:p w:rsidR="00EA2BCE" w:rsidRPr="006E6109" w:rsidRDefault="00EA2BCE" w:rsidP="00EA2BCE">
      <w:pPr>
        <w:pStyle w:val="PointManual"/>
        <w:tabs>
          <w:tab w:val="left" w:leader="dot" w:pos="9639"/>
        </w:tabs>
      </w:pPr>
      <w:r w:rsidRPr="006E6109">
        <w:t>7.</w:t>
      </w:r>
      <w:r w:rsidRPr="006E6109">
        <w:tab/>
        <w:t>Други въпроси</w:t>
      </w:r>
      <w:r w:rsidRPr="006E6109">
        <w:tab/>
        <w:t>5</w:t>
      </w:r>
    </w:p>
    <w:p w:rsidR="00764CA1" w:rsidRPr="006E6109" w:rsidRDefault="00764CA1" w:rsidP="00764CA1">
      <w:pPr>
        <w:pStyle w:val="NormalCentered"/>
        <w:spacing w:before="480"/>
      </w:pPr>
      <w:r w:rsidRPr="006E6109">
        <w:t>*</w:t>
      </w:r>
    </w:p>
    <w:p w:rsidR="00764CA1" w:rsidRPr="006E6109" w:rsidRDefault="00764CA1" w:rsidP="00764CA1">
      <w:pPr>
        <w:pStyle w:val="NormalCentered"/>
        <w:spacing w:before="120"/>
      </w:pPr>
      <w:r w:rsidRPr="006E6109">
        <w:t>*</w:t>
      </w:r>
      <w:r w:rsidRPr="006E6109">
        <w:tab/>
        <w:t>*</w:t>
      </w:r>
    </w:p>
    <w:p w:rsidR="00764CA1" w:rsidRPr="006E6109" w:rsidRDefault="00764CA1" w:rsidP="00F35EDB">
      <w:pPr>
        <w:spacing w:before="600"/>
        <w:rPr>
          <w:b/>
          <w:u w:val="single"/>
        </w:rPr>
      </w:pPr>
      <w:r w:rsidRPr="006E6109">
        <w:br w:type="page"/>
      </w:r>
      <w:r w:rsidRPr="006E6109">
        <w:rPr>
          <w:b/>
          <w:u w:val="single"/>
        </w:rPr>
        <w:lastRenderedPageBreak/>
        <w:t>ОБСЪЖДАНИЯ НА ЗАКОНОДАТЕЛНИ АКТОВЕ</w:t>
      </w:r>
    </w:p>
    <w:p w:rsidR="00764CA1" w:rsidRPr="006E6109" w:rsidRDefault="00764CA1" w:rsidP="00764CA1">
      <w:pPr>
        <w:rPr>
          <w:b/>
          <w:i/>
          <w:iCs/>
        </w:rPr>
      </w:pPr>
      <w:r w:rsidRPr="006E6109">
        <w:rPr>
          <w:b/>
          <w:i/>
        </w:rPr>
        <w:t>(открито обсъждане съгласно член 16, параграф 8 от Договора за Европейския съюз)</w:t>
      </w:r>
    </w:p>
    <w:p w:rsidR="00764CA1" w:rsidRPr="006E6109" w:rsidRDefault="00764CA1" w:rsidP="00770A85">
      <w:pPr>
        <w:spacing w:before="240" w:after="240"/>
        <w:rPr>
          <w:bCs/>
        </w:rPr>
      </w:pPr>
      <w:r w:rsidRPr="006E6109">
        <w:rPr>
          <w:u w:val="single"/>
        </w:rPr>
        <w:t>ТОЧКИ А</w:t>
      </w:r>
    </w:p>
    <w:p w:rsidR="00764CA1" w:rsidRPr="006E6109" w:rsidRDefault="00764CA1" w:rsidP="00764CA1">
      <w:pPr>
        <w:pStyle w:val="PointManual"/>
        <w:spacing w:before="160"/>
        <w:rPr>
          <w:b/>
          <w:bCs/>
        </w:rPr>
      </w:pPr>
      <w:r w:rsidRPr="006E6109">
        <w:rPr>
          <w:b/>
        </w:rPr>
        <w:t>1.</w:t>
      </w:r>
      <w:r w:rsidRPr="006E6109">
        <w:tab/>
      </w:r>
      <w:r w:rsidRPr="006E6109">
        <w:rPr>
          <w:b/>
        </w:rPr>
        <w:t>Проект за коригиращ бюджет № 3 към общия бюджет за 2015 г.: Въвеждане на излишъка за финансовата 2014 година</w:t>
      </w:r>
    </w:p>
    <w:p w:rsidR="00764CA1" w:rsidRPr="006E6109" w:rsidRDefault="00764CA1" w:rsidP="00764CA1">
      <w:pPr>
        <w:pStyle w:val="Text3"/>
      </w:pPr>
      <w:r w:rsidRPr="006E6109">
        <w:t>9468/1/15 REV 1 FIN 402 PE-L 33</w:t>
      </w:r>
    </w:p>
    <w:p w:rsidR="00764CA1" w:rsidRPr="006E6109" w:rsidRDefault="00764CA1" w:rsidP="00764CA1">
      <w:pPr>
        <w:pStyle w:val="Text3"/>
      </w:pPr>
      <w:r w:rsidRPr="006E6109">
        <w:t>одобрен от Корепер (ІІ част) на 17.6.2015 г.</w:t>
      </w:r>
    </w:p>
    <w:p w:rsidR="00764CA1" w:rsidRPr="006E6109" w:rsidRDefault="00764CA1" w:rsidP="00453159">
      <w:pPr>
        <w:pStyle w:val="Text1"/>
        <w:spacing w:before="200" w:line="360" w:lineRule="auto"/>
      </w:pPr>
      <w:r w:rsidRPr="006E6109">
        <w:rPr>
          <w:u w:val="single"/>
        </w:rPr>
        <w:t>Съветът</w:t>
      </w:r>
      <w:r w:rsidRPr="006E6109">
        <w:t xml:space="preserve"> прие с квалифицирано мнозинство, в съответствие с член 314 от Договора за функционирането на Европейския съюз, позицията си по проекта за коригиращ бюджет № 3 към общия бюджет за 2015 г., като </w:t>
      </w:r>
      <w:r w:rsidRPr="006E6109">
        <w:rPr>
          <w:u w:val="single"/>
        </w:rPr>
        <w:t>делегацията на Обединеното кралство</w:t>
      </w:r>
      <w:r w:rsidRPr="006E6109">
        <w:t xml:space="preserve"> се въздържа.</w:t>
      </w:r>
    </w:p>
    <w:p w:rsidR="00764CA1" w:rsidRPr="006E6109" w:rsidRDefault="00764CA1" w:rsidP="00764CA1">
      <w:pPr>
        <w:pStyle w:val="PointManual"/>
        <w:spacing w:before="600"/>
        <w:rPr>
          <w:b/>
          <w:bCs/>
        </w:rPr>
      </w:pPr>
      <w:r w:rsidRPr="006E6109">
        <w:rPr>
          <w:b/>
        </w:rPr>
        <w:t>2.</w:t>
      </w:r>
      <w:r w:rsidRPr="006E6109">
        <w:tab/>
      </w:r>
      <w:r w:rsidRPr="006E6109">
        <w:rPr>
          <w:b/>
        </w:rPr>
        <w:t>Проект за коригиращ бюджет № 4 към общия бюджет за 2015 г., придружаващ предложението за мобилизиране на средства от фонд „Солидарност“ на Европейския съюз за Румъния, България и Италия</w:t>
      </w:r>
    </w:p>
    <w:p w:rsidR="00764CA1" w:rsidRPr="006E6109" w:rsidRDefault="00764CA1" w:rsidP="00764CA1">
      <w:pPr>
        <w:pStyle w:val="Text3"/>
      </w:pPr>
      <w:r w:rsidRPr="006E6109">
        <w:t>9472/1/15 REV 1 FIN 404 PE-L 34</w:t>
      </w:r>
    </w:p>
    <w:p w:rsidR="00764CA1" w:rsidRPr="006E6109" w:rsidRDefault="00764CA1" w:rsidP="00764CA1">
      <w:pPr>
        <w:pStyle w:val="Text3"/>
      </w:pPr>
      <w:r w:rsidRPr="006E6109">
        <w:t>одобрен от Корепер (ІІ част) на 17.6.2015 г.</w:t>
      </w:r>
    </w:p>
    <w:p w:rsidR="00764CA1" w:rsidRPr="006E6109" w:rsidRDefault="00764CA1" w:rsidP="00453159">
      <w:pPr>
        <w:pStyle w:val="Text1"/>
        <w:spacing w:before="200" w:line="360" w:lineRule="auto"/>
      </w:pPr>
      <w:r w:rsidRPr="006E6109">
        <w:rPr>
          <w:u w:val="single"/>
        </w:rPr>
        <w:t>Съветът</w:t>
      </w:r>
      <w:r w:rsidRPr="006E6109">
        <w:t xml:space="preserve"> прие с квалифицирано мнозинство, в съответствие с член 314 от Договора за функционирането на Европейския съюз, позицията си по проекта за коригиращ бюджет № 4 към общия бюджет за 2015 г., като </w:t>
      </w:r>
      <w:r w:rsidRPr="006E6109">
        <w:rPr>
          <w:u w:val="single"/>
        </w:rPr>
        <w:t>делегацията на Обединеното кралство</w:t>
      </w:r>
      <w:r w:rsidRPr="006E6109">
        <w:t xml:space="preserve"> се въздържа.</w:t>
      </w:r>
    </w:p>
    <w:p w:rsidR="00764CA1" w:rsidRPr="006E6109" w:rsidRDefault="00764CA1" w:rsidP="00764CA1">
      <w:pPr>
        <w:pStyle w:val="PointManual"/>
        <w:spacing w:before="600"/>
        <w:rPr>
          <w:b/>
          <w:bCs/>
        </w:rPr>
      </w:pPr>
      <w:r w:rsidRPr="006E6109">
        <w:rPr>
          <w:b/>
        </w:rPr>
        <w:t>3.</w:t>
      </w:r>
      <w:r w:rsidRPr="006E6109">
        <w:tab/>
      </w:r>
      <w:r w:rsidRPr="006E6109">
        <w:rPr>
          <w:b/>
        </w:rPr>
        <w:t>Проект за коригиращ бюджет № 5 към общия бюджет за 2015 г.: Отговор на миграционния натиск</w:t>
      </w:r>
    </w:p>
    <w:p w:rsidR="00764CA1" w:rsidRPr="006E6109" w:rsidRDefault="00764CA1" w:rsidP="00764CA1">
      <w:pPr>
        <w:pStyle w:val="Text3"/>
      </w:pPr>
      <w:r w:rsidRPr="006E6109">
        <w:t>9473/15 FIN 405 PE-L 35</w:t>
      </w:r>
    </w:p>
    <w:p w:rsidR="00764CA1" w:rsidRPr="006E6109" w:rsidRDefault="00764CA1" w:rsidP="00764CA1">
      <w:pPr>
        <w:pStyle w:val="Text3"/>
      </w:pPr>
      <w:r w:rsidRPr="006E6109">
        <w:t>одобрен от Корепер (ІІ част) на 17.6.2015 г.</w:t>
      </w:r>
    </w:p>
    <w:p w:rsidR="00764CA1" w:rsidRPr="006E6109" w:rsidRDefault="00764CA1" w:rsidP="00453159">
      <w:pPr>
        <w:pStyle w:val="Text1"/>
        <w:spacing w:before="200" w:line="360" w:lineRule="auto"/>
      </w:pPr>
      <w:r w:rsidRPr="006E6109">
        <w:rPr>
          <w:u w:val="single"/>
        </w:rPr>
        <w:t>Съветът</w:t>
      </w:r>
      <w:r w:rsidRPr="006E6109">
        <w:t xml:space="preserve"> прие с единодушие, в съответствие с член 314 от Договора за функционирането на Европейския съюз, позицията си по проекта за коригиращ бюджет № 5 към общия бюджет за 2015 г.</w:t>
      </w:r>
    </w:p>
    <w:p w:rsidR="00764CA1" w:rsidRPr="006E6109" w:rsidRDefault="00764CA1" w:rsidP="00D17005">
      <w:pPr>
        <w:pageBreakBefore/>
        <w:spacing w:before="240" w:line="264" w:lineRule="auto"/>
        <w:rPr>
          <w:bCs/>
        </w:rPr>
      </w:pPr>
      <w:r w:rsidRPr="006E6109">
        <w:rPr>
          <w:u w:val="single"/>
        </w:rPr>
        <w:t>ТОЧКИ Б</w:t>
      </w:r>
    </w:p>
    <w:p w:rsidR="00EA2BCE" w:rsidRPr="006E6109" w:rsidRDefault="00EA2BCE" w:rsidP="00D17005">
      <w:pPr>
        <w:pStyle w:val="PointManual"/>
        <w:spacing w:before="240" w:line="264" w:lineRule="auto"/>
        <w:rPr>
          <w:b/>
          <w:bCs/>
        </w:rPr>
      </w:pPr>
      <w:r w:rsidRPr="006E6109">
        <w:rPr>
          <w:b/>
        </w:rPr>
        <w:t>3.</w:t>
      </w:r>
      <w:r w:rsidRPr="006E6109">
        <w:tab/>
      </w:r>
      <w:r w:rsidRPr="006E6109">
        <w:rPr>
          <w:b/>
        </w:rPr>
        <w:t>Реформа на банковия сектор</w:t>
      </w:r>
    </w:p>
    <w:p w:rsidR="00EA2BCE" w:rsidRPr="006E6109" w:rsidRDefault="00EA2BCE" w:rsidP="00D17005">
      <w:pPr>
        <w:pStyle w:val="Dash1"/>
        <w:numPr>
          <w:ilvl w:val="0"/>
          <w:numId w:val="1"/>
        </w:numPr>
        <w:spacing w:line="264" w:lineRule="auto"/>
        <w:rPr>
          <w:b/>
          <w:bCs/>
        </w:rPr>
      </w:pPr>
      <w:r w:rsidRPr="006E6109">
        <w:rPr>
          <w:b/>
        </w:rPr>
        <w:t>Предложение за регламент на Европейския парламент и на Съвета относно структурните мерки за повишаване на устойчивостта на кредитните институции в ЕС (първо четене)</w:t>
      </w:r>
    </w:p>
    <w:p w:rsidR="00EA2BCE" w:rsidRPr="006E6109" w:rsidRDefault="00EA2BCE" w:rsidP="00D17005">
      <w:pPr>
        <w:pStyle w:val="DashEqual2"/>
        <w:numPr>
          <w:ilvl w:val="0"/>
          <w:numId w:val="21"/>
        </w:numPr>
        <w:spacing w:line="264" w:lineRule="auto"/>
      </w:pPr>
      <w:r w:rsidRPr="006E6109">
        <w:t>Общ подход</w:t>
      </w:r>
    </w:p>
    <w:p w:rsidR="00EA2BCE" w:rsidRPr="006E6109" w:rsidRDefault="00EA2BCE" w:rsidP="00D17005">
      <w:pPr>
        <w:pStyle w:val="Text3"/>
        <w:spacing w:line="264" w:lineRule="auto"/>
      </w:pPr>
      <w:r w:rsidRPr="006E6109">
        <w:t>9894/15 EF 112 ECOFIN 480 CODEC 879</w:t>
      </w:r>
    </w:p>
    <w:p w:rsidR="00EA2BCE" w:rsidRPr="006E6109" w:rsidRDefault="00EA2BCE" w:rsidP="00D17005">
      <w:pPr>
        <w:pStyle w:val="Text3"/>
        <w:spacing w:line="264" w:lineRule="auto"/>
      </w:pPr>
      <w:r w:rsidRPr="006E6109">
        <w:t>9579/15 EF 100 ECOFIN 438 CODEC 828</w:t>
      </w:r>
    </w:p>
    <w:p w:rsidR="00EA2BCE" w:rsidRPr="006E6109" w:rsidRDefault="00EA2BCE" w:rsidP="00D17005">
      <w:pPr>
        <w:pStyle w:val="Text4"/>
        <w:spacing w:line="264" w:lineRule="auto"/>
      </w:pPr>
      <w:r w:rsidRPr="006E6109">
        <w:t>+ COR 1 REV 1</w:t>
      </w:r>
    </w:p>
    <w:p w:rsidR="00EA2BCE" w:rsidRPr="006E6109" w:rsidRDefault="00EA2BCE" w:rsidP="00D17005">
      <w:pPr>
        <w:pStyle w:val="Text4"/>
        <w:spacing w:line="264" w:lineRule="auto"/>
      </w:pPr>
      <w:r w:rsidRPr="006E6109">
        <w:t>+ COR 2 (sv)</w:t>
      </w:r>
    </w:p>
    <w:p w:rsidR="00EA2BCE" w:rsidRPr="006E6109" w:rsidRDefault="00EA2BCE" w:rsidP="00D17005">
      <w:pPr>
        <w:pStyle w:val="Text1"/>
        <w:spacing w:before="240" w:line="264" w:lineRule="auto"/>
      </w:pPr>
      <w:r w:rsidRPr="006E6109">
        <w:rPr>
          <w:u w:val="single"/>
        </w:rPr>
        <w:t>Съветът</w:t>
      </w:r>
      <w:r w:rsidRPr="006E6109">
        <w:t xml:space="preserve"> постигна съгласие с единодушие по общ подход въз основа на преразгледан компромисен текст на председателството, изложен в док. 10150/15 EF 121 ECOFIN 528 CODEC 810 + COR 1.</w:t>
      </w:r>
    </w:p>
    <w:p w:rsidR="00EA2BCE" w:rsidRPr="006E6109" w:rsidRDefault="00EA2BCE" w:rsidP="00D17005">
      <w:pPr>
        <w:pStyle w:val="Text1"/>
        <w:spacing w:before="240" w:line="264" w:lineRule="auto"/>
      </w:pPr>
      <w:r w:rsidRPr="006E6109">
        <w:t>Съветът прие и изявление, поместено в приложението.</w:t>
      </w:r>
    </w:p>
    <w:p w:rsidR="00EA2BCE" w:rsidRPr="006E6109" w:rsidRDefault="00EA2BCE" w:rsidP="00D17005">
      <w:pPr>
        <w:pStyle w:val="PointManual"/>
        <w:spacing w:before="600" w:line="264" w:lineRule="auto"/>
        <w:rPr>
          <w:b/>
          <w:bCs/>
        </w:rPr>
      </w:pPr>
      <w:r w:rsidRPr="006E6109">
        <w:rPr>
          <w:b/>
        </w:rPr>
        <w:t>4.</w:t>
      </w:r>
      <w:r w:rsidRPr="006E6109">
        <w:tab/>
      </w:r>
      <w:r w:rsidRPr="006E6109">
        <w:rPr>
          <w:b/>
        </w:rPr>
        <w:t>Инвестиционен план за Европа</w:t>
      </w:r>
    </w:p>
    <w:p w:rsidR="00EA2BCE" w:rsidRPr="006E6109" w:rsidRDefault="00EA2BCE" w:rsidP="00D17005">
      <w:pPr>
        <w:pStyle w:val="Dash1"/>
        <w:numPr>
          <w:ilvl w:val="0"/>
          <w:numId w:val="1"/>
        </w:numPr>
        <w:spacing w:line="264" w:lineRule="auto"/>
        <w:rPr>
          <w:b/>
          <w:bCs/>
          <w:szCs w:val="20"/>
        </w:rPr>
      </w:pPr>
      <w:r w:rsidRPr="006E6109">
        <w:rPr>
          <w:b/>
        </w:rPr>
        <w:t>Предложение на Комисията за регламент на Европейския парламент и на Съвета относно Европейския фонд за стратегически инвестиции и за изменение на регламенти (ЕС) № 1291/2013 и (ЕС) № 1316/2013 (първо четене)</w:t>
      </w:r>
    </w:p>
    <w:p w:rsidR="00EA2BCE" w:rsidRPr="006E6109" w:rsidRDefault="00EA2BCE" w:rsidP="00D17005">
      <w:pPr>
        <w:pStyle w:val="DashEqual2"/>
        <w:spacing w:line="264" w:lineRule="auto"/>
        <w:rPr>
          <w:szCs w:val="20"/>
        </w:rPr>
      </w:pPr>
      <w:r w:rsidRPr="006E6109">
        <w:t>Информация от председателството</w:t>
      </w:r>
    </w:p>
    <w:p w:rsidR="00D32146" w:rsidRPr="006E6109" w:rsidRDefault="00EA2BCE" w:rsidP="00D17005">
      <w:pPr>
        <w:pStyle w:val="Text1"/>
        <w:spacing w:before="240" w:line="264" w:lineRule="auto"/>
      </w:pPr>
      <w:r w:rsidRPr="006E6109">
        <w:rPr>
          <w:u w:val="single"/>
        </w:rPr>
        <w:t>Съветът</w:t>
      </w:r>
      <w:r w:rsidRPr="006E6109">
        <w:t xml:space="preserve"> беше информиран за окончателния компромисен текст на предложението за регламент относно Европейския фонд за стратегически инвестиции. Регламентът ще бъде приет от Съвета чрез писмена процедура на 25 юни 2015 г.</w:t>
      </w:r>
    </w:p>
    <w:p w:rsidR="00EA2BCE" w:rsidRPr="006E6109" w:rsidRDefault="00EA2BCE" w:rsidP="00D17005">
      <w:pPr>
        <w:pStyle w:val="PointManual"/>
        <w:spacing w:before="600" w:line="264" w:lineRule="auto"/>
        <w:rPr>
          <w:b/>
          <w:bCs/>
        </w:rPr>
      </w:pPr>
      <w:r w:rsidRPr="006E6109">
        <w:rPr>
          <w:b/>
        </w:rPr>
        <w:t>5.</w:t>
      </w:r>
      <w:r w:rsidRPr="006E6109">
        <w:tab/>
      </w:r>
      <w:r w:rsidRPr="006E6109">
        <w:rPr>
          <w:b/>
        </w:rPr>
        <w:t>Административно сътрудничество</w:t>
      </w:r>
    </w:p>
    <w:p w:rsidR="00EA2BCE" w:rsidRPr="006E6109" w:rsidRDefault="00EA2BCE" w:rsidP="00D17005">
      <w:pPr>
        <w:pStyle w:val="Dash1"/>
        <w:numPr>
          <w:ilvl w:val="0"/>
          <w:numId w:val="1"/>
        </w:numPr>
        <w:spacing w:line="264" w:lineRule="auto"/>
        <w:rPr>
          <w:b/>
          <w:bCs/>
        </w:rPr>
      </w:pPr>
      <w:r w:rsidRPr="006E6109">
        <w:rPr>
          <w:b/>
        </w:rPr>
        <w:t>Предложение за директива на Съвета за изменение на Директива 2011/16/ЕС по отношение на задължителния автоматичен обмен на информация в областта на данъчното облагане</w:t>
      </w:r>
    </w:p>
    <w:p w:rsidR="00EA2BCE" w:rsidRPr="006E6109" w:rsidRDefault="00EA2BCE" w:rsidP="00D17005">
      <w:pPr>
        <w:pStyle w:val="DashEqual2"/>
        <w:spacing w:line="264" w:lineRule="auto"/>
      </w:pPr>
      <w:r w:rsidRPr="006E6109">
        <w:t>Актуално състояние</w:t>
      </w:r>
    </w:p>
    <w:p w:rsidR="00EA2BCE" w:rsidRPr="006E6109" w:rsidRDefault="00EA2BCE" w:rsidP="00D17005">
      <w:pPr>
        <w:pStyle w:val="Text3"/>
        <w:spacing w:line="264" w:lineRule="auto"/>
      </w:pPr>
      <w:r w:rsidRPr="006E6109">
        <w:t>9495/15 FISC 55 ECOFIN 457</w:t>
      </w:r>
    </w:p>
    <w:p w:rsidR="00EA2BCE" w:rsidRPr="006E6109" w:rsidRDefault="00EA2BCE" w:rsidP="00D17005">
      <w:pPr>
        <w:pStyle w:val="Text1"/>
        <w:spacing w:before="240" w:line="264" w:lineRule="auto"/>
      </w:pPr>
      <w:r w:rsidRPr="006E6109">
        <w:rPr>
          <w:u w:val="single"/>
        </w:rPr>
        <w:t>Съветът</w:t>
      </w:r>
      <w:r w:rsidRPr="006E6109">
        <w:t xml:space="preserve"> проведе обмен на мнения по актуалното състояние на това досие, със специален акцент върху въпросите, изложени в доклада на председателството до Съвета. </w:t>
      </w:r>
      <w:r w:rsidRPr="006E6109">
        <w:rPr>
          <w:u w:val="single"/>
        </w:rPr>
        <w:t>Председателят</w:t>
      </w:r>
      <w:r w:rsidRPr="006E6109">
        <w:t xml:space="preserve"> обобщи, че са взети под внимание постигнатият напредък след представянето на предложението от Комисията и опасенията, повдигнати от някои държави членки и които ще трябва да бъдат отчетени на техническо равнище, като посочи, че работата ще продължи, за да може Съветът да постигне споразумение през есента на 2015 г.</w:t>
      </w:r>
    </w:p>
    <w:p w:rsidR="00EA2BCE" w:rsidRPr="006E6109" w:rsidRDefault="00EA2BCE" w:rsidP="00F35EDB">
      <w:pPr>
        <w:pStyle w:val="PointManual"/>
        <w:pageBreakBefore/>
        <w:spacing w:before="600"/>
        <w:rPr>
          <w:b/>
          <w:bCs/>
        </w:rPr>
      </w:pPr>
      <w:r w:rsidRPr="006E6109">
        <w:rPr>
          <w:b/>
        </w:rPr>
        <w:t>6.</w:t>
      </w:r>
      <w:r w:rsidRPr="006E6109">
        <w:tab/>
      </w:r>
      <w:r w:rsidRPr="006E6109">
        <w:rPr>
          <w:b/>
        </w:rPr>
        <w:t>Директива относно лихвите и авторските и лицензионните възнаграждения</w:t>
      </w:r>
    </w:p>
    <w:p w:rsidR="00EA2BCE" w:rsidRPr="006E6109" w:rsidRDefault="00EA2BCE" w:rsidP="00D97667">
      <w:pPr>
        <w:pStyle w:val="Dash1"/>
        <w:numPr>
          <w:ilvl w:val="0"/>
          <w:numId w:val="1"/>
        </w:numPr>
        <w:rPr>
          <w:b/>
          <w:bCs/>
        </w:rPr>
      </w:pPr>
      <w:r w:rsidRPr="006E6109">
        <w:rPr>
          <w:b/>
        </w:rPr>
        <w:t>Предложение за директива на Съвета относно общата система на данъчно облагане на плащанията на лихви и авторски и лицензионни възнаграждения между свързани дружества от различни държави членки (преработен текст)</w:t>
      </w:r>
    </w:p>
    <w:p w:rsidR="00EA2BCE" w:rsidRPr="006E6109" w:rsidRDefault="00EA2BCE" w:rsidP="00EA2BCE">
      <w:pPr>
        <w:pStyle w:val="DashEqual2"/>
      </w:pPr>
      <w:r w:rsidRPr="006E6109">
        <w:t>Политическо споразумение</w:t>
      </w:r>
    </w:p>
    <w:p w:rsidR="00EA2BCE" w:rsidRPr="006E6109" w:rsidRDefault="00EA2BCE" w:rsidP="00EA2BCE">
      <w:pPr>
        <w:pStyle w:val="Text3"/>
      </w:pPr>
      <w:r w:rsidRPr="006E6109">
        <w:t>9674/15 FISC 68 ECOFIN 456</w:t>
      </w:r>
    </w:p>
    <w:p w:rsidR="00EA2BCE" w:rsidRPr="006E6109" w:rsidRDefault="00EA2BCE" w:rsidP="00EA2BCE">
      <w:pPr>
        <w:pStyle w:val="Text3"/>
      </w:pPr>
      <w:r w:rsidRPr="006E6109">
        <w:t>9680/15 FISC 69 ECOFIN 458</w:t>
      </w:r>
    </w:p>
    <w:p w:rsidR="00EA2BCE" w:rsidRPr="006E6109" w:rsidRDefault="00EA2BCE" w:rsidP="00EA2BCE">
      <w:pPr>
        <w:pStyle w:val="Text1"/>
        <w:spacing w:before="240" w:line="360" w:lineRule="auto"/>
      </w:pPr>
      <w:r w:rsidRPr="006E6109">
        <w:rPr>
          <w:u w:val="single"/>
        </w:rPr>
        <w:t>Съветът</w:t>
      </w:r>
      <w:r w:rsidRPr="006E6109">
        <w:t xml:space="preserve"> обсъди директивата относно лихвите и авторските и лицензионните възнаграждения, след което беше отбелязано, че остава да бъдат решени някои въпроси, преди да бъде постигнато споразумение по това досие.</w:t>
      </w:r>
    </w:p>
    <w:p w:rsidR="00EA2BCE" w:rsidRPr="006E6109" w:rsidRDefault="00EA2BCE" w:rsidP="00EA2BCE">
      <w:pPr>
        <w:pStyle w:val="PointManual"/>
        <w:spacing w:before="600"/>
        <w:rPr>
          <w:b/>
          <w:bCs/>
        </w:rPr>
      </w:pPr>
      <w:r w:rsidRPr="006E6109">
        <w:rPr>
          <w:b/>
        </w:rPr>
        <w:t>7.</w:t>
      </w:r>
      <w:r w:rsidRPr="006E6109">
        <w:tab/>
      </w:r>
      <w:r w:rsidRPr="006E6109">
        <w:rPr>
          <w:b/>
        </w:rPr>
        <w:t>Други въпроси</w:t>
      </w:r>
    </w:p>
    <w:p w:rsidR="00EA2BCE" w:rsidRPr="006E6109" w:rsidRDefault="00EA2BCE" w:rsidP="00D97667">
      <w:pPr>
        <w:pStyle w:val="Dash1"/>
        <w:numPr>
          <w:ilvl w:val="0"/>
          <w:numId w:val="1"/>
        </w:numPr>
        <w:spacing w:before="120"/>
        <w:rPr>
          <w:b/>
          <w:bCs/>
        </w:rPr>
      </w:pPr>
      <w:r w:rsidRPr="006E6109">
        <w:rPr>
          <w:b/>
        </w:rPr>
        <w:t>Текущи предложения за законодателни актове</w:t>
      </w:r>
    </w:p>
    <w:p w:rsidR="00EA2BCE" w:rsidRPr="006E6109" w:rsidRDefault="00EA2BCE" w:rsidP="00EA2BCE">
      <w:pPr>
        <w:pStyle w:val="DashEqual2"/>
      </w:pPr>
      <w:r w:rsidRPr="006E6109">
        <w:t>Информация от председателството</w:t>
      </w:r>
    </w:p>
    <w:p w:rsidR="00D32146" w:rsidRPr="006E6109" w:rsidRDefault="00EA2BCE" w:rsidP="00EA2BCE">
      <w:pPr>
        <w:pStyle w:val="Text1"/>
        <w:spacing w:before="240" w:line="360" w:lineRule="auto"/>
      </w:pPr>
      <w:r w:rsidRPr="006E6109">
        <w:rPr>
          <w:u w:val="single"/>
        </w:rPr>
        <w:t>Съветът</w:t>
      </w:r>
      <w:r w:rsidRPr="006E6109">
        <w:t xml:space="preserve"> взе под внимание актуалното състояние във връзка със законодателните досиета в областта на финансовите услуги.</w:t>
      </w:r>
    </w:p>
    <w:p w:rsidR="00FC4670" w:rsidRPr="00011D01" w:rsidRDefault="00FC4670" w:rsidP="00F06038">
      <w:pPr>
        <w:pStyle w:val="FinalLine"/>
      </w:pPr>
    </w:p>
    <w:sectPr w:rsidR="00FC4670" w:rsidRPr="00011D01" w:rsidSect="00BF2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38" w:rsidRDefault="00F06038" w:rsidP="00F06038">
      <w:r>
        <w:separator/>
      </w:r>
    </w:p>
  </w:endnote>
  <w:endnote w:type="continuationSeparator" w:id="0">
    <w:p w:rsidR="00F06038" w:rsidRDefault="00F06038" w:rsidP="00F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6" w:rsidRPr="00BF2B65" w:rsidRDefault="00CE6936" w:rsidP="00BF2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2B65" w:rsidRPr="00D94637" w:rsidTr="00BF2B6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2B65" w:rsidRPr="00D94637" w:rsidRDefault="00BF2B6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F2B65" w:rsidRPr="00B310DC" w:rsidTr="00BF2B6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2B65" w:rsidRPr="00AD7BF2" w:rsidRDefault="00BF2B65" w:rsidP="004F54B2">
          <w:pPr>
            <w:pStyle w:val="FooterText"/>
          </w:pPr>
          <w:r>
            <w:t>10173/15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2B65" w:rsidRPr="00AD7BF2" w:rsidRDefault="00BF2B6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2B65" w:rsidRPr="002511D8" w:rsidRDefault="00BF2B6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2B65" w:rsidRPr="00B310DC" w:rsidRDefault="00BF2B6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F2B65" w:rsidRPr="00D94637" w:rsidTr="00BF2B65">
      <w:trPr>
        <w:jc w:val="center"/>
      </w:trPr>
      <w:tc>
        <w:tcPr>
          <w:tcW w:w="1774" w:type="pct"/>
          <w:shd w:val="clear" w:color="auto" w:fill="auto"/>
        </w:tcPr>
        <w:p w:rsidR="00BF2B65" w:rsidRPr="00AD7BF2" w:rsidRDefault="00BF2B6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2B65" w:rsidRPr="00AD7BF2" w:rsidRDefault="00BF2B6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F2B65" w:rsidRPr="00D94637" w:rsidRDefault="00BF2B6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2B65" w:rsidRPr="00D94637" w:rsidRDefault="00BF2B6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F06038" w:rsidRPr="00BF2B65" w:rsidRDefault="00F06038" w:rsidP="00BF2B6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2B65" w:rsidRPr="00D94637" w:rsidTr="00BF2B6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2B65" w:rsidRPr="00D94637" w:rsidRDefault="00BF2B6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F2B65" w:rsidRPr="00B310DC" w:rsidTr="00BF2B6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2B65" w:rsidRPr="00AD7BF2" w:rsidRDefault="00BF2B65" w:rsidP="004F54B2">
          <w:pPr>
            <w:pStyle w:val="FooterText"/>
          </w:pPr>
          <w:r>
            <w:t>10173/15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2B65" w:rsidRPr="00AD7BF2" w:rsidRDefault="00BF2B6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2B65" w:rsidRPr="002511D8" w:rsidRDefault="00BF2B6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2B65" w:rsidRPr="00B310DC" w:rsidRDefault="00BF2B6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F2B65" w:rsidRPr="00D94637" w:rsidTr="00BF2B65">
      <w:trPr>
        <w:jc w:val="center"/>
      </w:trPr>
      <w:tc>
        <w:tcPr>
          <w:tcW w:w="1774" w:type="pct"/>
          <w:shd w:val="clear" w:color="auto" w:fill="auto"/>
        </w:tcPr>
        <w:p w:rsidR="00BF2B65" w:rsidRPr="00AD7BF2" w:rsidRDefault="00BF2B6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2B65" w:rsidRPr="00AD7BF2" w:rsidRDefault="00BF2B6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F2B65" w:rsidRPr="00D94637" w:rsidRDefault="00BF2B6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2B65" w:rsidRPr="00D94637" w:rsidRDefault="00BF2B6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F06038" w:rsidRPr="00BF2B65" w:rsidRDefault="00F06038" w:rsidP="00BF2B6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38" w:rsidRDefault="00F06038" w:rsidP="00F06038">
      <w:r>
        <w:separator/>
      </w:r>
    </w:p>
  </w:footnote>
  <w:footnote w:type="continuationSeparator" w:id="0">
    <w:p w:rsidR="00F06038" w:rsidRDefault="00F06038" w:rsidP="00F06038">
      <w:r>
        <w:continuationSeparator/>
      </w:r>
    </w:p>
  </w:footnote>
  <w:footnote w:id="1">
    <w:p w:rsidR="00764CA1" w:rsidRPr="00555D80" w:rsidRDefault="00764CA1" w:rsidP="00764CA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6" w:rsidRPr="00BF2B65" w:rsidRDefault="00CE6936" w:rsidP="00BF2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6" w:rsidRPr="00BF2B65" w:rsidRDefault="00CE6936" w:rsidP="00BF2B6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6" w:rsidRPr="00BF2B65" w:rsidRDefault="00CE6936" w:rsidP="00BF2B6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21"/>
  </w:num>
  <w:num w:numId="3">
    <w:abstractNumId w:val="27"/>
  </w:num>
  <w:num w:numId="4">
    <w:abstractNumId w:val="15"/>
  </w:num>
  <w:num w:numId="5">
    <w:abstractNumId w:val="23"/>
  </w:num>
  <w:num w:numId="6">
    <w:abstractNumId w:val="13"/>
  </w:num>
  <w:num w:numId="7">
    <w:abstractNumId w:val="28"/>
  </w:num>
  <w:num w:numId="8">
    <w:abstractNumId w:val="20"/>
  </w:num>
  <w:num w:numId="9">
    <w:abstractNumId w:val="22"/>
  </w:num>
  <w:num w:numId="10">
    <w:abstractNumId w:val="24"/>
  </w:num>
  <w:num w:numId="11">
    <w:abstractNumId w:val="19"/>
  </w:num>
  <w:num w:numId="12">
    <w:abstractNumId w:val="11"/>
  </w:num>
  <w:num w:numId="13">
    <w:abstractNumId w:val="25"/>
  </w:num>
  <w:num w:numId="14">
    <w:abstractNumId w:val="18"/>
  </w:num>
  <w:num w:numId="15">
    <w:abstractNumId w:val="14"/>
  </w:num>
  <w:num w:numId="16">
    <w:abstractNumId w:val="26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22"/>
    <w:lvlOverride w:ilvl="0">
      <w:startOverride w:val="1"/>
    </w:lvlOverride>
  </w:num>
  <w:num w:numId="22">
    <w:abstractNumId w:val="21"/>
  </w:num>
  <w:num w:numId="23">
    <w:abstractNumId w:val="27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0"/>
  </w:num>
  <w:num w:numId="29">
    <w:abstractNumId w:val="22"/>
  </w:num>
  <w:num w:numId="30">
    <w:abstractNumId w:val="24"/>
  </w:num>
  <w:num w:numId="31">
    <w:abstractNumId w:val="19"/>
  </w:num>
  <w:num w:numId="32">
    <w:abstractNumId w:val="11"/>
  </w:num>
  <w:num w:numId="33">
    <w:abstractNumId w:val="25"/>
  </w:num>
  <w:num w:numId="34">
    <w:abstractNumId w:val="1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12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58c3e2c0-01b4-46a9-9915-d3b5c393f45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17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36&lt;/text&gt;_x000d__x000a_      &lt;text&gt;ECOFIN 53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), &amp;#1087;&amp;#1088;&amp;#1086;&amp;#1074;&amp;#1077;&amp;#1076;&amp;#1077;&amp;#1085;&amp;#1086; &amp;#1074; &amp;#1051;&amp;#1102;&amp;#1082;&amp;#1089;&amp;#1077;&amp;#1084;&amp;#1073;&amp;#1091;&amp;#1088;&amp;#1075; &amp;#1085;&amp;#1072; 19 &amp;#1102;&amp;#1085;&amp;#1080; 2015 &amp;#1075;.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Weight=&quot;Bold&quot; xml:space=&quot;preserve&quot;&amp;gt;3399-&amp;#1086; &amp;lt;/Run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Run FontWeight=&quot;Bold&quot;&amp;gt;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)&amp;lt;/Run&amp;gt;, &amp;#1087;&amp;#1088;&amp;#1086;&amp;#1074;&amp;#1077;&amp;#1076;&amp;#1077;&amp;#1085;&amp;#1086; &amp;#1074; &amp;#1051;&amp;#1102;&amp;#1082;&amp;#1089;&amp;#1077;&amp;#1084;&amp;#1073;&amp;#1091;&amp;#1088;&amp;#1075; &amp;#1085;&amp;#1072; 19 &amp;#1102;&amp;#1085;&amp;#1080; 2015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06038"/>
    <w:rsid w:val="00010C1D"/>
    <w:rsid w:val="00011D01"/>
    <w:rsid w:val="0008159A"/>
    <w:rsid w:val="0009656C"/>
    <w:rsid w:val="00165755"/>
    <w:rsid w:val="0018094D"/>
    <w:rsid w:val="00182F2F"/>
    <w:rsid w:val="001C1958"/>
    <w:rsid w:val="00213F1F"/>
    <w:rsid w:val="00243B7C"/>
    <w:rsid w:val="002A2AE8"/>
    <w:rsid w:val="00350050"/>
    <w:rsid w:val="003C6E8B"/>
    <w:rsid w:val="003D4CE1"/>
    <w:rsid w:val="003E00C4"/>
    <w:rsid w:val="00453159"/>
    <w:rsid w:val="004553C5"/>
    <w:rsid w:val="004815FA"/>
    <w:rsid w:val="0051029C"/>
    <w:rsid w:val="005157F5"/>
    <w:rsid w:val="005D37B0"/>
    <w:rsid w:val="0063379B"/>
    <w:rsid w:val="00662A14"/>
    <w:rsid w:val="006A38C5"/>
    <w:rsid w:val="006C1AD4"/>
    <w:rsid w:val="006E33E2"/>
    <w:rsid w:val="006E6109"/>
    <w:rsid w:val="006F4741"/>
    <w:rsid w:val="0075756A"/>
    <w:rsid w:val="00764CA1"/>
    <w:rsid w:val="00770A85"/>
    <w:rsid w:val="00775E6E"/>
    <w:rsid w:val="00825503"/>
    <w:rsid w:val="0085099D"/>
    <w:rsid w:val="008658DE"/>
    <w:rsid w:val="008826F8"/>
    <w:rsid w:val="00A469D7"/>
    <w:rsid w:val="00A51D44"/>
    <w:rsid w:val="00B05718"/>
    <w:rsid w:val="00B507E4"/>
    <w:rsid w:val="00BE1373"/>
    <w:rsid w:val="00BF2B65"/>
    <w:rsid w:val="00C90334"/>
    <w:rsid w:val="00CE6936"/>
    <w:rsid w:val="00D17005"/>
    <w:rsid w:val="00D32146"/>
    <w:rsid w:val="00D451E4"/>
    <w:rsid w:val="00D97667"/>
    <w:rsid w:val="00EA2BCE"/>
    <w:rsid w:val="00F06038"/>
    <w:rsid w:val="00F35EDB"/>
    <w:rsid w:val="00FC4670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3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060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0603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0603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06038"/>
  </w:style>
  <w:style w:type="character" w:customStyle="1" w:styleId="Text3Char">
    <w:name w:val="Text 3 Char"/>
    <w:basedOn w:val="DefaultParagraphFont"/>
    <w:locked/>
    <w:rsid w:val="00764CA1"/>
    <w:rPr>
      <w:sz w:val="24"/>
      <w:szCs w:val="24"/>
      <w:lang w:val="bg-BG" w:eastAsia="bg-BG"/>
    </w:rPr>
  </w:style>
  <w:style w:type="character" w:customStyle="1" w:styleId="PointManualChar">
    <w:name w:val="Point Manual Char"/>
    <w:locked/>
    <w:rsid w:val="00764CA1"/>
    <w:rPr>
      <w:sz w:val="24"/>
      <w:szCs w:val="24"/>
      <w:lang w:val="bg-BG" w:eastAsia="bg-BG"/>
    </w:rPr>
  </w:style>
  <w:style w:type="character" w:customStyle="1" w:styleId="Text1Char">
    <w:name w:val="Text 1 Char"/>
    <w:rsid w:val="00764CA1"/>
    <w:rPr>
      <w:sz w:val="24"/>
      <w:szCs w:val="24"/>
      <w:lang w:val="bg-BG" w:eastAsia="bg-BG"/>
    </w:rPr>
  </w:style>
  <w:style w:type="character" w:customStyle="1" w:styleId="bumpedfont15">
    <w:name w:val="bumpedfont15"/>
    <w:rsid w:val="00764CA1"/>
  </w:style>
  <w:style w:type="character" w:customStyle="1" w:styleId="PointManual1Char">
    <w:name w:val="Point Manual (1) Char"/>
    <w:locked/>
    <w:rsid w:val="00764CA1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C90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3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3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1700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3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060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0603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0603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06038"/>
  </w:style>
  <w:style w:type="character" w:customStyle="1" w:styleId="Text3Char">
    <w:name w:val="Text 3 Char"/>
    <w:basedOn w:val="DefaultParagraphFont"/>
    <w:locked/>
    <w:rsid w:val="00764CA1"/>
    <w:rPr>
      <w:sz w:val="24"/>
      <w:szCs w:val="24"/>
      <w:lang w:val="bg-BG" w:eastAsia="bg-BG"/>
    </w:rPr>
  </w:style>
  <w:style w:type="character" w:customStyle="1" w:styleId="PointManualChar">
    <w:name w:val="Point Manual Char"/>
    <w:locked/>
    <w:rsid w:val="00764CA1"/>
    <w:rPr>
      <w:sz w:val="24"/>
      <w:szCs w:val="24"/>
      <w:lang w:val="bg-BG" w:eastAsia="bg-BG"/>
    </w:rPr>
  </w:style>
  <w:style w:type="character" w:customStyle="1" w:styleId="Text1Char">
    <w:name w:val="Text 1 Char"/>
    <w:rsid w:val="00764CA1"/>
    <w:rPr>
      <w:sz w:val="24"/>
      <w:szCs w:val="24"/>
      <w:lang w:val="bg-BG" w:eastAsia="bg-BG"/>
    </w:rPr>
  </w:style>
  <w:style w:type="character" w:customStyle="1" w:styleId="bumpedfont15">
    <w:name w:val="bumpedfont15"/>
    <w:rsid w:val="00764CA1"/>
  </w:style>
  <w:style w:type="character" w:customStyle="1" w:styleId="PointManual1Char">
    <w:name w:val="Point Manual (1) Char"/>
    <w:locked/>
    <w:rsid w:val="00764CA1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C90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3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3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1700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ALEXANDROVA-LIPMAN Elisaveta</cp:lastModifiedBy>
  <cp:revision>3</cp:revision>
  <cp:lastPrinted>2015-07-22T08:28:00Z</cp:lastPrinted>
  <dcterms:created xsi:type="dcterms:W3CDTF">2015-07-30T09:09:00Z</dcterms:created>
  <dcterms:modified xsi:type="dcterms:W3CDTF">2015-07-30T09:15:00Z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  <property fmtid="{D5CDD505-2E9C-101B-9397-08002B2CF9AE}" pid="5" name="SkipControlLengthPage">
    <vt:lpwstr/>
  </property>
</Properties>
</file>