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BF" w:rsidRPr="00F672BA" w:rsidRDefault="003D7CEC" w:rsidP="00F672B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d011c61-c93d-484d-9597-aa7eb6934007_0" style="width:568.65pt;height:480pt">
            <v:imagedata r:id="rId9" o:title=""/>
          </v:shape>
        </w:pict>
      </w:r>
      <w:bookmarkEnd w:id="0"/>
    </w:p>
    <w:p w:rsidR="00694FBF" w:rsidRPr="009C0EDE" w:rsidRDefault="00694FBF" w:rsidP="00694FBF"/>
    <w:p w:rsidR="00A5411F" w:rsidRPr="009C0EDE" w:rsidRDefault="00A5411F" w:rsidP="00A5411F">
      <w:pPr>
        <w:rPr>
          <w:b/>
          <w:bCs/>
          <w:u w:val="single"/>
        </w:rPr>
      </w:pPr>
      <w:r w:rsidRPr="009C0EDE">
        <w:rPr>
          <w:b/>
          <w:u w:val="single"/>
        </w:rPr>
        <w:t>ЗАСЕДАНИЕ В ЧЕТВЪРТЪК, 10 ДЕКЕМВРИ 2015 г. (10,00 ч.)</w:t>
      </w:r>
    </w:p>
    <w:p w:rsidR="00A5411F" w:rsidRPr="009C0EDE" w:rsidRDefault="00A5411F" w:rsidP="00A5411F">
      <w:pPr>
        <w:rPr>
          <w:u w:val="single"/>
        </w:rPr>
      </w:pPr>
    </w:p>
    <w:p w:rsidR="00EA727B" w:rsidRPr="009C0EDE" w:rsidRDefault="00EA727B" w:rsidP="00A5411F">
      <w:pPr>
        <w:rPr>
          <w:u w:val="single"/>
        </w:rPr>
      </w:pPr>
    </w:p>
    <w:p w:rsidR="00A5411F" w:rsidRPr="009C0EDE" w:rsidRDefault="00A5411F" w:rsidP="00A5411F">
      <w:pPr>
        <w:pStyle w:val="PointManual"/>
        <w:spacing w:before="0"/>
      </w:pPr>
      <w:r w:rsidRPr="009C0EDE">
        <w:t>1.</w:t>
      </w:r>
      <w:r w:rsidRPr="009C0EDE">
        <w:tab/>
        <w:t>Приемане на предварителния дневен ред</w:t>
      </w:r>
    </w:p>
    <w:p w:rsidR="00A5411F" w:rsidRPr="009C0EDE" w:rsidRDefault="00A5411F" w:rsidP="00A5411F">
      <w:pPr>
        <w:rPr>
          <w:b/>
          <w:bCs/>
        </w:rPr>
      </w:pPr>
    </w:p>
    <w:p w:rsidR="00EA727B" w:rsidRPr="009C0EDE" w:rsidRDefault="00EA727B" w:rsidP="00A5411F">
      <w:pPr>
        <w:rPr>
          <w:b/>
          <w:bCs/>
          <w:u w:val="single"/>
        </w:rPr>
      </w:pPr>
    </w:p>
    <w:p w:rsidR="00A5411F" w:rsidRPr="009C0EDE" w:rsidRDefault="00A5411F" w:rsidP="00A5411F">
      <w:pPr>
        <w:rPr>
          <w:b/>
          <w:bCs/>
        </w:rPr>
      </w:pPr>
      <w:r w:rsidRPr="009C0EDE">
        <w:rPr>
          <w:b/>
          <w:u w:val="single"/>
        </w:rPr>
        <w:t>Обсъждания на законодателни актове</w:t>
      </w:r>
    </w:p>
    <w:p w:rsidR="00A5411F" w:rsidRPr="009C0EDE" w:rsidRDefault="00A5411F" w:rsidP="00A5411F">
      <w:pPr>
        <w:rPr>
          <w:b/>
          <w:bCs/>
        </w:rPr>
      </w:pPr>
      <w:r w:rsidRPr="009C0EDE">
        <w:rPr>
          <w:b/>
        </w:rPr>
        <w:t>(открито обсъждане съгласно член 16, параграф 8 от Договора за Европейския съюз)</w:t>
      </w:r>
    </w:p>
    <w:p w:rsidR="00A5411F" w:rsidRPr="009C0EDE" w:rsidRDefault="00A5411F" w:rsidP="00A5411F">
      <w:pPr>
        <w:pStyle w:val="PointManual"/>
        <w:spacing w:before="0"/>
      </w:pPr>
    </w:p>
    <w:p w:rsidR="00EA727B" w:rsidRPr="009C0EDE" w:rsidRDefault="00EA727B" w:rsidP="00A5411F">
      <w:pPr>
        <w:pStyle w:val="PointManual"/>
        <w:spacing w:before="0"/>
      </w:pPr>
    </w:p>
    <w:p w:rsidR="00A5411F" w:rsidRPr="009C0EDE" w:rsidRDefault="00A5411F" w:rsidP="00A5411F">
      <w:pPr>
        <w:pStyle w:val="PointManual"/>
        <w:spacing w:before="0"/>
      </w:pPr>
      <w:r w:rsidRPr="009C0EDE">
        <w:t>2.</w:t>
      </w:r>
      <w:r w:rsidRPr="009C0EDE">
        <w:tab/>
        <w:t xml:space="preserve">(евентуално) Одобряване на списъка на точки А </w:t>
      </w:r>
    </w:p>
    <w:p w:rsidR="00A5411F" w:rsidRPr="009C0EDE" w:rsidRDefault="00A5411F" w:rsidP="00A5411F"/>
    <w:p w:rsidR="00A5411F" w:rsidRPr="009C0EDE" w:rsidRDefault="00EA727B" w:rsidP="00A5411F">
      <w:pPr>
        <w:rPr>
          <w:b/>
          <w:bCs/>
          <w:szCs w:val="32"/>
          <w:u w:val="single"/>
        </w:rPr>
      </w:pPr>
      <w:r w:rsidRPr="009C0EDE">
        <w:br w:type="page"/>
      </w:r>
      <w:r w:rsidRPr="009C0EDE">
        <w:rPr>
          <w:b/>
          <w:u w:val="single"/>
        </w:rPr>
        <w:lastRenderedPageBreak/>
        <w:t>Незаконодателни дейности</w:t>
      </w:r>
    </w:p>
    <w:p w:rsidR="00A5411F" w:rsidRPr="009C0EDE" w:rsidRDefault="00A5411F" w:rsidP="00A5411F">
      <w:pPr>
        <w:rPr>
          <w:b/>
          <w:bCs/>
        </w:rPr>
      </w:pPr>
    </w:p>
    <w:p w:rsidR="00A5411F" w:rsidRPr="009C0EDE" w:rsidRDefault="00A5411F" w:rsidP="00A5411F">
      <w:pPr>
        <w:pStyle w:val="PointManual"/>
        <w:spacing w:before="0"/>
      </w:pPr>
      <w:r w:rsidRPr="009C0EDE">
        <w:t>3.</w:t>
      </w:r>
      <w:r w:rsidRPr="009C0EDE">
        <w:tab/>
        <w:t>(евентуално) Одобряване на списъка на точки А</w:t>
      </w:r>
    </w:p>
    <w:p w:rsidR="00A5411F" w:rsidRPr="009C0EDE" w:rsidRDefault="00A5411F" w:rsidP="00A5411F"/>
    <w:p w:rsidR="00003811" w:rsidRPr="009C0EDE" w:rsidRDefault="00003811" w:rsidP="00A5411F">
      <w:pPr>
        <w:rPr>
          <w:rFonts w:eastAsia="Calibri" w:cs="Arial"/>
          <w:u w:val="single"/>
        </w:rPr>
      </w:pPr>
    </w:p>
    <w:p w:rsidR="00EA727B" w:rsidRPr="009C0EDE" w:rsidRDefault="00EA727B" w:rsidP="00A5411F">
      <w:pPr>
        <w:rPr>
          <w:rFonts w:eastAsia="Calibri" w:cs="Arial"/>
          <w:u w:val="single"/>
        </w:rPr>
      </w:pPr>
    </w:p>
    <w:p w:rsidR="00A5411F" w:rsidRPr="009C0EDE" w:rsidRDefault="00A5411F" w:rsidP="00A5411F">
      <w:pPr>
        <w:rPr>
          <w:rFonts w:eastAsia="Calibri" w:cs="Arial"/>
          <w:u w:val="single"/>
        </w:rPr>
      </w:pPr>
      <w:r w:rsidRPr="009C0EDE">
        <w:rPr>
          <w:u w:val="single"/>
        </w:rPr>
        <w:t>ТРАНСПОРТ</w:t>
      </w:r>
    </w:p>
    <w:p w:rsidR="00A5411F" w:rsidRPr="009C0EDE" w:rsidRDefault="00A5411F" w:rsidP="00A5411F">
      <w:pPr>
        <w:rPr>
          <w:rFonts w:eastAsia="Calibri" w:cs="Arial"/>
          <w:u w:val="single"/>
        </w:rPr>
      </w:pPr>
    </w:p>
    <w:p w:rsidR="00003811" w:rsidRPr="009C0EDE" w:rsidRDefault="00003811" w:rsidP="00A5411F">
      <w:pPr>
        <w:rPr>
          <w:rFonts w:eastAsia="Calibri" w:cs="Arial"/>
          <w:u w:val="single"/>
        </w:rPr>
      </w:pPr>
    </w:p>
    <w:p w:rsidR="00A5411F" w:rsidRPr="009C0EDE" w:rsidRDefault="00A5411F" w:rsidP="00A5411F">
      <w:pPr>
        <w:rPr>
          <w:rFonts w:eastAsia="Calibri" w:cs="Arial"/>
          <w:u w:val="single"/>
        </w:rPr>
      </w:pPr>
      <w:r w:rsidRPr="009C0EDE">
        <w:rPr>
          <w:u w:val="single"/>
        </w:rPr>
        <w:t>Сухопътен транспорт</w:t>
      </w:r>
    </w:p>
    <w:p w:rsidR="00A5411F" w:rsidRPr="009C0EDE" w:rsidRDefault="00A5411F" w:rsidP="00A5411F">
      <w:pPr>
        <w:rPr>
          <w:rFonts w:eastAsia="Calibri" w:cs="Arial"/>
          <w:u w:val="single"/>
        </w:rPr>
      </w:pPr>
    </w:p>
    <w:p w:rsidR="00A5411F" w:rsidRPr="009C0EDE" w:rsidRDefault="00A5411F" w:rsidP="00A5411F">
      <w:pPr>
        <w:rPr>
          <w:rFonts w:eastAsia="Calibri" w:cs="Arial"/>
        </w:rPr>
      </w:pPr>
    </w:p>
    <w:p w:rsidR="00A5411F" w:rsidRPr="009C0EDE" w:rsidRDefault="00A5411F" w:rsidP="00A5411F">
      <w:pPr>
        <w:pStyle w:val="PointManual"/>
        <w:rPr>
          <w:rFonts w:eastAsia="Calibri"/>
        </w:rPr>
      </w:pPr>
      <w:r w:rsidRPr="009C0EDE">
        <w:t>4.</w:t>
      </w:r>
      <w:r w:rsidRPr="009C0EDE">
        <w:tab/>
        <w:t xml:space="preserve">Социални аспекти на автомобилния транспорт </w:t>
      </w:r>
    </w:p>
    <w:p w:rsidR="00CA3BB8" w:rsidRPr="009C0EDE" w:rsidRDefault="00A5411F" w:rsidP="00E84C52">
      <w:pPr>
        <w:pStyle w:val="Dash1"/>
        <w:numPr>
          <w:ilvl w:val="0"/>
          <w:numId w:val="1"/>
        </w:numPr>
        <w:rPr>
          <w:rFonts w:eastAsia="Calibri"/>
        </w:rPr>
      </w:pPr>
      <w:proofErr w:type="spellStart"/>
      <w:r w:rsidRPr="009C0EDE">
        <w:t>Ориентационен</w:t>
      </w:r>
      <w:proofErr w:type="spellEnd"/>
      <w:r w:rsidRPr="009C0EDE">
        <w:t xml:space="preserve"> дебат</w:t>
      </w:r>
    </w:p>
    <w:p w:rsidR="00A5411F" w:rsidRPr="009C0EDE" w:rsidRDefault="00A5411F" w:rsidP="00CA3BB8">
      <w:pPr>
        <w:pStyle w:val="Text2"/>
        <w:rPr>
          <w:rFonts w:eastAsia="Calibri"/>
        </w:rPr>
      </w:pPr>
      <w:r w:rsidRPr="009C0EDE">
        <w:t>(открит дебат съгласно член 8, параграф 2 от Процедурния правилник на Съвета [по предложение на председателството])</w:t>
      </w:r>
    </w:p>
    <w:p w:rsidR="00A5411F" w:rsidRPr="009C0EDE" w:rsidRDefault="001A1F69" w:rsidP="00976C6C">
      <w:pPr>
        <w:pStyle w:val="Text3"/>
        <w:rPr>
          <w:rFonts w:eastAsia="Calibri"/>
        </w:rPr>
      </w:pPr>
      <w:r w:rsidRPr="009C0EDE">
        <w:t>14217/2/15 TRANS 365 EMPL 440 REV 2</w:t>
      </w:r>
    </w:p>
    <w:p w:rsidR="00A5411F" w:rsidRPr="009C0EDE" w:rsidRDefault="00A5411F" w:rsidP="00A5411F">
      <w:pPr>
        <w:rPr>
          <w:rFonts w:eastAsia="Calibri" w:cs="Arial"/>
          <w:b/>
          <w:bCs/>
          <w:u w:val="single"/>
        </w:rPr>
      </w:pPr>
    </w:p>
    <w:p w:rsidR="00003811" w:rsidRPr="009C0EDE" w:rsidRDefault="00003811" w:rsidP="00A5411F">
      <w:pPr>
        <w:rPr>
          <w:rFonts w:eastAsia="Calibri" w:cs="Arial"/>
          <w:b/>
          <w:bCs/>
          <w:u w:val="single"/>
        </w:rPr>
      </w:pPr>
    </w:p>
    <w:p w:rsidR="00A5411F" w:rsidRPr="009C0EDE" w:rsidRDefault="00A5411F" w:rsidP="00A5411F">
      <w:pPr>
        <w:rPr>
          <w:rFonts w:eastAsia="Calibri" w:cs="Arial"/>
          <w:b/>
          <w:bCs/>
        </w:rPr>
      </w:pPr>
      <w:r w:rsidRPr="009C0EDE">
        <w:rPr>
          <w:b/>
          <w:u w:val="single"/>
        </w:rPr>
        <w:t>Други въпроси</w:t>
      </w:r>
      <w:r w:rsidRPr="009C0EDE">
        <w:rPr>
          <w:b/>
        </w:rPr>
        <w:t xml:space="preserve"> </w:t>
      </w:r>
    </w:p>
    <w:p w:rsidR="00A5411F" w:rsidRPr="009C0EDE" w:rsidRDefault="00A5411F" w:rsidP="00A5411F">
      <w:pPr>
        <w:rPr>
          <w:rFonts w:eastAsia="Calibri" w:cs="Arial"/>
        </w:rPr>
      </w:pPr>
    </w:p>
    <w:p w:rsidR="00A5411F" w:rsidRPr="009C0EDE" w:rsidRDefault="00A5411F" w:rsidP="00942D55">
      <w:pPr>
        <w:pStyle w:val="PointDoubleManual"/>
        <w:rPr>
          <w:rFonts w:eastAsia="Calibri"/>
          <w:iCs/>
        </w:rPr>
      </w:pPr>
      <w:r w:rsidRPr="009C0EDE">
        <w:t>5.</w:t>
      </w:r>
      <w:r w:rsidRPr="009C0EDE">
        <w:tab/>
        <w:t>а)</w:t>
      </w:r>
      <w:r w:rsidRPr="009C0EDE">
        <w:tab/>
        <w:t>Стратегия за въздухоплаването в Европа</w:t>
      </w:r>
    </w:p>
    <w:p w:rsidR="00A5411F" w:rsidRPr="009C0EDE" w:rsidRDefault="00A5411F" w:rsidP="00E84C52">
      <w:pPr>
        <w:pStyle w:val="Dash2"/>
        <w:numPr>
          <w:ilvl w:val="0"/>
          <w:numId w:val="2"/>
        </w:numPr>
        <w:rPr>
          <w:rFonts w:eastAsia="Calibri"/>
        </w:rPr>
      </w:pPr>
      <w:r w:rsidRPr="009C0EDE">
        <w:t>Представяне от Комисията</w:t>
      </w:r>
    </w:p>
    <w:p w:rsidR="00CA3BB8" w:rsidRPr="009C0EDE" w:rsidRDefault="00CA3BB8" w:rsidP="00A5411F">
      <w:pPr>
        <w:rPr>
          <w:rFonts w:eastAsia="Calibri" w:cs="Arial"/>
          <w:iCs/>
        </w:rPr>
      </w:pPr>
    </w:p>
    <w:p w:rsidR="00A5411F" w:rsidRPr="009C0EDE" w:rsidRDefault="00A5411F" w:rsidP="003D7CEC">
      <w:pPr>
        <w:pStyle w:val="Pointabc1"/>
        <w:rPr>
          <w:rFonts w:eastAsia="Calibri"/>
        </w:rPr>
      </w:pPr>
      <w:r w:rsidRPr="009C0EDE">
        <w:t>Резултати от разследването на катастрофата на полет MH17</w:t>
      </w:r>
    </w:p>
    <w:p w:rsidR="00A5411F" w:rsidRPr="009C0EDE" w:rsidRDefault="00A5411F" w:rsidP="00A5411F">
      <w:pPr>
        <w:pStyle w:val="Dash2"/>
        <w:rPr>
          <w:rFonts w:eastAsia="Calibri"/>
        </w:rPr>
      </w:pPr>
      <w:r w:rsidRPr="009C0EDE">
        <w:t>Информация от делегацията на Нидерландия</w:t>
      </w:r>
    </w:p>
    <w:p w:rsidR="00CA3BB8" w:rsidRPr="009C0EDE" w:rsidRDefault="00CA3BB8" w:rsidP="00A5411F">
      <w:pPr>
        <w:rPr>
          <w:rFonts w:eastAsia="Calibri" w:cs="Arial"/>
          <w:iCs/>
        </w:rPr>
      </w:pPr>
    </w:p>
    <w:p w:rsidR="004945F6" w:rsidRPr="009C0EDE" w:rsidRDefault="0038692F" w:rsidP="004945F6">
      <w:pPr>
        <w:pStyle w:val="Pointabc1"/>
        <w:rPr>
          <w:rFonts w:eastAsia="Calibri" w:cs="Arial"/>
        </w:rPr>
      </w:pPr>
      <w:r w:rsidRPr="009C0EDE">
        <w:t>Избори в Съвета на Международната организация за гражданско въздухоплаване (ИКАО) за 2016—2019 г.</w:t>
      </w:r>
    </w:p>
    <w:p w:rsidR="004945F6" w:rsidRPr="009C0EDE" w:rsidRDefault="004945F6" w:rsidP="004945F6">
      <w:pPr>
        <w:pStyle w:val="Dash2"/>
        <w:rPr>
          <w:rFonts w:eastAsia="Calibri"/>
        </w:rPr>
      </w:pPr>
      <w:r w:rsidRPr="009C0EDE">
        <w:t>Информация от делегациите на България, Кипър, Чехия, Гърция, Унгария, Литва, Полша, Румъния, Словения и Словакия</w:t>
      </w:r>
    </w:p>
    <w:p w:rsidR="004945F6" w:rsidRPr="009C0EDE" w:rsidRDefault="004945F6" w:rsidP="00A5411F">
      <w:pPr>
        <w:rPr>
          <w:rFonts w:eastAsia="Calibri" w:cs="Arial"/>
          <w:iCs/>
        </w:rPr>
      </w:pPr>
    </w:p>
    <w:p w:rsidR="00A5411F" w:rsidRPr="009C0EDE" w:rsidRDefault="00A5411F" w:rsidP="00A5411F">
      <w:pPr>
        <w:pStyle w:val="Pointabc1"/>
        <w:rPr>
          <w:rFonts w:eastAsia="Calibri" w:cs="Arial"/>
        </w:rPr>
      </w:pPr>
      <w:r w:rsidRPr="009C0EDE">
        <w:t>Актуално състояние във връзка с ратификацията на протокола от Люксембург към Конвенцията за международните гаранции по отношение на подвижното оборудване по специфични въпроси за железопътния подвижен състав</w:t>
      </w:r>
    </w:p>
    <w:p w:rsidR="00A5411F" w:rsidRPr="009C0EDE" w:rsidRDefault="00A5411F" w:rsidP="00A5411F">
      <w:pPr>
        <w:pStyle w:val="Dash2"/>
        <w:rPr>
          <w:rFonts w:eastAsia="Calibri"/>
        </w:rPr>
      </w:pPr>
      <w:r w:rsidRPr="009C0EDE">
        <w:t>Информация от председателството</w:t>
      </w:r>
      <w:r w:rsidRPr="009C0EDE">
        <w:tab/>
      </w:r>
    </w:p>
    <w:p w:rsidR="00CA3BB8" w:rsidRPr="009C0EDE" w:rsidRDefault="00CA3BB8" w:rsidP="00A5411F">
      <w:pPr>
        <w:rPr>
          <w:rFonts w:eastAsia="Calibri" w:cs="Arial"/>
        </w:rPr>
      </w:pPr>
    </w:p>
    <w:p w:rsidR="003C1881" w:rsidRPr="009C0EDE" w:rsidRDefault="001E62F5">
      <w:pPr>
        <w:pStyle w:val="Pointabc1"/>
        <w:rPr>
          <w:rFonts w:eastAsia="Calibri" w:cs="Arial"/>
        </w:rPr>
      </w:pPr>
      <w:r w:rsidRPr="009C0EDE">
        <w:t xml:space="preserve">Сигурност на транспорта </w:t>
      </w:r>
    </w:p>
    <w:p w:rsidR="00392B2F" w:rsidRPr="009C0EDE" w:rsidRDefault="00392B2F">
      <w:pPr>
        <w:pStyle w:val="Dash2"/>
        <w:rPr>
          <w:rFonts w:eastAsia="Calibri" w:cs="Arial"/>
        </w:rPr>
      </w:pPr>
      <w:r w:rsidRPr="009C0EDE">
        <w:t>Информация от Комисията относно хода на работата по искане на делегацията на Франция</w:t>
      </w:r>
    </w:p>
    <w:p w:rsidR="003C1881" w:rsidRPr="009C0EDE" w:rsidRDefault="003C1881" w:rsidP="00A5411F">
      <w:pPr>
        <w:rPr>
          <w:rFonts w:eastAsia="Calibri" w:cs="Arial"/>
        </w:rPr>
      </w:pPr>
    </w:p>
    <w:p w:rsidR="00A5411F" w:rsidRPr="009C0EDE" w:rsidRDefault="00A5411F" w:rsidP="00A5411F">
      <w:pPr>
        <w:pStyle w:val="Pointabc1"/>
        <w:rPr>
          <w:rFonts w:eastAsia="Calibri" w:cs="Arial"/>
        </w:rPr>
      </w:pPr>
      <w:r w:rsidRPr="009C0EDE">
        <w:t>Работна програма на предстоящото председателство</w:t>
      </w:r>
    </w:p>
    <w:p w:rsidR="00A5411F" w:rsidRPr="009C0EDE" w:rsidRDefault="00A5411F" w:rsidP="00A5411F">
      <w:pPr>
        <w:pStyle w:val="Dash2"/>
        <w:rPr>
          <w:rFonts w:eastAsia="Calibri"/>
        </w:rPr>
      </w:pPr>
      <w:r w:rsidRPr="009C0EDE">
        <w:t>Информация от делегацията на Нидерландия</w:t>
      </w:r>
    </w:p>
    <w:p w:rsidR="00AC5474" w:rsidRPr="009C0EDE" w:rsidRDefault="00AC5474" w:rsidP="00AC5474">
      <w:pPr>
        <w:rPr>
          <w:rFonts w:eastAsia="Calibri"/>
        </w:rPr>
      </w:pPr>
    </w:p>
    <w:p w:rsidR="00CA3BB8" w:rsidRPr="009C0EDE" w:rsidRDefault="00A5411F" w:rsidP="00A5411F">
      <w:pPr>
        <w:rPr>
          <w:u w:val="single"/>
        </w:rPr>
      </w:pPr>
      <w:r w:rsidRPr="009C0EDE">
        <w:br w:type="page"/>
      </w:r>
    </w:p>
    <w:p w:rsidR="00A5411F" w:rsidRPr="009C0EDE" w:rsidRDefault="00A5411F" w:rsidP="00A5411F">
      <w:pPr>
        <w:rPr>
          <w:b/>
          <w:bCs/>
          <w:u w:val="single"/>
        </w:rPr>
      </w:pPr>
      <w:r w:rsidRPr="009C0EDE">
        <w:rPr>
          <w:b/>
          <w:u w:val="single"/>
        </w:rPr>
        <w:t>ЗАСЕДАНИЕ В ПЕТЪК, 11 ДЕКЕМВРИ 2015 г. (10,00 ч.)</w:t>
      </w:r>
    </w:p>
    <w:p w:rsidR="00A5411F" w:rsidRPr="009C0EDE" w:rsidRDefault="00A5411F" w:rsidP="00A5411F">
      <w:pPr>
        <w:rPr>
          <w:u w:val="single"/>
        </w:rPr>
      </w:pPr>
    </w:p>
    <w:p w:rsidR="00CA3BB8" w:rsidRPr="009C0EDE" w:rsidRDefault="00CA3BB8" w:rsidP="00A5411F">
      <w:pPr>
        <w:rPr>
          <w:u w:val="single"/>
        </w:rPr>
      </w:pPr>
    </w:p>
    <w:p w:rsidR="00CA3BB8" w:rsidRPr="009C0EDE" w:rsidRDefault="00CA3BB8" w:rsidP="00A5411F">
      <w:pPr>
        <w:rPr>
          <w:u w:val="single"/>
        </w:rPr>
      </w:pPr>
    </w:p>
    <w:p w:rsidR="00A5411F" w:rsidRPr="009C0EDE" w:rsidRDefault="00A5411F" w:rsidP="00A5411F">
      <w:pPr>
        <w:rPr>
          <w:u w:val="single"/>
        </w:rPr>
      </w:pPr>
      <w:r w:rsidRPr="009C0EDE">
        <w:rPr>
          <w:u w:val="single"/>
        </w:rPr>
        <w:t>ТЕЛЕКОМУНИКАЦИИ</w:t>
      </w:r>
    </w:p>
    <w:p w:rsidR="00A5411F" w:rsidRPr="009C0EDE" w:rsidRDefault="00A5411F" w:rsidP="00A5411F">
      <w:pPr>
        <w:rPr>
          <w:color w:val="000000"/>
          <w:u w:val="single"/>
        </w:rPr>
      </w:pPr>
    </w:p>
    <w:p w:rsidR="00A5411F" w:rsidRPr="009C0EDE" w:rsidRDefault="00A5411F" w:rsidP="00A5411F">
      <w:pPr>
        <w:rPr>
          <w:color w:val="000000"/>
          <w:u w:val="single"/>
        </w:rPr>
      </w:pPr>
    </w:p>
    <w:p w:rsidR="00A5411F" w:rsidRPr="009C0EDE" w:rsidRDefault="00A5411F" w:rsidP="00A5411F">
      <w:pPr>
        <w:rPr>
          <w:b/>
          <w:bCs/>
        </w:rPr>
      </w:pPr>
      <w:r w:rsidRPr="009C0EDE">
        <w:rPr>
          <w:b/>
          <w:u w:val="single"/>
        </w:rPr>
        <w:t>Обсъждания на законодателни актове</w:t>
      </w:r>
    </w:p>
    <w:p w:rsidR="00A5411F" w:rsidRPr="009C0EDE" w:rsidRDefault="00A5411F" w:rsidP="00A5411F">
      <w:pPr>
        <w:rPr>
          <w:b/>
          <w:bCs/>
        </w:rPr>
      </w:pPr>
      <w:r w:rsidRPr="009C0EDE">
        <w:rPr>
          <w:b/>
        </w:rPr>
        <w:t>(открито обсъждане съгласно член 16, параграф 8 от Договора за Европейския съюз)</w:t>
      </w:r>
    </w:p>
    <w:p w:rsidR="00A5411F" w:rsidRPr="009C0EDE" w:rsidRDefault="00A5411F" w:rsidP="00A5411F"/>
    <w:p w:rsidR="00A5411F" w:rsidRPr="009C0EDE" w:rsidRDefault="00A5411F" w:rsidP="00A5411F"/>
    <w:p w:rsidR="00A5411F" w:rsidRPr="009C0EDE" w:rsidRDefault="00A5411F" w:rsidP="00A5411F">
      <w:pPr>
        <w:pStyle w:val="PointManual"/>
      </w:pPr>
      <w:r w:rsidRPr="009C0EDE">
        <w:t>6.</w:t>
      </w:r>
      <w:r w:rsidRPr="009C0EDE">
        <w:tab/>
        <w:t xml:space="preserve">Предложение за директива на Европейския парламент и на Съвета относно достъпността на уебсайтовете на органите от обществения сектор </w:t>
      </w:r>
      <w:r w:rsidRPr="009C0EDE">
        <w:rPr>
          <w:b/>
        </w:rPr>
        <w:t>(първо четене) (*)</w:t>
      </w:r>
    </w:p>
    <w:p w:rsidR="00190AFB" w:rsidRPr="009C0EDE" w:rsidRDefault="00190AFB" w:rsidP="00190AFB">
      <w:pPr>
        <w:pStyle w:val="Text1"/>
      </w:pPr>
      <w:r w:rsidRPr="009C0EDE">
        <w:t>(правно основание, предложено от Комисията: член 114.1 от ДФЕС)</w:t>
      </w:r>
    </w:p>
    <w:p w:rsidR="00A5411F" w:rsidRPr="009C0EDE" w:rsidRDefault="00A5411F" w:rsidP="00E84C52">
      <w:pPr>
        <w:pStyle w:val="Text1"/>
      </w:pPr>
      <w:r w:rsidRPr="009C0EDE">
        <w:t>Междуинституционално досие: 2012/0340 (COD)</w:t>
      </w:r>
    </w:p>
    <w:p w:rsidR="00A5411F" w:rsidRPr="009C0EDE" w:rsidRDefault="00A5411F" w:rsidP="00A5411F">
      <w:pPr>
        <w:pStyle w:val="Dash1"/>
      </w:pPr>
      <w:r w:rsidRPr="009C0EDE">
        <w:t>Доклад на председателството за напредъка</w:t>
      </w:r>
    </w:p>
    <w:p w:rsidR="00C35DD3" w:rsidRPr="009C0EDE" w:rsidRDefault="00C35DD3" w:rsidP="00C35DD3">
      <w:pPr>
        <w:pStyle w:val="Text3"/>
      </w:pPr>
      <w:r w:rsidRPr="009C0EDE">
        <w:t>14164/15 TELECOM 212 CONSOM 192 MI 725 CODEC 1522</w:t>
      </w:r>
    </w:p>
    <w:p w:rsidR="00A5411F" w:rsidRPr="009C0EDE" w:rsidRDefault="00A5411F" w:rsidP="00A5411F"/>
    <w:p w:rsidR="00C35DD3" w:rsidRPr="009C0EDE" w:rsidRDefault="00C35DD3" w:rsidP="00A5411F"/>
    <w:p w:rsidR="00CA3BB8" w:rsidRPr="009C0EDE" w:rsidRDefault="00CA3BB8" w:rsidP="00A5411F"/>
    <w:p w:rsidR="00A5411F" w:rsidRPr="009C0EDE" w:rsidRDefault="00A5411F" w:rsidP="00190AFB">
      <w:pPr>
        <w:pStyle w:val="PointManual"/>
      </w:pPr>
      <w:r w:rsidRPr="009C0EDE">
        <w:t>7.</w:t>
      </w:r>
      <w:r w:rsidRPr="009C0EDE">
        <w:tab/>
        <w:t xml:space="preserve">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 </w:t>
      </w:r>
      <w:r w:rsidRPr="009C0EDE">
        <w:rPr>
          <w:b/>
        </w:rPr>
        <w:t>(първо четене) (*)</w:t>
      </w:r>
    </w:p>
    <w:p w:rsidR="00190AFB" w:rsidRPr="009C0EDE" w:rsidRDefault="00190AFB" w:rsidP="00190AFB">
      <w:pPr>
        <w:pStyle w:val="Text1"/>
      </w:pPr>
      <w:r w:rsidRPr="009C0EDE">
        <w:t>(правно основание, предложено от Комисията: член 114.1 от ДФЕС)</w:t>
      </w:r>
    </w:p>
    <w:p w:rsidR="00A5411F" w:rsidRPr="009C0EDE" w:rsidRDefault="00A5411F" w:rsidP="00E84C52">
      <w:pPr>
        <w:pStyle w:val="Text1"/>
      </w:pPr>
      <w:r w:rsidRPr="009C0EDE">
        <w:t>Междуинституционално досие: 2013/0027 (COD)</w:t>
      </w:r>
    </w:p>
    <w:p w:rsidR="00A5411F" w:rsidRPr="009C0EDE" w:rsidRDefault="00A5411F" w:rsidP="00C87A62">
      <w:pPr>
        <w:pStyle w:val="Dash1"/>
      </w:pPr>
      <w:r w:rsidRPr="009C0EDE">
        <w:t>Доклад на председателството за напредъка на тристранните срещи</w:t>
      </w:r>
    </w:p>
    <w:p w:rsidR="00C35DD3" w:rsidRPr="009C0EDE" w:rsidRDefault="00C35DD3" w:rsidP="00C35DD3">
      <w:pPr>
        <w:pStyle w:val="Text3"/>
      </w:pPr>
    </w:p>
    <w:p w:rsidR="00C35DD3" w:rsidRPr="009C0EDE" w:rsidRDefault="00C35DD3" w:rsidP="00C35DD3">
      <w:pPr>
        <w:pStyle w:val="Text5"/>
      </w:pPr>
    </w:p>
    <w:p w:rsidR="00A5411F" w:rsidRPr="009C0EDE" w:rsidRDefault="00A5411F" w:rsidP="00A5411F">
      <w:pPr>
        <w:rPr>
          <w:szCs w:val="32"/>
          <w:u w:val="single"/>
        </w:rPr>
      </w:pPr>
    </w:p>
    <w:p w:rsidR="00C35DD3" w:rsidRPr="009C0EDE" w:rsidRDefault="00C35DD3" w:rsidP="00A5411F">
      <w:pPr>
        <w:rPr>
          <w:szCs w:val="32"/>
          <w:u w:val="single"/>
        </w:rPr>
      </w:pPr>
    </w:p>
    <w:p w:rsidR="00CA3BB8" w:rsidRPr="009C0EDE" w:rsidRDefault="00CA3BB8" w:rsidP="00A5411F">
      <w:pPr>
        <w:rPr>
          <w:szCs w:val="32"/>
          <w:u w:val="single"/>
        </w:rPr>
      </w:pPr>
    </w:p>
    <w:p w:rsidR="00A5411F" w:rsidRPr="009C0EDE" w:rsidRDefault="00A5411F" w:rsidP="00A5411F">
      <w:pPr>
        <w:rPr>
          <w:b/>
          <w:bCs/>
          <w:szCs w:val="32"/>
          <w:u w:val="single"/>
        </w:rPr>
      </w:pPr>
      <w:r w:rsidRPr="009C0EDE">
        <w:rPr>
          <w:b/>
          <w:u w:val="single"/>
        </w:rPr>
        <w:t>Незаконодателни дейности</w:t>
      </w:r>
    </w:p>
    <w:p w:rsidR="00CA3BB8" w:rsidRPr="009C0EDE" w:rsidRDefault="00CA3BB8" w:rsidP="00A5411F">
      <w:pPr>
        <w:pStyle w:val="PointManual"/>
      </w:pPr>
    </w:p>
    <w:p w:rsidR="00A5411F" w:rsidRPr="009C0EDE" w:rsidRDefault="00A5411F" w:rsidP="00A5411F">
      <w:pPr>
        <w:pStyle w:val="PointManual"/>
      </w:pPr>
      <w:r w:rsidRPr="009C0EDE">
        <w:t>8.</w:t>
      </w:r>
      <w:r w:rsidRPr="009C0EDE">
        <w:tab/>
        <w:t>Преглед на регулаторната рамка на ЕС за електронни съобщителни мрежи и услуги</w:t>
      </w:r>
    </w:p>
    <w:p w:rsidR="00A5411F" w:rsidRPr="009C0EDE" w:rsidRDefault="00A5411F" w:rsidP="00A5411F">
      <w:pPr>
        <w:pStyle w:val="Dash1"/>
      </w:pPr>
      <w:proofErr w:type="spellStart"/>
      <w:r w:rsidRPr="009C0EDE">
        <w:t>Ориентационен</w:t>
      </w:r>
      <w:proofErr w:type="spellEnd"/>
      <w:r w:rsidRPr="009C0EDE">
        <w:t xml:space="preserve"> дебат14200/15 TELECOM 214 MI 727 COMPET 516 CONSOM 194 SOC 670 DATAPROTECT 202 AUDIO 32</w:t>
      </w:r>
    </w:p>
    <w:p w:rsidR="00A5411F" w:rsidRPr="009C0EDE" w:rsidRDefault="00A5411F" w:rsidP="00A5411F">
      <w:pPr>
        <w:rPr>
          <w:u w:val="single"/>
        </w:rPr>
      </w:pPr>
    </w:p>
    <w:p w:rsidR="00A5411F" w:rsidRPr="009C0EDE" w:rsidRDefault="00A5411F" w:rsidP="00A5411F"/>
    <w:p w:rsidR="00AC5474" w:rsidRPr="009C0EDE" w:rsidRDefault="00A5411F" w:rsidP="00A5411F">
      <w:pPr>
        <w:rPr>
          <w:b/>
          <w:bCs/>
          <w:u w:val="single"/>
        </w:rPr>
      </w:pPr>
      <w:r w:rsidRPr="009C0EDE">
        <w:br w:type="page"/>
      </w:r>
    </w:p>
    <w:p w:rsidR="00AC5474" w:rsidRPr="009C0EDE" w:rsidRDefault="00AC5474" w:rsidP="00A5411F">
      <w:pPr>
        <w:rPr>
          <w:b/>
          <w:bCs/>
          <w:u w:val="single"/>
        </w:rPr>
      </w:pPr>
    </w:p>
    <w:p w:rsidR="00A5411F" w:rsidRPr="009C0EDE" w:rsidRDefault="00A5411F" w:rsidP="00A5411F">
      <w:pPr>
        <w:rPr>
          <w:b/>
          <w:bCs/>
        </w:rPr>
      </w:pPr>
      <w:r w:rsidRPr="009C0EDE">
        <w:rPr>
          <w:b/>
          <w:u w:val="single"/>
        </w:rPr>
        <w:t>Други въпроси</w:t>
      </w:r>
    </w:p>
    <w:p w:rsidR="00A5411F" w:rsidRPr="009C0EDE" w:rsidRDefault="00A5411F" w:rsidP="00A5411F"/>
    <w:p w:rsidR="00A5411F" w:rsidRPr="009C0EDE" w:rsidRDefault="00A5411F" w:rsidP="00A5411F">
      <w:pPr>
        <w:pStyle w:val="PointManual"/>
        <w:rPr>
          <w:rFonts w:eastAsia="Calibri"/>
        </w:rPr>
      </w:pPr>
      <w:r w:rsidRPr="009C0EDE">
        <w:t>9.</w:t>
      </w:r>
      <w:r w:rsidRPr="009C0EDE">
        <w:tab/>
        <w:t>а)</w:t>
      </w:r>
      <w:r w:rsidRPr="009C0EDE">
        <w:tab/>
        <w:t xml:space="preserve">Управление на интернет </w:t>
      </w:r>
    </w:p>
    <w:p w:rsidR="00A5411F" w:rsidRPr="009C0EDE" w:rsidRDefault="00A5411F" w:rsidP="00A5411F">
      <w:pPr>
        <w:pStyle w:val="Dash2"/>
      </w:pPr>
      <w:r w:rsidRPr="009C0EDE">
        <w:t xml:space="preserve">Информация от Комисията </w:t>
      </w:r>
    </w:p>
    <w:p w:rsidR="00A5411F" w:rsidRPr="009C0EDE" w:rsidRDefault="00A5411F" w:rsidP="00CA3BB8"/>
    <w:p w:rsidR="00A5411F" w:rsidRPr="009C0EDE" w:rsidRDefault="00A5411F" w:rsidP="000F2A8B">
      <w:pPr>
        <w:pStyle w:val="Pointabc1"/>
        <w:numPr>
          <w:ilvl w:val="3"/>
          <w:numId w:val="3"/>
        </w:numPr>
      </w:pPr>
      <w:r w:rsidRPr="009C0EDE">
        <w:t>Трансатлантическо партньорство за търговия и инвестиции (ТПТИ):</w:t>
      </w:r>
    </w:p>
    <w:p w:rsidR="00A5411F" w:rsidRPr="009C0EDE" w:rsidRDefault="00A5411F" w:rsidP="00A5411F">
      <w:pPr>
        <w:pStyle w:val="Text2"/>
      </w:pPr>
      <w:r w:rsidRPr="009C0EDE">
        <w:t>преговори относно сектора на телекомуникациите/информационното общество</w:t>
      </w:r>
    </w:p>
    <w:p w:rsidR="00A5411F" w:rsidRPr="009C0EDE" w:rsidRDefault="00A5411F" w:rsidP="00A5411F">
      <w:pPr>
        <w:pStyle w:val="Dash2"/>
      </w:pPr>
      <w:r w:rsidRPr="009C0EDE">
        <w:t xml:space="preserve">Информация от Комисията </w:t>
      </w:r>
    </w:p>
    <w:p w:rsidR="00A5411F" w:rsidRPr="009C0EDE" w:rsidRDefault="00A5411F" w:rsidP="00CA3BB8"/>
    <w:p w:rsidR="00A5411F" w:rsidRPr="009C0EDE" w:rsidRDefault="00A5411F" w:rsidP="00190AFB">
      <w:pPr>
        <w:pStyle w:val="Pointabc1"/>
      </w:pPr>
      <w:r w:rsidRPr="009C0EDE">
        <w:t>Работна програма на предстоящото председателство</w:t>
      </w:r>
    </w:p>
    <w:p w:rsidR="00A5411F" w:rsidRPr="009C0EDE" w:rsidRDefault="00A5411F" w:rsidP="00A5411F">
      <w:pPr>
        <w:pStyle w:val="Dash2"/>
      </w:pPr>
      <w:r w:rsidRPr="009C0EDE">
        <w:t>Информация от делегацията на Нидерландия</w:t>
      </w:r>
    </w:p>
    <w:p w:rsidR="00A5411F" w:rsidRPr="009C0EDE" w:rsidRDefault="00A5411F" w:rsidP="00A5411F">
      <w:pPr>
        <w:rPr>
          <w:color w:val="000000"/>
        </w:rPr>
      </w:pPr>
    </w:p>
    <w:p w:rsidR="00A5411F" w:rsidRPr="009C0EDE" w:rsidRDefault="00A5411F" w:rsidP="00A5411F">
      <w:pPr>
        <w:rPr>
          <w:color w:val="000000"/>
        </w:rPr>
      </w:pPr>
    </w:p>
    <w:p w:rsidR="00190AFB" w:rsidRPr="009C0EDE" w:rsidRDefault="00190AFB" w:rsidP="00A5411F">
      <w:pPr>
        <w:rPr>
          <w:color w:val="000000"/>
        </w:rPr>
      </w:pPr>
    </w:p>
    <w:p w:rsidR="00190AFB" w:rsidRPr="009C0EDE" w:rsidRDefault="00190AFB" w:rsidP="00190AFB">
      <w:pPr>
        <w:rPr>
          <w:bCs/>
          <w:color w:val="000000"/>
          <w:u w:val="single"/>
        </w:rPr>
      </w:pPr>
    </w:p>
    <w:p w:rsidR="00190AFB" w:rsidRPr="009C0EDE" w:rsidRDefault="00190AFB" w:rsidP="00190AFB">
      <w:pPr>
        <w:rPr>
          <w:bCs/>
          <w:color w:val="000000"/>
        </w:rPr>
      </w:pPr>
      <w:r w:rsidRPr="009C0EDE">
        <w:rPr>
          <w:color w:val="000000"/>
        </w:rPr>
        <w:t>_______________________</w:t>
      </w:r>
    </w:p>
    <w:p w:rsidR="00190AFB" w:rsidRPr="009C0EDE" w:rsidRDefault="00190AFB" w:rsidP="00190AFB">
      <w:pPr>
        <w:rPr>
          <w:rFonts w:asciiTheme="majorBidi" w:hAnsiTheme="majorBidi" w:cstheme="majorBidi"/>
        </w:rPr>
      </w:pPr>
      <w:r w:rsidRPr="009C0EDE">
        <w:rPr>
          <w:rFonts w:asciiTheme="majorBidi" w:hAnsiTheme="majorBidi" w:cstheme="majorBidi"/>
        </w:rPr>
        <w:t>(*)</w:t>
      </w:r>
      <w:r w:rsidRPr="009C0EDE">
        <w:tab/>
      </w:r>
      <w:r w:rsidRPr="009C0EDE">
        <w:rPr>
          <w:rFonts w:asciiTheme="majorBidi" w:hAnsiTheme="majorBidi" w:cstheme="majorBidi"/>
        </w:rPr>
        <w:t>Точка, по която може да бъде поискано гласуване.</w:t>
      </w:r>
    </w:p>
    <w:p w:rsidR="00190AFB" w:rsidRPr="009C0EDE" w:rsidRDefault="00190AFB" w:rsidP="00A5411F">
      <w:pPr>
        <w:rPr>
          <w:color w:val="000000"/>
        </w:rPr>
      </w:pPr>
    </w:p>
    <w:p w:rsidR="00CA3BB8" w:rsidRPr="009C0EDE" w:rsidRDefault="00CA3BB8" w:rsidP="00CA3BB8"/>
    <w:p w:rsidR="00CA3BB8" w:rsidRPr="009C0EDE" w:rsidRDefault="00CA3BB8" w:rsidP="00CA3BB8">
      <w:pPr>
        <w:pStyle w:val="FinalLine"/>
      </w:pPr>
    </w:p>
    <w:p w:rsidR="00694FBF" w:rsidRPr="009C0EDE" w:rsidRDefault="004B7149" w:rsidP="004B7149">
      <w:pPr>
        <w:pStyle w:val="NB"/>
        <w:spacing w:before="1320"/>
      </w:pPr>
      <w:r w:rsidRPr="009C0EDE">
        <w:t>NB:</w:t>
      </w:r>
      <w:r w:rsidRPr="009C0EDE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9C0EDE">
        <w:t>protocole</w:t>
      </w:r>
      <w:proofErr w:type="spellEnd"/>
      <w:r w:rsidRPr="009C0EDE">
        <w:t>.</w:t>
      </w:r>
      <w:proofErr w:type="spellStart"/>
      <w:r w:rsidRPr="009C0EDE">
        <w:t>participants@consilium</w:t>
      </w:r>
      <w:proofErr w:type="spellEnd"/>
      <w:r w:rsidRPr="009C0EDE">
        <w:t>.</w:t>
      </w:r>
      <w:proofErr w:type="spellStart"/>
      <w:r w:rsidRPr="009C0EDE">
        <w:t>europa</w:t>
      </w:r>
      <w:proofErr w:type="spellEnd"/>
      <w:r w:rsidRPr="009C0EDE">
        <w:t>.</w:t>
      </w:r>
      <w:proofErr w:type="spellStart"/>
      <w:r w:rsidRPr="009C0EDE">
        <w:t>eu</w:t>
      </w:r>
      <w:proofErr w:type="spellEnd"/>
      <w:r w:rsidRPr="009C0EDE">
        <w:t>.</w:t>
      </w:r>
    </w:p>
    <w:p w:rsidR="00FC4670" w:rsidRPr="004B7149" w:rsidRDefault="004B7149" w:rsidP="004B7149">
      <w:pPr>
        <w:pStyle w:val="NB"/>
      </w:pPr>
      <w:r w:rsidRPr="009C0EDE">
        <w:t>NB:</w:t>
      </w:r>
      <w:r w:rsidRPr="009C0EDE">
        <w:tab/>
        <w:t xml:space="preserve">Делегатите, които </w:t>
      </w:r>
      <w:bookmarkStart w:id="1" w:name="_GoBack"/>
      <w:bookmarkEnd w:id="1"/>
      <w:r w:rsidRPr="009C0EDE">
        <w:t>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4B7149" w:rsidSect="009C0EDE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BF" w:rsidRDefault="00694FBF" w:rsidP="00694FBF">
      <w:r>
        <w:separator/>
      </w:r>
    </w:p>
  </w:endnote>
  <w:endnote w:type="continuationSeparator" w:id="0">
    <w:p w:rsidR="00694FBF" w:rsidRDefault="00694FBF" w:rsidP="0069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C0EDE" w:rsidRPr="00D94637" w:rsidTr="009C0ED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C0EDE" w:rsidRPr="00D94637" w:rsidRDefault="009C0ED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C0EDE" w:rsidRPr="00B310DC" w:rsidTr="009C0ED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C0EDE" w:rsidRPr="00AD7BF2" w:rsidRDefault="009C0EDE" w:rsidP="004F54B2">
          <w:pPr>
            <w:pStyle w:val="FooterText"/>
          </w:pPr>
          <w:r>
            <w:t>CM 4768/15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C0EDE" w:rsidRPr="00AD7BF2" w:rsidRDefault="009C0ED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C0EDE" w:rsidRPr="002511D8" w:rsidRDefault="009C0ED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C0EDE" w:rsidRPr="00B310DC" w:rsidRDefault="009C0ED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D7CEC">
            <w:rPr>
              <w:noProof/>
            </w:rPr>
            <w:t>4</w:t>
          </w:r>
          <w:r>
            <w:fldChar w:fldCharType="end"/>
          </w:r>
        </w:p>
      </w:tc>
    </w:tr>
    <w:tr w:rsidR="009C0EDE" w:rsidRPr="00D94637" w:rsidTr="009C0EDE">
      <w:trPr>
        <w:jc w:val="center"/>
      </w:trPr>
      <w:tc>
        <w:tcPr>
          <w:tcW w:w="1774" w:type="pct"/>
          <w:shd w:val="clear" w:color="auto" w:fill="auto"/>
        </w:tcPr>
        <w:p w:rsidR="009C0EDE" w:rsidRPr="00AD7BF2" w:rsidRDefault="009C0ED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C0EDE" w:rsidRPr="00AD7BF2" w:rsidRDefault="009C0ED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C0EDE" w:rsidRPr="00D94637" w:rsidRDefault="009C0ED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C0EDE" w:rsidRPr="00D94637" w:rsidRDefault="009C0ED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94FBF" w:rsidRPr="009C0EDE" w:rsidRDefault="00694FBF" w:rsidP="009C0ED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C0EDE" w:rsidRPr="00D94637" w:rsidTr="009C0ED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C0EDE" w:rsidRPr="00D94637" w:rsidRDefault="009C0ED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C0EDE" w:rsidRPr="00B310DC" w:rsidTr="009C0ED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C0EDE" w:rsidRPr="00AD7BF2" w:rsidRDefault="009C0EDE" w:rsidP="004F54B2">
          <w:pPr>
            <w:pStyle w:val="FooterText"/>
          </w:pPr>
          <w:r>
            <w:t>CM 4768/15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C0EDE" w:rsidRPr="00AD7BF2" w:rsidRDefault="009C0ED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C0EDE" w:rsidRPr="002511D8" w:rsidRDefault="009C0ED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C0EDE" w:rsidRPr="00B310DC" w:rsidRDefault="009C0ED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D7CEC">
            <w:rPr>
              <w:noProof/>
            </w:rPr>
            <w:t>1</w:t>
          </w:r>
          <w:r>
            <w:fldChar w:fldCharType="end"/>
          </w:r>
        </w:p>
      </w:tc>
    </w:tr>
    <w:tr w:rsidR="009C0EDE" w:rsidRPr="00D94637" w:rsidTr="009C0EDE">
      <w:trPr>
        <w:jc w:val="center"/>
      </w:trPr>
      <w:tc>
        <w:tcPr>
          <w:tcW w:w="1774" w:type="pct"/>
          <w:shd w:val="clear" w:color="auto" w:fill="auto"/>
        </w:tcPr>
        <w:p w:rsidR="009C0EDE" w:rsidRPr="00AD7BF2" w:rsidRDefault="009C0ED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C0EDE" w:rsidRPr="00AD7BF2" w:rsidRDefault="009C0ED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C0EDE" w:rsidRPr="00D94637" w:rsidRDefault="009C0ED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C0EDE" w:rsidRPr="00D94637" w:rsidRDefault="009C0ED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94FBF" w:rsidRPr="009C0EDE" w:rsidRDefault="00694FBF" w:rsidP="009C0ED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BF" w:rsidRDefault="00694FBF" w:rsidP="00694FBF">
      <w:r>
        <w:separator/>
      </w:r>
    </w:p>
  </w:footnote>
  <w:footnote w:type="continuationSeparator" w:id="0">
    <w:p w:rsidR="00694FBF" w:rsidRDefault="00694FBF" w:rsidP="0069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701E8784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2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cd011c61-c93d-484d-9597-aa7eb693400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6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0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2-11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94FBF"/>
    <w:rsid w:val="00003811"/>
    <w:rsid w:val="00010C1D"/>
    <w:rsid w:val="0009656C"/>
    <w:rsid w:val="00097E47"/>
    <w:rsid w:val="000F2A8B"/>
    <w:rsid w:val="00111440"/>
    <w:rsid w:val="00165755"/>
    <w:rsid w:val="00182F2F"/>
    <w:rsid w:val="00190AFB"/>
    <w:rsid w:val="001A1F69"/>
    <w:rsid w:val="001A5DE0"/>
    <w:rsid w:val="001C1958"/>
    <w:rsid w:val="001C28FC"/>
    <w:rsid w:val="001E62F5"/>
    <w:rsid w:val="00206C21"/>
    <w:rsid w:val="00213F1F"/>
    <w:rsid w:val="002A0070"/>
    <w:rsid w:val="002A2AE8"/>
    <w:rsid w:val="002F2045"/>
    <w:rsid w:val="0038692F"/>
    <w:rsid w:val="00392B2F"/>
    <w:rsid w:val="003A7358"/>
    <w:rsid w:val="003B0EF0"/>
    <w:rsid w:val="003C1881"/>
    <w:rsid w:val="003C6E8B"/>
    <w:rsid w:val="003D7CEC"/>
    <w:rsid w:val="00485524"/>
    <w:rsid w:val="004945F6"/>
    <w:rsid w:val="004B7149"/>
    <w:rsid w:val="004E4D08"/>
    <w:rsid w:val="005157F5"/>
    <w:rsid w:val="00631351"/>
    <w:rsid w:val="0063379B"/>
    <w:rsid w:val="0064340A"/>
    <w:rsid w:val="0065386B"/>
    <w:rsid w:val="00694FBF"/>
    <w:rsid w:val="006A38C5"/>
    <w:rsid w:val="006C1AD4"/>
    <w:rsid w:val="006E33E2"/>
    <w:rsid w:val="006F4741"/>
    <w:rsid w:val="0075756A"/>
    <w:rsid w:val="007C5717"/>
    <w:rsid w:val="00825503"/>
    <w:rsid w:val="00837326"/>
    <w:rsid w:val="008826F8"/>
    <w:rsid w:val="008C5583"/>
    <w:rsid w:val="00942D55"/>
    <w:rsid w:val="009544F9"/>
    <w:rsid w:val="00971478"/>
    <w:rsid w:val="009716A9"/>
    <w:rsid w:val="00976C6C"/>
    <w:rsid w:val="009C0EDE"/>
    <w:rsid w:val="00A10A38"/>
    <w:rsid w:val="00A469D7"/>
    <w:rsid w:val="00A5411F"/>
    <w:rsid w:val="00A83726"/>
    <w:rsid w:val="00AA1F85"/>
    <w:rsid w:val="00AC1723"/>
    <w:rsid w:val="00AC5474"/>
    <w:rsid w:val="00AF218C"/>
    <w:rsid w:val="00B7141E"/>
    <w:rsid w:val="00BB4A3A"/>
    <w:rsid w:val="00BE1373"/>
    <w:rsid w:val="00C35DD3"/>
    <w:rsid w:val="00C4083D"/>
    <w:rsid w:val="00C87A62"/>
    <w:rsid w:val="00CA3BB8"/>
    <w:rsid w:val="00D451E4"/>
    <w:rsid w:val="00D46ACB"/>
    <w:rsid w:val="00DE13BF"/>
    <w:rsid w:val="00E84C52"/>
    <w:rsid w:val="00EA727B"/>
    <w:rsid w:val="00EA7F47"/>
    <w:rsid w:val="00F15298"/>
    <w:rsid w:val="00F22509"/>
    <w:rsid w:val="00F672BA"/>
    <w:rsid w:val="00F713A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94F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94FB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94FB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94FBF"/>
  </w:style>
  <w:style w:type="paragraph" w:styleId="ListParagraph">
    <w:name w:val="List Paragraph"/>
    <w:basedOn w:val="Normal"/>
    <w:uiPriority w:val="34"/>
    <w:qFormat/>
    <w:rsid w:val="00A5411F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52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52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84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11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E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672B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2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2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2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2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2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2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2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2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2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94F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94FB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94FB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94FBF"/>
  </w:style>
  <w:style w:type="paragraph" w:styleId="ListParagraph">
    <w:name w:val="List Paragraph"/>
    <w:basedOn w:val="Normal"/>
    <w:uiPriority w:val="34"/>
    <w:qFormat/>
    <w:rsid w:val="00A5411F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52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52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84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11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E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672B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2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2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2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2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2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2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2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2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2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2B4B-0BAC-4925-98E6-3FBE976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456</Words>
  <Characters>2870</Characters>
  <Application>Microsoft Office Word</Application>
  <DocSecurity>0</DocSecurity>
  <Lines>130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3</cp:revision>
  <cp:lastPrinted>2015-11-25T15:18:00Z</cp:lastPrinted>
  <dcterms:created xsi:type="dcterms:W3CDTF">2015-11-26T18:49:00Z</dcterms:created>
  <dcterms:modified xsi:type="dcterms:W3CDTF">2015-11-26T18:51:00Z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