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C99" w:rsidRPr="009401ED" w:rsidRDefault="008145E8" w:rsidP="009401E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2de2702-0aeb-4b86-a074-8e45997e815a_0" style="width:568.5pt;height:489.75pt">
            <v:imagedata r:id="rId8" o:title=""/>
          </v:shape>
        </w:pict>
      </w:r>
      <w:bookmarkEnd w:id="0"/>
    </w:p>
    <w:p w:rsidR="00B30201" w:rsidRPr="00B6489B" w:rsidRDefault="00B30201" w:rsidP="0039007A">
      <w:pPr>
        <w:pStyle w:val="PointManual"/>
        <w:spacing w:before="360"/>
      </w:pPr>
    </w:p>
    <w:p w:rsidR="00AD43AF" w:rsidRPr="00B6489B" w:rsidRDefault="0039007A" w:rsidP="0039007A">
      <w:pPr>
        <w:pStyle w:val="PointManual"/>
        <w:spacing w:before="360"/>
      </w:pPr>
      <w:r w:rsidRPr="00B6489B">
        <w:t>-</w:t>
      </w:r>
      <w:r w:rsidRPr="00B6489B">
        <w:tab/>
        <w:t>Приемане на предварителния дневен ред</w:t>
      </w:r>
    </w:p>
    <w:p w:rsidR="004819D4" w:rsidRPr="00B6489B" w:rsidRDefault="004819D4" w:rsidP="00B30201">
      <w:pPr>
        <w:spacing w:before="480"/>
        <w:jc w:val="center"/>
        <w:rPr>
          <w:b/>
          <w:bCs/>
        </w:rPr>
      </w:pPr>
      <w:r w:rsidRPr="00B6489B">
        <w:rPr>
          <w:b/>
          <w:u w:val="single"/>
        </w:rPr>
        <w:t>Обсъждания на законодателни актове</w:t>
      </w:r>
    </w:p>
    <w:p w:rsidR="004819D4" w:rsidRPr="00B6489B" w:rsidRDefault="004819D4" w:rsidP="0039007A">
      <w:pPr>
        <w:jc w:val="center"/>
        <w:rPr>
          <w:b/>
          <w:bCs/>
        </w:rPr>
      </w:pPr>
      <w:r w:rsidRPr="00B6489B">
        <w:rPr>
          <w:b/>
        </w:rPr>
        <w:t>(открит дебат съгласно член 16, параграф 8 от Договора за Европейския съюз)</w:t>
      </w:r>
    </w:p>
    <w:p w:rsidR="004819D4" w:rsidRPr="00B6489B" w:rsidRDefault="0039007A" w:rsidP="0039007A">
      <w:pPr>
        <w:pStyle w:val="PointManual"/>
        <w:spacing w:before="360"/>
      </w:pPr>
      <w:r w:rsidRPr="00B6489B">
        <w:t>-</w:t>
      </w:r>
      <w:r w:rsidRPr="00B6489B">
        <w:tab/>
        <w:t xml:space="preserve">(евентуално) Одобряване на списъка на точки А </w:t>
      </w:r>
    </w:p>
    <w:p w:rsidR="004819D4" w:rsidRPr="00B6489B" w:rsidRDefault="0039007A" w:rsidP="0039007A">
      <w:pPr>
        <w:pStyle w:val="PointManual"/>
        <w:spacing w:before="360"/>
      </w:pPr>
      <w:r w:rsidRPr="00B6489B">
        <w:br w:type="page"/>
      </w:r>
      <w:r w:rsidRPr="00B6489B">
        <w:lastRenderedPageBreak/>
        <w:t>-</w:t>
      </w:r>
      <w:r w:rsidRPr="00B6489B">
        <w:tab/>
        <w:t>(евентуално) Секюритизации</w:t>
      </w:r>
    </w:p>
    <w:p w:rsidR="004819D4" w:rsidRPr="00B6489B" w:rsidRDefault="004819D4" w:rsidP="00A437F4">
      <w:pPr>
        <w:pStyle w:val="Dash1"/>
      </w:pPr>
      <w:r w:rsidRPr="00B6489B">
        <w:t>Предложение за регламент на Европейския парламент и на Съвета за определяне на общите правила за секюритизациите и въвеждане на европейска нормативна уредба на опростени, прозрачни и стандартизирани секюритизации, а също така и за изменение на директиви 2009/65/ЕО, 2009/138/ЕО, 2011/61/ЕС и регламенти (ЕО) № 1060/2009 и (ЕС) № 648/2012 и предложение за регламент на Европейския парламент и на Съвета за изменение на Регламент (ЕС) № 575/2013 на Европейския парламент и на Съвета относно пруденциалните изисквания за кредитните институции и инвестиционните посредници (първо четене)</w:t>
      </w:r>
    </w:p>
    <w:p w:rsidR="004819D4" w:rsidRPr="00B6489B" w:rsidRDefault="004819D4" w:rsidP="0039007A">
      <w:pPr>
        <w:pStyle w:val="DashEqual2"/>
      </w:pPr>
      <w:r w:rsidRPr="00B6489B">
        <w:t>Общ подход</w:t>
      </w:r>
    </w:p>
    <w:p w:rsidR="004819D4" w:rsidRPr="00B6489B" w:rsidRDefault="0039007A" w:rsidP="0039007A">
      <w:pPr>
        <w:pStyle w:val="PointManual"/>
        <w:spacing w:before="360"/>
        <w:rPr>
          <w:rFonts w:eastAsia="Calibri" w:cs="Arial"/>
          <w:szCs w:val="22"/>
        </w:rPr>
      </w:pPr>
      <w:r w:rsidRPr="00B6489B">
        <w:t>-</w:t>
      </w:r>
      <w:r w:rsidRPr="00B6489B">
        <w:tab/>
        <w:t>(евентуално) Допълване на банковия съюз</w:t>
      </w:r>
    </w:p>
    <w:p w:rsidR="004819D4" w:rsidRPr="00B6489B" w:rsidRDefault="004819D4" w:rsidP="00A437F4">
      <w:pPr>
        <w:pStyle w:val="Dash1"/>
        <w:rPr>
          <w:rFonts w:eastAsia="Calibri"/>
        </w:rPr>
      </w:pPr>
      <w:r w:rsidRPr="00B6489B">
        <w:t xml:space="preserve">Предложение за регламент на Европейския парламент и на Съвета за създаване на европейска схема за гарантиране на депозитите (известна като EDIS — European Deposit Insurance Scheme) и за изменение на Регламент (ЕС) № 806/2014 и на Директива 2014/49/ЕС </w:t>
      </w:r>
    </w:p>
    <w:p w:rsidR="004819D4" w:rsidRPr="00B6489B" w:rsidRDefault="004819D4" w:rsidP="00A437F4">
      <w:pPr>
        <w:pStyle w:val="Dash1"/>
        <w:rPr>
          <w:rFonts w:eastAsia="Calibri" w:cs="Arial"/>
          <w:szCs w:val="22"/>
        </w:rPr>
      </w:pPr>
      <w:r w:rsidRPr="00B6489B">
        <w:t xml:space="preserve">Съобщение на Комисията относно допълването на банковия съюз </w:t>
      </w:r>
    </w:p>
    <w:p w:rsidR="004819D4" w:rsidRPr="00B6489B" w:rsidRDefault="004819D4" w:rsidP="0039007A">
      <w:pPr>
        <w:pStyle w:val="DashEqual2"/>
        <w:rPr>
          <w:rFonts w:eastAsia="Calibri" w:cs="Arial"/>
          <w:szCs w:val="22"/>
        </w:rPr>
      </w:pPr>
      <w:r w:rsidRPr="00B6489B">
        <w:t>Представяне от Комисията и обмен на мнения</w:t>
      </w:r>
    </w:p>
    <w:p w:rsidR="004819D4" w:rsidRPr="00B6489B" w:rsidRDefault="0039007A" w:rsidP="0039007A">
      <w:pPr>
        <w:pStyle w:val="PointManual"/>
        <w:spacing w:before="360"/>
      </w:pPr>
      <w:r w:rsidRPr="00B6489B">
        <w:t>-</w:t>
      </w:r>
      <w:r w:rsidRPr="00B6489B">
        <w:tab/>
        <w:t>Засилено сътрудничество о областта на данъка върху финансовите сделки</w:t>
      </w:r>
    </w:p>
    <w:p w:rsidR="004819D4" w:rsidRPr="00B6489B" w:rsidRDefault="004819D4" w:rsidP="00A437F4">
      <w:pPr>
        <w:pStyle w:val="Dash1"/>
      </w:pPr>
      <w:r w:rsidRPr="00B6489B">
        <w:t>Предложение за директива на Съвета за въвеждане на засилено сътрудничество в областта на данъка върху финансовите сделки</w:t>
      </w:r>
    </w:p>
    <w:p w:rsidR="004819D4" w:rsidRPr="00B6489B" w:rsidRDefault="004819D4" w:rsidP="0039007A">
      <w:pPr>
        <w:pStyle w:val="DashEqual2"/>
      </w:pPr>
      <w:r w:rsidRPr="00B6489B">
        <w:t>Актуално състояние</w:t>
      </w:r>
    </w:p>
    <w:p w:rsidR="004819D4" w:rsidRPr="00B6489B" w:rsidRDefault="0039007A" w:rsidP="0039007A">
      <w:pPr>
        <w:pStyle w:val="PointManual"/>
        <w:spacing w:before="360"/>
      </w:pPr>
      <w:r w:rsidRPr="00B6489B">
        <w:t>-</w:t>
      </w:r>
      <w:r w:rsidRPr="00B6489B">
        <w:tab/>
        <w:t>Обща консолидирана основа за облагане с корпоративен данък (ОКООКД)</w:t>
      </w:r>
    </w:p>
    <w:p w:rsidR="004819D4" w:rsidRPr="00B6489B" w:rsidRDefault="004819D4" w:rsidP="00A437F4">
      <w:pPr>
        <w:pStyle w:val="Dash1"/>
      </w:pPr>
      <w:r w:rsidRPr="00B6489B">
        <w:t>Предложение за директива на Съвета относно обща консолидирана основа за облагане с корпоративен данък (ОКООКД)</w:t>
      </w:r>
    </w:p>
    <w:p w:rsidR="004819D4" w:rsidRPr="00B6489B" w:rsidRDefault="004819D4" w:rsidP="0039007A">
      <w:pPr>
        <w:pStyle w:val="DashEqual2"/>
      </w:pPr>
      <w:r w:rsidRPr="00B6489B">
        <w:t xml:space="preserve">Актуално състояние </w:t>
      </w:r>
    </w:p>
    <w:p w:rsidR="004819D4" w:rsidRPr="00B6489B" w:rsidRDefault="0039007A" w:rsidP="0039007A">
      <w:pPr>
        <w:pStyle w:val="PointManual"/>
        <w:spacing w:before="360"/>
      </w:pPr>
      <w:r w:rsidRPr="00B6489B">
        <w:t>-</w:t>
      </w:r>
      <w:r w:rsidRPr="00B6489B">
        <w:tab/>
        <w:t>Други въпроси</w:t>
      </w:r>
    </w:p>
    <w:p w:rsidR="004819D4" w:rsidRPr="00B6489B" w:rsidRDefault="004819D4" w:rsidP="00A437F4">
      <w:pPr>
        <w:pStyle w:val="Dash1"/>
      </w:pPr>
      <w:r w:rsidRPr="00B6489B">
        <w:t>Законодателни предложения в процес на разглеждане</w:t>
      </w:r>
    </w:p>
    <w:p w:rsidR="004819D4" w:rsidRPr="00B6489B" w:rsidRDefault="004819D4" w:rsidP="0039007A">
      <w:pPr>
        <w:pStyle w:val="DashEqual2"/>
      </w:pPr>
      <w:r w:rsidRPr="00B6489B">
        <w:t>Информация от председателството</w:t>
      </w:r>
    </w:p>
    <w:p w:rsidR="004819D4" w:rsidRPr="00B6489B" w:rsidRDefault="004819D4" w:rsidP="00A437F4">
      <w:pPr>
        <w:spacing w:before="240"/>
        <w:jc w:val="center"/>
        <w:rPr>
          <w:b/>
          <w:bCs/>
          <w:u w:val="single"/>
        </w:rPr>
      </w:pPr>
      <w:r w:rsidRPr="00B6489B">
        <w:br w:type="page"/>
      </w:r>
      <w:r w:rsidRPr="00B6489B">
        <w:rPr>
          <w:b/>
          <w:u w:val="single"/>
        </w:rPr>
        <w:lastRenderedPageBreak/>
        <w:t>Незаконодателни дейности</w:t>
      </w:r>
    </w:p>
    <w:p w:rsidR="004819D4" w:rsidRPr="00B6489B" w:rsidRDefault="00A437F4" w:rsidP="00EE7800">
      <w:pPr>
        <w:pStyle w:val="PointManual"/>
        <w:spacing w:before="360"/>
      </w:pPr>
      <w:r w:rsidRPr="00B6489B">
        <w:t>-</w:t>
      </w:r>
      <w:r w:rsidRPr="00B6489B">
        <w:tab/>
        <w:t xml:space="preserve">Одобряване на списъка на точки А </w:t>
      </w:r>
    </w:p>
    <w:p w:rsidR="004819D4" w:rsidRPr="00B6489B" w:rsidRDefault="00A437F4" w:rsidP="00A437F4">
      <w:pPr>
        <w:pStyle w:val="PointManual"/>
        <w:spacing w:before="360"/>
      </w:pPr>
      <w:r w:rsidRPr="00B6489B">
        <w:t>-</w:t>
      </w:r>
      <w:r w:rsidRPr="00B6489B">
        <w:tab/>
        <w:t>(евентуално) Доклад на Съвета по икономически и финансови въпроси до Европейския съвет относно данъчните въпроси</w:t>
      </w:r>
    </w:p>
    <w:p w:rsidR="004819D4" w:rsidRPr="00B6489B" w:rsidRDefault="004819D4" w:rsidP="00BA29C9">
      <w:pPr>
        <w:pStyle w:val="DashEqual1"/>
      </w:pPr>
      <w:r w:rsidRPr="00B6489B">
        <w:t>Одобряване</w:t>
      </w:r>
    </w:p>
    <w:p w:rsidR="004819D4" w:rsidRPr="00B6489B" w:rsidRDefault="00A437F4" w:rsidP="00A437F4">
      <w:pPr>
        <w:pStyle w:val="PointManual"/>
        <w:spacing w:before="360"/>
      </w:pPr>
      <w:r w:rsidRPr="00B6489B">
        <w:t>-</w:t>
      </w:r>
      <w:r w:rsidRPr="00B6489B">
        <w:tab/>
        <w:t>(евентуално) Доклад на министрите на финансите относно данъчните въпроси в рамките на пакта „Евро плюс“</w:t>
      </w:r>
    </w:p>
    <w:p w:rsidR="004819D4" w:rsidRPr="00B6489B" w:rsidRDefault="004819D4" w:rsidP="00BA29C9">
      <w:pPr>
        <w:pStyle w:val="DashEqual1"/>
      </w:pPr>
      <w:r w:rsidRPr="00B6489B">
        <w:t>Одобряване</w:t>
      </w:r>
    </w:p>
    <w:p w:rsidR="004819D4" w:rsidRPr="00B6489B" w:rsidRDefault="00A437F4" w:rsidP="00A437F4">
      <w:pPr>
        <w:pStyle w:val="PointManual"/>
        <w:spacing w:before="360"/>
      </w:pPr>
      <w:r w:rsidRPr="00B6489B">
        <w:t>-</w:t>
      </w:r>
      <w:r w:rsidRPr="00B6489B">
        <w:tab/>
        <w:t>(евентуално) Кодекс за поведение (Данъчно облагане на предприятия)</w:t>
      </w:r>
    </w:p>
    <w:p w:rsidR="004819D4" w:rsidRPr="00B6489B" w:rsidRDefault="004819D4" w:rsidP="00EE7800">
      <w:pPr>
        <w:pStyle w:val="Dash1"/>
      </w:pPr>
      <w:r w:rsidRPr="00B6489B">
        <w:t>Доклад до Съвета</w:t>
      </w:r>
    </w:p>
    <w:p w:rsidR="004819D4" w:rsidRPr="00B6489B" w:rsidRDefault="004819D4" w:rsidP="00BA29C9">
      <w:pPr>
        <w:pStyle w:val="DashEqual2"/>
      </w:pPr>
      <w:r w:rsidRPr="00B6489B">
        <w:t>Одобряване</w:t>
      </w:r>
    </w:p>
    <w:p w:rsidR="004819D4" w:rsidRPr="00B6489B" w:rsidRDefault="004819D4" w:rsidP="00EE7800">
      <w:pPr>
        <w:pStyle w:val="Dash1"/>
      </w:pPr>
      <w:r w:rsidRPr="00B6489B">
        <w:t>Проект за заключения на Съвета</w:t>
      </w:r>
    </w:p>
    <w:p w:rsidR="004819D4" w:rsidRPr="00B6489B" w:rsidRDefault="004819D4" w:rsidP="00BA29C9">
      <w:pPr>
        <w:pStyle w:val="DashEqual2"/>
      </w:pPr>
      <w:r w:rsidRPr="00B6489B">
        <w:t>Приемане</w:t>
      </w:r>
    </w:p>
    <w:p w:rsidR="004819D4" w:rsidRPr="00B6489B" w:rsidRDefault="00A437F4" w:rsidP="00A437F4">
      <w:pPr>
        <w:pStyle w:val="PointManual"/>
        <w:spacing w:before="360"/>
      </w:pPr>
      <w:r w:rsidRPr="00B6489B">
        <w:t>-</w:t>
      </w:r>
      <w:r w:rsidRPr="00B6489B">
        <w:tab/>
        <w:t>(евентуално) Бъдещето на Кодекса за поведение (Данъчно облагане на предприятия)</w:t>
      </w:r>
    </w:p>
    <w:p w:rsidR="004819D4" w:rsidRPr="00B6489B" w:rsidRDefault="004819D4" w:rsidP="00EE7800">
      <w:pPr>
        <w:pStyle w:val="Dash1"/>
      </w:pPr>
      <w:r w:rsidRPr="00B6489B">
        <w:t>Проект за заключения на Съвета</w:t>
      </w:r>
    </w:p>
    <w:p w:rsidR="004819D4" w:rsidRPr="00B6489B" w:rsidRDefault="004819D4" w:rsidP="00BA29C9">
      <w:pPr>
        <w:pStyle w:val="DashEqual2"/>
      </w:pPr>
      <w:r w:rsidRPr="00B6489B">
        <w:t>Приемане</w:t>
      </w:r>
    </w:p>
    <w:p w:rsidR="004819D4" w:rsidRPr="00B6489B" w:rsidRDefault="00A437F4" w:rsidP="00A437F4">
      <w:pPr>
        <w:pStyle w:val="PointManual"/>
        <w:spacing w:before="360"/>
      </w:pPr>
      <w:r w:rsidRPr="00B6489B">
        <w:t>-</w:t>
      </w:r>
      <w:r w:rsidRPr="00B6489B">
        <w:tab/>
        <w:t xml:space="preserve">(евентуално) Намаляване на данъчната основа и прехвърляне на печалби </w:t>
      </w:r>
    </w:p>
    <w:p w:rsidR="004819D4" w:rsidRPr="00B6489B" w:rsidRDefault="004819D4" w:rsidP="00EE7800">
      <w:pPr>
        <w:pStyle w:val="Dash1"/>
      </w:pPr>
      <w:r w:rsidRPr="00B6489B">
        <w:t>Проект за заключения на Съвета</w:t>
      </w:r>
    </w:p>
    <w:p w:rsidR="004819D4" w:rsidRPr="00B6489B" w:rsidRDefault="004819D4" w:rsidP="00BA29C9">
      <w:pPr>
        <w:pStyle w:val="DashEqual2"/>
      </w:pPr>
      <w:r w:rsidRPr="00B6489B">
        <w:t>Приемане</w:t>
      </w:r>
    </w:p>
    <w:p w:rsidR="004819D4" w:rsidRPr="00B6489B" w:rsidRDefault="004819D4" w:rsidP="00A437F4">
      <w:pPr>
        <w:pStyle w:val="PointManual"/>
        <w:spacing w:before="360"/>
      </w:pPr>
      <w:r w:rsidRPr="00B6489B">
        <w:t>-</w:t>
      </w:r>
      <w:r w:rsidRPr="00B6489B">
        <w:tab/>
        <w:t>Изграждане на банковия съюз</w:t>
      </w:r>
    </w:p>
    <w:p w:rsidR="004819D4" w:rsidRPr="00B6489B" w:rsidRDefault="004819D4" w:rsidP="00BA29C9">
      <w:pPr>
        <w:pStyle w:val="DashEqual1"/>
      </w:pPr>
      <w:r w:rsidRPr="00B6489B">
        <w:t>Информация за състоянието на имащите отношение досиета</w:t>
      </w:r>
    </w:p>
    <w:p w:rsidR="004819D4" w:rsidRPr="00B6489B" w:rsidRDefault="004819D4" w:rsidP="00A437F4">
      <w:pPr>
        <w:pStyle w:val="PointManual"/>
        <w:spacing w:before="360"/>
      </w:pPr>
      <w:r w:rsidRPr="00B6489B">
        <w:t>-</w:t>
      </w:r>
      <w:r w:rsidRPr="00B6489B">
        <w:tab/>
        <w:t>Европейски семестър</w:t>
      </w:r>
    </w:p>
    <w:p w:rsidR="004819D4" w:rsidRPr="00B6489B" w:rsidRDefault="004819D4" w:rsidP="00EE7800">
      <w:pPr>
        <w:pStyle w:val="Dash1"/>
      </w:pPr>
      <w:r w:rsidRPr="00B6489B">
        <w:t>Годишен обзор на растежа за 2016 г.</w:t>
      </w:r>
    </w:p>
    <w:p w:rsidR="004819D4" w:rsidRPr="00B6489B" w:rsidRDefault="004819D4" w:rsidP="00EE7800">
      <w:pPr>
        <w:pStyle w:val="Dash1"/>
      </w:pPr>
      <w:r w:rsidRPr="00B6489B">
        <w:t xml:space="preserve">Процедура при макроикономически дисбаланси — Доклад на Комисията за 2016 г. относно механизма за предупреждение </w:t>
      </w:r>
    </w:p>
    <w:p w:rsidR="004819D4" w:rsidRPr="00B6489B" w:rsidRDefault="004819D4" w:rsidP="00EE7800">
      <w:pPr>
        <w:pStyle w:val="Dash1"/>
      </w:pPr>
      <w:r w:rsidRPr="00B6489B">
        <w:t>Проект за препоръка на Съвета относно прилагането на общите насоки за икономическите политики на държавите членки, чиято парична единица е еврото</w:t>
      </w:r>
    </w:p>
    <w:p w:rsidR="004819D4" w:rsidRPr="00B6489B" w:rsidRDefault="004819D4" w:rsidP="00BA29C9">
      <w:pPr>
        <w:pStyle w:val="DashEqual2"/>
      </w:pPr>
      <w:r w:rsidRPr="00B6489B">
        <w:t>Представяне от Комисията и обмен на мнения</w:t>
      </w:r>
    </w:p>
    <w:p w:rsidR="004819D4" w:rsidRPr="00B6489B" w:rsidRDefault="00A437F4" w:rsidP="00A437F4">
      <w:pPr>
        <w:pStyle w:val="PointManual"/>
        <w:spacing w:before="360"/>
      </w:pPr>
      <w:r w:rsidRPr="00B6489B">
        <w:t>-</w:t>
      </w:r>
      <w:r w:rsidRPr="00B6489B">
        <w:tab/>
        <w:t>(евентуално) Обща позиция относно гъвкавостта в Пакта за стабилност и растеж</w:t>
      </w:r>
    </w:p>
    <w:p w:rsidR="004819D4" w:rsidRPr="00B6489B" w:rsidRDefault="004819D4" w:rsidP="00BA29C9">
      <w:pPr>
        <w:pStyle w:val="DashEqual1"/>
      </w:pPr>
      <w:r w:rsidRPr="00B6489B">
        <w:t>Одобряване</w:t>
      </w:r>
    </w:p>
    <w:p w:rsidR="004819D4" w:rsidRPr="00B6489B" w:rsidRDefault="00A437F4" w:rsidP="00A437F4">
      <w:pPr>
        <w:pStyle w:val="PointManual"/>
        <w:spacing w:before="360"/>
        <w:rPr>
          <w:rFonts w:eastAsia="Calibri" w:cs="Arial"/>
          <w:szCs w:val="22"/>
        </w:rPr>
      </w:pPr>
      <w:r w:rsidRPr="00B6489B">
        <w:t>-</w:t>
      </w:r>
      <w:r w:rsidRPr="00B6489B">
        <w:tab/>
        <w:t>Статистика</w:t>
      </w:r>
    </w:p>
    <w:p w:rsidR="004819D4" w:rsidRPr="00B6489B" w:rsidRDefault="004819D4" w:rsidP="00EE7800">
      <w:pPr>
        <w:pStyle w:val="Dash1"/>
        <w:rPr>
          <w:rFonts w:eastAsia="Calibri" w:cs="Arial"/>
          <w:szCs w:val="22"/>
        </w:rPr>
      </w:pPr>
      <w:r w:rsidRPr="00B6489B">
        <w:t>Статистика на ЕС</w:t>
      </w:r>
    </w:p>
    <w:p w:rsidR="004819D4" w:rsidRPr="00B6489B" w:rsidRDefault="004819D4" w:rsidP="00BA29C9">
      <w:pPr>
        <w:pStyle w:val="DashEqual2"/>
        <w:rPr>
          <w:rFonts w:eastAsia="Calibri"/>
        </w:rPr>
      </w:pPr>
      <w:r w:rsidRPr="00B6489B">
        <w:t xml:space="preserve">Заключения на Съвета </w:t>
      </w:r>
    </w:p>
    <w:p w:rsidR="004819D4" w:rsidRPr="00B6489B" w:rsidRDefault="004819D4" w:rsidP="00EE7800">
      <w:pPr>
        <w:pStyle w:val="Dash1"/>
        <w:rPr>
          <w:rFonts w:eastAsia="Calibri" w:cs="Arial"/>
          <w:szCs w:val="22"/>
        </w:rPr>
      </w:pPr>
      <w:r w:rsidRPr="00B6489B">
        <w:t xml:space="preserve">Прилагане на Кодекса на практиката </w:t>
      </w:r>
    </w:p>
    <w:p w:rsidR="004819D4" w:rsidRPr="00B6489B" w:rsidRDefault="004819D4" w:rsidP="00BA29C9">
      <w:pPr>
        <w:pStyle w:val="DashEqual2"/>
        <w:rPr>
          <w:rFonts w:eastAsia="Calibri" w:cs="Arial"/>
          <w:szCs w:val="22"/>
        </w:rPr>
      </w:pPr>
      <w:r w:rsidRPr="00B6489B">
        <w:t>Заключения на Съвета</w:t>
      </w:r>
    </w:p>
    <w:p w:rsidR="004819D4" w:rsidRPr="00B6489B" w:rsidRDefault="00F30FC1" w:rsidP="00A437F4">
      <w:pPr>
        <w:pStyle w:val="PointManual"/>
        <w:spacing w:before="360"/>
      </w:pPr>
      <w:r w:rsidRPr="00B6489B">
        <w:br w:type="page"/>
      </w:r>
      <w:r w:rsidRPr="00B6489B">
        <w:lastRenderedPageBreak/>
        <w:t>-</w:t>
      </w:r>
      <w:r w:rsidRPr="00B6489B">
        <w:tab/>
        <w:t xml:space="preserve">Годишен доклад на Европейската сметна палата за изпълнението на бюджета на Европейския съюз за финансовата 2014 година </w:t>
      </w:r>
    </w:p>
    <w:p w:rsidR="004819D4" w:rsidRPr="00B6489B" w:rsidRDefault="004819D4" w:rsidP="00BA29C9">
      <w:pPr>
        <w:pStyle w:val="DashEqual1"/>
      </w:pPr>
      <w:r w:rsidRPr="00B6489B">
        <w:t>Представяне и обмен на мнения</w:t>
      </w:r>
    </w:p>
    <w:p w:rsidR="004819D4" w:rsidRPr="00B6489B" w:rsidRDefault="00A437F4" w:rsidP="00167D26">
      <w:pPr>
        <w:pStyle w:val="PointManual"/>
        <w:spacing w:before="360"/>
      </w:pPr>
      <w:r w:rsidRPr="00B6489B">
        <w:t>-</w:t>
      </w:r>
      <w:r w:rsidRPr="00B6489B">
        <w:tab/>
        <w:t>Други въпроси</w:t>
      </w:r>
    </w:p>
    <w:p w:rsidR="00F23C9A" w:rsidRPr="00B6489B" w:rsidRDefault="00F23C9A" w:rsidP="00F23C9A">
      <w:pPr>
        <w:pStyle w:val="Dash1"/>
      </w:pPr>
      <w:r w:rsidRPr="00B6489B">
        <w:t>Борба с финансирането на тероризма</w:t>
      </w:r>
    </w:p>
    <w:p w:rsidR="00F23C9A" w:rsidRPr="00B6489B" w:rsidRDefault="00F23C9A" w:rsidP="00F23C9A">
      <w:pPr>
        <w:pStyle w:val="DashEqual2"/>
      </w:pPr>
      <w:r w:rsidRPr="00B6489B">
        <w:t>Представяне от Комисията на инициативите в областта на борбата с финансирането на тероризма и обмен на мнения</w:t>
      </w:r>
    </w:p>
    <w:p w:rsidR="00167D26" w:rsidRPr="00B6489B" w:rsidRDefault="00167D26" w:rsidP="00167D26">
      <w:pPr>
        <w:pStyle w:val="PointManual"/>
        <w:spacing w:before="360"/>
      </w:pPr>
    </w:p>
    <w:p w:rsidR="004819D4" w:rsidRPr="00B6489B" w:rsidRDefault="004819D4" w:rsidP="004819D4">
      <w:pPr>
        <w:rPr>
          <w:b/>
          <w:bCs/>
          <w:u w:val="single"/>
        </w:rPr>
      </w:pPr>
    </w:p>
    <w:p w:rsidR="00F30FC1" w:rsidRPr="00B6489B" w:rsidRDefault="00F30FC1" w:rsidP="004819D4">
      <w:pPr>
        <w:rPr>
          <w:b/>
          <w:bCs/>
          <w:u w:val="single"/>
        </w:rPr>
      </w:pPr>
    </w:p>
    <w:p w:rsidR="00F30FC1" w:rsidRPr="00B6489B" w:rsidRDefault="00F30FC1" w:rsidP="00F30FC1">
      <w:pPr>
        <w:pStyle w:val="NormalCentered"/>
      </w:pPr>
      <w:r w:rsidRPr="00B6489B">
        <w:t>°</w:t>
      </w:r>
    </w:p>
    <w:p w:rsidR="00F30FC1" w:rsidRPr="00B6489B" w:rsidRDefault="00F30FC1" w:rsidP="00F30FC1">
      <w:pPr>
        <w:pStyle w:val="NormalCentered"/>
      </w:pPr>
      <w:r w:rsidRPr="00B6489B">
        <w:t>°          °</w:t>
      </w:r>
    </w:p>
    <w:p w:rsidR="00F30FC1" w:rsidRPr="00B6489B" w:rsidRDefault="00F30FC1" w:rsidP="004819D4">
      <w:pPr>
        <w:rPr>
          <w:b/>
          <w:bCs/>
          <w:u w:val="single"/>
        </w:rPr>
      </w:pPr>
    </w:p>
    <w:p w:rsidR="004819D4" w:rsidRPr="00B6489B" w:rsidRDefault="004819D4" w:rsidP="004819D4">
      <w:pPr>
        <w:rPr>
          <w:b/>
          <w:bCs/>
          <w:u w:val="single"/>
        </w:rPr>
      </w:pPr>
      <w:r w:rsidRPr="00B6489B">
        <w:rPr>
          <w:b/>
          <w:u w:val="single"/>
        </w:rPr>
        <w:t>p.m.</w:t>
      </w:r>
    </w:p>
    <w:p w:rsidR="004819D4" w:rsidRPr="00B6489B" w:rsidRDefault="004819D4" w:rsidP="004819D4">
      <w:pPr>
        <w:rPr>
          <w:b/>
          <w:bCs/>
        </w:rPr>
      </w:pPr>
    </w:p>
    <w:p w:rsidR="004819D4" w:rsidRPr="00B6489B" w:rsidRDefault="004819D4" w:rsidP="004819D4">
      <w:pPr>
        <w:rPr>
          <w:b/>
          <w:bCs/>
          <w:u w:val="single"/>
        </w:rPr>
      </w:pPr>
      <w:r w:rsidRPr="00B6489B">
        <w:rPr>
          <w:b/>
          <w:u w:val="single"/>
        </w:rPr>
        <w:t>7 декември 2015 г., понеделник</w:t>
      </w:r>
    </w:p>
    <w:p w:rsidR="004819D4" w:rsidRPr="00B6489B" w:rsidRDefault="004819D4" w:rsidP="004819D4">
      <w:pPr>
        <w:rPr>
          <w:u w:val="single"/>
        </w:rPr>
      </w:pPr>
    </w:p>
    <w:p w:rsidR="004819D4" w:rsidRPr="00B6489B" w:rsidRDefault="004819D4" w:rsidP="004819D4">
      <w:r w:rsidRPr="00B6489B">
        <w:rPr>
          <w:b/>
        </w:rPr>
        <w:t>15,00 ч.</w:t>
      </w:r>
      <w:r w:rsidRPr="00B6489B">
        <w:tab/>
        <w:t>Еврогрупа</w:t>
      </w:r>
    </w:p>
    <w:p w:rsidR="004819D4" w:rsidRPr="00B6489B" w:rsidRDefault="004819D4" w:rsidP="004819D4"/>
    <w:p w:rsidR="00F30FC1" w:rsidRPr="00B6489B" w:rsidRDefault="00F30FC1" w:rsidP="004819D4">
      <w:pPr>
        <w:rPr>
          <w:b/>
          <w:bCs/>
          <w:u w:val="single"/>
        </w:rPr>
      </w:pPr>
    </w:p>
    <w:p w:rsidR="004819D4" w:rsidRPr="00B6489B" w:rsidRDefault="004819D4" w:rsidP="004819D4">
      <w:pPr>
        <w:rPr>
          <w:b/>
          <w:bCs/>
          <w:u w:val="single"/>
        </w:rPr>
      </w:pPr>
      <w:r w:rsidRPr="00B6489B">
        <w:rPr>
          <w:b/>
          <w:u w:val="single"/>
        </w:rPr>
        <w:t>8 декември 2015 г., вторник</w:t>
      </w:r>
    </w:p>
    <w:p w:rsidR="004819D4" w:rsidRPr="00B6489B" w:rsidRDefault="004819D4" w:rsidP="004819D4">
      <w:pPr>
        <w:rPr>
          <w:u w:val="single"/>
        </w:rPr>
      </w:pPr>
    </w:p>
    <w:p w:rsidR="004819D4" w:rsidRPr="00B6489B" w:rsidRDefault="004819D4" w:rsidP="004819D4">
      <w:r w:rsidRPr="00B6489B">
        <w:rPr>
          <w:b/>
        </w:rPr>
        <w:t>9,00 ч.</w:t>
      </w:r>
      <w:r w:rsidRPr="00B6489B">
        <w:tab/>
        <w:t>Работна закуска</w:t>
      </w:r>
    </w:p>
    <w:p w:rsidR="004819D4" w:rsidRPr="00B6489B" w:rsidRDefault="004819D4" w:rsidP="004819D4"/>
    <w:p w:rsidR="004819D4" w:rsidRPr="00B6489B" w:rsidRDefault="004819D4" w:rsidP="004819D4">
      <w:r w:rsidRPr="00B6489B">
        <w:rPr>
          <w:b/>
        </w:rPr>
        <w:t>10,00 ч.</w:t>
      </w:r>
      <w:r w:rsidRPr="00B6489B">
        <w:tab/>
        <w:t>Неформално заседание</w:t>
      </w:r>
    </w:p>
    <w:p w:rsidR="004819D4" w:rsidRPr="00B6489B" w:rsidRDefault="004819D4" w:rsidP="004819D4"/>
    <w:p w:rsidR="004819D4" w:rsidRPr="00B6489B" w:rsidRDefault="004819D4" w:rsidP="004819D4">
      <w:r w:rsidRPr="00B6489B">
        <w:rPr>
          <w:b/>
        </w:rPr>
        <w:t>10,15 ч.</w:t>
      </w:r>
      <w:r w:rsidRPr="00B6489B">
        <w:tab/>
        <w:t>Съвет (ECOFIN)</w:t>
      </w:r>
    </w:p>
    <w:p w:rsidR="00AC4218" w:rsidRPr="00B6489B" w:rsidRDefault="00AC4218" w:rsidP="004819D4"/>
    <w:p w:rsidR="00AC4218" w:rsidRPr="00B6489B" w:rsidRDefault="00AC4218" w:rsidP="00AC4218">
      <w:pPr>
        <w:pStyle w:val="FinalLine"/>
      </w:pPr>
    </w:p>
    <w:p w:rsidR="00AC4218" w:rsidRPr="009401ED" w:rsidRDefault="00F45D95" w:rsidP="00F45D95">
      <w:pPr>
        <w:pStyle w:val="NB"/>
        <w:rPr>
          <w:b/>
          <w:bCs/>
        </w:rPr>
      </w:pPr>
      <w:r w:rsidRPr="009401ED">
        <w:rPr>
          <w:b/>
          <w:bCs/>
        </w:rPr>
        <w:t>NB:</w:t>
      </w:r>
      <w:r w:rsidRPr="009401ED">
        <w:rPr>
          <w:b/>
          <w:bCs/>
        </w:rPr>
        <w:tab/>
        <w:t>Моля изпратете до служба „Протокол“ във възможно най-кратък срок списък на делегатите, които ще участват в заседанието, на адрес protocole.participants@consilium.europa.eu.</w:t>
      </w:r>
    </w:p>
    <w:p w:rsidR="00AC4218" w:rsidRPr="009401ED" w:rsidRDefault="00F45D95" w:rsidP="00F45D95">
      <w:pPr>
        <w:pStyle w:val="NB"/>
        <w:rPr>
          <w:b/>
          <w:bCs/>
        </w:rPr>
      </w:pPr>
      <w:r w:rsidRPr="009401ED">
        <w:rPr>
          <w:b/>
          <w:bCs/>
        </w:rPr>
        <w:t>NB:</w:t>
      </w:r>
      <w:r w:rsidRPr="009401ED">
        <w:rPr>
          <w:b/>
          <w:bCs/>
        </w:rPr>
        <w:tab/>
        <w:t>Делегатите, които се нуждаят от еднодневни служебни карти, за да посещават заседанията, следва да се запознаят с док. 14387/1/12 REV 1 във връзка с начина за получаването им.</w:t>
      </w:r>
    </w:p>
    <w:sectPr w:rsidR="00AC4218" w:rsidRPr="009401ED" w:rsidSect="008145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AB6" w:rsidRDefault="00416AB6" w:rsidP="00BE3C99">
      <w:r>
        <w:separator/>
      </w:r>
    </w:p>
  </w:endnote>
  <w:endnote w:type="continuationSeparator" w:id="0">
    <w:p w:rsidR="00416AB6" w:rsidRDefault="00416AB6" w:rsidP="00BE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8145E8" w:rsidRDefault="00DE59A3" w:rsidP="008145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145E8" w:rsidRPr="00D94637" w:rsidTr="008145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145E8" w:rsidRPr="00D94637" w:rsidRDefault="008145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8145E8" w:rsidRPr="00B310DC" w:rsidTr="008145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145E8" w:rsidRPr="00AD7BF2" w:rsidRDefault="008145E8" w:rsidP="004F54B2">
          <w:pPr>
            <w:pStyle w:val="FooterText"/>
          </w:pPr>
          <w:r>
            <w:t>CM 4743/15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145E8" w:rsidRPr="00AD7BF2" w:rsidRDefault="008145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145E8" w:rsidRPr="002511D8" w:rsidRDefault="008145E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145E8" w:rsidRPr="00B310DC" w:rsidRDefault="008145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</w:tr>
    <w:tr w:rsidR="008145E8" w:rsidRPr="00D94637" w:rsidTr="008145E8">
      <w:trPr>
        <w:jc w:val="center"/>
      </w:trPr>
      <w:tc>
        <w:tcPr>
          <w:tcW w:w="1774" w:type="pct"/>
          <w:shd w:val="clear" w:color="auto" w:fill="auto"/>
        </w:tcPr>
        <w:p w:rsidR="008145E8" w:rsidRPr="00AD7BF2" w:rsidRDefault="008145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145E8" w:rsidRPr="00AD7BF2" w:rsidRDefault="008145E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145E8" w:rsidRPr="00D94637" w:rsidRDefault="008145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145E8" w:rsidRPr="00D94637" w:rsidRDefault="008145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BE3C99" w:rsidRPr="008145E8" w:rsidRDefault="00BE3C99" w:rsidP="008145E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8145E8" w:rsidRPr="00D94637" w:rsidTr="008145E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8145E8" w:rsidRPr="00D94637" w:rsidRDefault="008145E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8145E8" w:rsidRPr="00B310DC" w:rsidTr="008145E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8145E8" w:rsidRPr="00AD7BF2" w:rsidRDefault="008145E8" w:rsidP="004F54B2">
          <w:pPr>
            <w:pStyle w:val="FooterText"/>
          </w:pPr>
          <w:r>
            <w:t>CM 4743/15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8145E8" w:rsidRPr="00AD7BF2" w:rsidRDefault="008145E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8145E8" w:rsidRPr="002511D8" w:rsidRDefault="008145E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8145E8" w:rsidRPr="00B310DC" w:rsidRDefault="008145E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8145E8" w:rsidRPr="00D94637" w:rsidTr="008145E8">
      <w:trPr>
        <w:jc w:val="center"/>
      </w:trPr>
      <w:tc>
        <w:tcPr>
          <w:tcW w:w="1774" w:type="pct"/>
          <w:shd w:val="clear" w:color="auto" w:fill="auto"/>
        </w:tcPr>
        <w:p w:rsidR="008145E8" w:rsidRPr="00AD7BF2" w:rsidRDefault="008145E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8145E8" w:rsidRPr="00AD7BF2" w:rsidRDefault="008145E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8145E8" w:rsidRPr="00D94637" w:rsidRDefault="008145E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8145E8" w:rsidRPr="00D94637" w:rsidRDefault="008145E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BE3C99" w:rsidRPr="008145E8" w:rsidRDefault="00BE3C99" w:rsidP="008145E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AB6" w:rsidRDefault="00416AB6" w:rsidP="00BE3C99">
      <w:r>
        <w:separator/>
      </w:r>
    </w:p>
  </w:footnote>
  <w:footnote w:type="continuationSeparator" w:id="0">
    <w:p w:rsidR="00416AB6" w:rsidRDefault="00416AB6" w:rsidP="00BE3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8145E8" w:rsidRDefault="00DE59A3" w:rsidP="008145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8145E8" w:rsidRDefault="00DE59A3" w:rsidP="008145E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9A3" w:rsidRPr="008145E8" w:rsidRDefault="00DE59A3" w:rsidP="008145E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1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2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2"/>
  </w:num>
  <w:num w:numId="2">
    <w:abstractNumId w:val="19"/>
  </w:num>
  <w:num w:numId="3">
    <w:abstractNumId w:val="6"/>
  </w:num>
  <w:num w:numId="4">
    <w:abstractNumId w:val="15"/>
  </w:num>
  <w:num w:numId="5">
    <w:abstractNumId w:val="4"/>
  </w:num>
  <w:num w:numId="6">
    <w:abstractNumId w:val="20"/>
  </w:num>
  <w:num w:numId="7">
    <w:abstractNumId w:val="11"/>
  </w:num>
  <w:num w:numId="8">
    <w:abstractNumId w:val="13"/>
  </w:num>
  <w:num w:numId="9">
    <w:abstractNumId w:val="16"/>
  </w:num>
  <w:num w:numId="10">
    <w:abstractNumId w:val="10"/>
  </w:num>
  <w:num w:numId="11">
    <w:abstractNumId w:val="1"/>
  </w:num>
  <w:num w:numId="12">
    <w:abstractNumId w:val="17"/>
  </w:num>
  <w:num w:numId="13">
    <w:abstractNumId w:val="9"/>
  </w:num>
  <w:num w:numId="14">
    <w:abstractNumId w:val="5"/>
  </w:num>
  <w:num w:numId="15">
    <w:abstractNumId w:val="18"/>
  </w:num>
  <w:num w:numId="16">
    <w:abstractNumId w:val="7"/>
  </w:num>
  <w:num w:numId="17">
    <w:abstractNumId w:val="0"/>
  </w:num>
  <w:num w:numId="18">
    <w:abstractNumId w:val="2"/>
  </w:num>
  <w:num w:numId="19">
    <w:abstractNumId w:val="8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a2de2702-0aeb-4b86-a074-8e45997e815a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 /&gt;_x000d__x000a_  &lt;/metadata&gt;_x000d__x000a_  &lt;metadata key=&quot;md_UniqueHeading&quot;&gt;_x000d__x000a_    &lt;basicdatatype&gt;_x000d__x000a_      &lt;heading key=&quot;uh_07&quot;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48;&amp;#1047;&amp;#1042;&amp;#1045;&amp;#1057;&amp;#1058;&amp;#1048;&amp;#1045; &amp;#1047;&amp;#1040; &amp;#1047;&amp;#1040;&amp;#1057;&amp;#1045;&amp;#1044;&amp;#1040;&amp;#1053;&amp;#1048;&amp;#1045; &amp;#1048; 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3&quot; text=&quot;&amp;#1057;&amp;#1066;&amp;#1054;&amp;#1041;&amp;#1065;&amp;#1045;&amp;#1053;&amp;#1048;&amp;#1045;&quot; /&gt;_x000d__x000a_    &lt;/basicdatatype&gt;_x000d__x000a_  &lt;/metadata&gt;_x000d__x000a_  &lt;metadata key=&quot;md_DocumentType&quot; translate=&quot;fals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&amp;#1057;&amp;#1098;&amp;#1074;&amp;#1077;&amp;#1090; &amp;#1085;&amp;#1072; &amp;#1045;&amp;#1074;&amp;#1088;&amp;#1086;&amp;#1087;&amp;#1077;&amp;#1081;&amp;#1089;&amp;#1082;&amp;#1080;&amp;#1103; &amp;#1089;&amp;#1098;&amp;#1102;&amp;#1079; &amp;#1043;&amp;#1077;&amp;#1085;&amp;#1077;&amp;#1088;&amp;#1072;&amp;#1083;&amp;#1077;&amp;#1085; &amp;#1089;&amp;#1077;&amp;#1082;&amp;#1088;&amp;#1077;&amp;#1090;&amp;#1072;&amp;#1088;&amp;#1080;&amp;#1072;&amp;#1090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11-23&lt;/text&gt;_x000d__x000a_  &lt;/metadata&gt;_x000d__x000a_  &lt;metadata key=&quot;md_Prefix&quot; translate=&quot;false&quot;&gt;_x000d__x000a_    &lt;text&gt;CM&lt;/text&gt;_x000d__x000a_  &lt;/metadata&gt;_x000d__x000a_  &lt;metadata key=&quot;md_DocumentNumber&quot; translate=&quot;false&quot;&gt;_x000d__x000a_    &lt;text&gt;4743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/CONS&lt;/text&gt;_x000d__x000a_      &lt;text&gt;ECOFIN&lt;/text&gt;_x000d__x000a_    &lt;/textlist&gt;_x000d__x000a_  &lt;/metadata&gt;_x000d__x000a_  &lt;metadata key=&quot;md_Contact&quot; translate=&quot;false&quot;&gt;_x000d__x000a_    &lt;text&gt;M. Hans GILBERS_x000d__x000a_hans.gilbers@consilium.europa.eu&lt;/text&gt;_x000d__x000a_  &lt;/metadata&gt;_x000d__x000a_  &lt;metadata key=&quot;md_ContactPhoneFax&quot; translate=&quot;false&quot;&gt;_x000d__x000a_    &lt;text&gt;+32.2-281.9891/6685&lt;/text&gt;_x000d__x000a_  &lt;/metadata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5-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quot;&gt;&amp;lt;FlowDocument FontFamily=&quot;Arial Unicode MS&quot; FontSize=&quot;12&quot; PageWidth=&quot;329&quot; PagePadding=&quot;0,0,0,0&quot; AllowDrop=&quot;False&quot; xmlns=&quot;http://schemas.microsoft.com/winfx/2006/xaml/presentation&quot;&amp;gt;&amp;lt;Paragraph&amp;gt;&amp;lt;Run xml:lang=&quot;fr-be&quot;&amp;gt;34&amp;lt;/Run&amp;gt;&amp;lt;Run xml:lang=&quot;en-gb&quot;&amp;gt;35&amp;lt;/Run&amp;gt;&amp;lt;Run xml:lang=&quot;fr-be&quot;&amp;gt;-&amp;#1086;&amp;lt;/Run&amp;gt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#1048;&amp;#1082;&amp;#1086;&amp;#1085;&amp;#1086;&amp;#1084;&amp;#1080;&amp;#1095;&amp;#1077;&amp;#1089;&amp;#1082;&amp;#1080; &amp;#1080; &amp;#1092;&amp;#1080;&amp;#1085;&amp;#1072;&amp;#1085;&amp;#1089;&amp;#1086;&amp;#1074;&amp;#1080; &amp;#1074;&amp;#1098;&amp;#1087;&amp;#1088;&amp;#1086;&amp;#1089;&amp;#1080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/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translate=&quot;false&quot;&gt;_x000d__x000a_    &lt;text&gt;false&lt;/text&gt;_x000d__x000a_  &lt;/metadata&gt;_x000d__x000a_  &lt;metadata key=&quot;md_NB2&quot; translate=&quot;false&quot;&gt;_x000d__x000a_    &lt;text&gt;true&lt;/text&gt;_x000d__x000a_  &lt;/metadata&gt;_x000d__x000a_  &lt;metadata key=&quot;md_NB3&quot; translate=&quot;false&quot;&gt;_x000d__x000a_    &lt;text&gt;true&lt;/text&gt;_x000d__x000a_  &lt;/metadata&gt;_x000d__x000a_  &lt;metadata key=&quot;md_Meetings&quot; translate=&quot;false&quot;&gt;_x000d__x000a_    &lt;meetings&gt;_x000d__x000a_      &lt;meeting date=&quot;2015-12-08T10:15:00&quot;&gt;_x000d__x000a_        &lt;meetingvenue&gt;_x000d__x000a_          &lt;basicdatatype&gt;_x000d__x000a_            &lt;meetingvenue key=&quot;mw_01&quot; text=&quot;&amp;#1057;&amp;#1066;&amp;#1042;&amp;#1045;&amp;#1058; &amp;#1057;&amp;#1043;&amp;#1056;&amp;#1040;&amp;#1044;&amp;#1040; JUSTUS LIPSIUS Rue de la Loi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BE3C99"/>
    <w:rsid w:val="00010C1D"/>
    <w:rsid w:val="00073418"/>
    <w:rsid w:val="0009656C"/>
    <w:rsid w:val="001379C3"/>
    <w:rsid w:val="00165755"/>
    <w:rsid w:val="00167D26"/>
    <w:rsid w:val="00182F2F"/>
    <w:rsid w:val="001C1958"/>
    <w:rsid w:val="00213F1F"/>
    <w:rsid w:val="002A2AE8"/>
    <w:rsid w:val="002D742D"/>
    <w:rsid w:val="00330BB7"/>
    <w:rsid w:val="0039007A"/>
    <w:rsid w:val="003C6E8B"/>
    <w:rsid w:val="00416AB6"/>
    <w:rsid w:val="004819D4"/>
    <w:rsid w:val="005157F5"/>
    <w:rsid w:val="00585FF5"/>
    <w:rsid w:val="005E480E"/>
    <w:rsid w:val="005E78D8"/>
    <w:rsid w:val="00604930"/>
    <w:rsid w:val="00630FEC"/>
    <w:rsid w:val="0063379B"/>
    <w:rsid w:val="00653CEA"/>
    <w:rsid w:val="006A38C5"/>
    <w:rsid w:val="006C1AD4"/>
    <w:rsid w:val="006E33E2"/>
    <w:rsid w:val="006F4741"/>
    <w:rsid w:val="0070521E"/>
    <w:rsid w:val="0075756A"/>
    <w:rsid w:val="00757661"/>
    <w:rsid w:val="008145E8"/>
    <w:rsid w:val="00825503"/>
    <w:rsid w:val="008826F8"/>
    <w:rsid w:val="008B4AB1"/>
    <w:rsid w:val="009401ED"/>
    <w:rsid w:val="009866E3"/>
    <w:rsid w:val="009A4640"/>
    <w:rsid w:val="00A437F4"/>
    <w:rsid w:val="00A469D7"/>
    <w:rsid w:val="00A66A9A"/>
    <w:rsid w:val="00AA3FB5"/>
    <w:rsid w:val="00AC4218"/>
    <w:rsid w:val="00AD43AF"/>
    <w:rsid w:val="00B30201"/>
    <w:rsid w:val="00B3149A"/>
    <w:rsid w:val="00B6489B"/>
    <w:rsid w:val="00BA29C9"/>
    <w:rsid w:val="00BD3A99"/>
    <w:rsid w:val="00BE1373"/>
    <w:rsid w:val="00BE3C99"/>
    <w:rsid w:val="00CD7438"/>
    <w:rsid w:val="00D451E4"/>
    <w:rsid w:val="00DA225D"/>
    <w:rsid w:val="00DE59A3"/>
    <w:rsid w:val="00E15D31"/>
    <w:rsid w:val="00E24893"/>
    <w:rsid w:val="00EE7800"/>
    <w:rsid w:val="00F23C9A"/>
    <w:rsid w:val="00F30FC1"/>
    <w:rsid w:val="00F321C5"/>
    <w:rsid w:val="00F45D95"/>
    <w:rsid w:val="00F75F43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401E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9401ED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BE3C99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BE3C99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BE3C99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BE3C99"/>
  </w:style>
  <w:style w:type="character" w:customStyle="1" w:styleId="TitleChar">
    <w:name w:val="Title Char"/>
    <w:basedOn w:val="DefaultParagraphFont"/>
    <w:link w:val="Title"/>
    <w:rsid w:val="00AD43AF"/>
    <w:rPr>
      <w:b/>
      <w:bCs/>
      <w:i/>
      <w:sz w:val="24"/>
      <w:szCs w:val="32"/>
      <w:u w:val="single"/>
      <w:lang w:val="bg-BG" w:eastAsia="bg-BG"/>
    </w:rPr>
  </w:style>
  <w:style w:type="character" w:customStyle="1" w:styleId="PointManualChar">
    <w:name w:val="Point Manual Char"/>
    <w:link w:val="PointManual"/>
    <w:rsid w:val="00AD43AF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80E"/>
    <w:rPr>
      <w:rFonts w:ascii="Tahoma" w:hAnsi="Tahoma" w:cs="Tahoma"/>
      <w:sz w:val="16"/>
      <w:szCs w:val="16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3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LAUBENGEIGER Andrea</dc:creator>
  <cp:lastModifiedBy>STANKOVA Albena</cp:lastModifiedBy>
  <cp:revision>4</cp:revision>
  <cp:lastPrinted>2015-11-06T09:23:00Z</cp:lastPrinted>
  <dcterms:created xsi:type="dcterms:W3CDTF">2015-11-24T11:09:00Z</dcterms:created>
  <dcterms:modified xsi:type="dcterms:W3CDTF">2015-11-24T11:12:00Z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