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99" w:rsidRPr="0039007A" w:rsidRDefault="00DE59A3" w:rsidP="0007341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58c2be7-47c3-4391-a563-eb0a98b04511_0" style="width:568.5pt;height:489.75pt">
            <v:imagedata r:id="rId8" o:title=""/>
          </v:shape>
        </w:pict>
      </w:r>
      <w:bookmarkEnd w:id="0"/>
    </w:p>
    <w:p w:rsidR="00B30201" w:rsidRDefault="00B30201" w:rsidP="0039007A">
      <w:pPr>
        <w:pStyle w:val="PointManual"/>
        <w:spacing w:before="360"/>
      </w:pPr>
    </w:p>
    <w:p w:rsidR="00AD43AF" w:rsidRPr="0039007A" w:rsidRDefault="0039007A" w:rsidP="0039007A">
      <w:pPr>
        <w:pStyle w:val="PointManual"/>
        <w:spacing w:before="360"/>
      </w:pPr>
      <w:r w:rsidRPr="0039007A">
        <w:t>-</w:t>
      </w:r>
      <w:r w:rsidR="00AD43AF" w:rsidRPr="0039007A">
        <w:tab/>
        <w:t>Adoption de l'ordre du jour provisoire</w:t>
      </w:r>
    </w:p>
    <w:p w:rsidR="004819D4" w:rsidRPr="0039007A" w:rsidRDefault="004819D4" w:rsidP="00B30201">
      <w:pPr>
        <w:spacing w:before="480"/>
        <w:jc w:val="center"/>
        <w:rPr>
          <w:b/>
          <w:bCs/>
          <w:lang w:val="fr-BE" w:eastAsia="en-GB"/>
        </w:rPr>
      </w:pPr>
      <w:r w:rsidRPr="0039007A">
        <w:rPr>
          <w:b/>
          <w:bCs/>
          <w:u w:val="single"/>
          <w:lang w:val="fr-BE" w:eastAsia="en-GB"/>
        </w:rPr>
        <w:t>Délibérations législatives</w:t>
      </w:r>
    </w:p>
    <w:p w:rsidR="004819D4" w:rsidRPr="0039007A" w:rsidRDefault="004819D4" w:rsidP="0039007A">
      <w:pPr>
        <w:jc w:val="center"/>
        <w:rPr>
          <w:b/>
          <w:bCs/>
          <w:lang w:val="fr-BE" w:eastAsia="en-GB"/>
        </w:rPr>
      </w:pPr>
      <w:r w:rsidRPr="0039007A">
        <w:rPr>
          <w:b/>
          <w:bCs/>
          <w:lang w:val="fr-BE" w:eastAsia="en-GB"/>
        </w:rPr>
        <w:t>(</w:t>
      </w:r>
      <w:r w:rsidRPr="0039007A">
        <w:rPr>
          <w:b/>
          <w:bCs/>
          <w:lang w:val="fr-BE"/>
        </w:rPr>
        <w:t>Délibération publique conformément à l'article 16, paragraphe 8, du traité sur l'Union européenne</w:t>
      </w:r>
      <w:r w:rsidRPr="0039007A">
        <w:rPr>
          <w:b/>
          <w:bCs/>
          <w:lang w:val="fr-BE" w:eastAsia="en-GB"/>
        </w:rPr>
        <w:t>)</w:t>
      </w:r>
    </w:p>
    <w:p w:rsidR="004819D4" w:rsidRPr="0039007A" w:rsidRDefault="0039007A" w:rsidP="0039007A">
      <w:pPr>
        <w:pStyle w:val="PointManual"/>
        <w:spacing w:before="360"/>
        <w:rPr>
          <w:lang w:val="fr-BE" w:eastAsia="en-GB"/>
        </w:rPr>
      </w:pPr>
      <w:r w:rsidRPr="0039007A">
        <w:rPr>
          <w:lang w:val="fr-BE" w:eastAsia="en-GB"/>
        </w:rPr>
        <w:t>-</w:t>
      </w:r>
      <w:r w:rsidRPr="0039007A">
        <w:rPr>
          <w:lang w:val="fr-BE" w:eastAsia="en-GB"/>
        </w:rPr>
        <w:tab/>
      </w:r>
      <w:r w:rsidR="00F30FC1">
        <w:rPr>
          <w:lang w:val="fr-BE" w:eastAsia="en-GB"/>
        </w:rPr>
        <w:t xml:space="preserve">(évent.) </w:t>
      </w:r>
      <w:r w:rsidR="004819D4" w:rsidRPr="0039007A">
        <w:rPr>
          <w:lang w:val="fr-BE" w:eastAsia="en-GB"/>
        </w:rPr>
        <w:t xml:space="preserve">Approbation de la liste des points "A" </w:t>
      </w:r>
    </w:p>
    <w:p w:rsidR="004819D4" w:rsidRPr="0039007A" w:rsidRDefault="0039007A" w:rsidP="0039007A">
      <w:pPr>
        <w:pStyle w:val="PointManual"/>
        <w:spacing w:before="360"/>
        <w:rPr>
          <w:lang w:val="fr-BE" w:eastAsia="en-GB"/>
        </w:rPr>
      </w:pPr>
      <w:r>
        <w:rPr>
          <w:lang w:val="fr-BE" w:eastAsia="en-GB"/>
        </w:rPr>
        <w:br w:type="page"/>
      </w:r>
      <w:r w:rsidRPr="0039007A">
        <w:rPr>
          <w:lang w:val="fr-BE" w:eastAsia="en-GB"/>
        </w:rPr>
        <w:lastRenderedPageBreak/>
        <w:t>-</w:t>
      </w:r>
      <w:r w:rsidRPr="0039007A">
        <w:rPr>
          <w:lang w:val="fr-BE" w:eastAsia="en-GB"/>
        </w:rPr>
        <w:tab/>
      </w:r>
      <w:r w:rsidR="004819D4" w:rsidRPr="0039007A">
        <w:rPr>
          <w:lang w:val="fr-BE" w:eastAsia="en-GB"/>
        </w:rPr>
        <w:t>(évent.) Titrisation</w:t>
      </w:r>
    </w:p>
    <w:p w:rsidR="004819D4" w:rsidRPr="0039007A" w:rsidRDefault="004819D4" w:rsidP="00A437F4">
      <w:pPr>
        <w:pStyle w:val="Dash1"/>
        <w:rPr>
          <w:lang w:val="fr-BE" w:eastAsia="en-GB"/>
        </w:rPr>
      </w:pPr>
      <w:r w:rsidRPr="00A437F4">
        <w:rPr>
          <w:rFonts w:eastAsia="Calibri"/>
          <w:lang w:val="fr-BE" w:eastAsia="en-GB"/>
        </w:rPr>
        <w:t>Proposition</w:t>
      </w:r>
      <w:r w:rsidRPr="0039007A">
        <w:rPr>
          <w:lang w:val="fr-BE" w:eastAsia="en-GB"/>
        </w:rPr>
        <w:t xml:space="preserve"> de règlement du Parlement européen et du Conseil établissant des règles communes en matière de titrisation ainsi qu’un cadre européen pour les opérations de titrisation simples, transparentes et standardisées, et modifiant les directives 2009/65/CE, 2009/138/CE et 2011/61/UE et les règlements (CE) n° 1060/2009 et (UE) n° 648/2012 et Proposition de règlement du Parlement européen et du Conseil modifiant le règlement (UE) n° 575/2013 du Parlement européen et du Conseil concernant les exigences prudentielles applicables aux établissements de crédit et aux entreprises d’investissement </w:t>
      </w:r>
      <w:r w:rsidRPr="0039007A">
        <w:rPr>
          <w:lang w:val="fr-BE"/>
        </w:rPr>
        <w:t>(Première lecture)</w:t>
      </w:r>
    </w:p>
    <w:p w:rsidR="004819D4" w:rsidRPr="0039007A" w:rsidRDefault="004819D4" w:rsidP="0039007A">
      <w:pPr>
        <w:pStyle w:val="DashEqual2"/>
        <w:rPr>
          <w:lang w:val="fr-BE" w:eastAsia="en-GB"/>
        </w:rPr>
      </w:pPr>
      <w:r w:rsidRPr="0039007A">
        <w:rPr>
          <w:lang w:val="fr-BE" w:eastAsia="en-GB"/>
        </w:rPr>
        <w:t>Orientation générale</w:t>
      </w:r>
    </w:p>
    <w:p w:rsidR="004819D4" w:rsidRPr="0039007A" w:rsidRDefault="0039007A" w:rsidP="0039007A">
      <w:pPr>
        <w:pStyle w:val="PointManual"/>
        <w:spacing w:before="360"/>
        <w:rPr>
          <w:rFonts w:eastAsia="Calibri" w:cs="Arial"/>
          <w:szCs w:val="22"/>
          <w:lang w:val="fr-BE" w:eastAsia="en-GB"/>
        </w:rPr>
      </w:pPr>
      <w:r>
        <w:rPr>
          <w:rFonts w:eastAsia="Calibri" w:cs="Arial"/>
          <w:szCs w:val="22"/>
          <w:lang w:val="fr-BE" w:eastAsia="en-GB"/>
        </w:rPr>
        <w:t>-</w:t>
      </w:r>
      <w:r w:rsidRPr="0039007A">
        <w:rPr>
          <w:rFonts w:eastAsia="Calibri" w:cs="Arial"/>
          <w:szCs w:val="22"/>
          <w:lang w:val="fr-BE" w:eastAsia="en-GB"/>
        </w:rPr>
        <w:tab/>
      </w:r>
      <w:r w:rsidR="004819D4" w:rsidRPr="0039007A">
        <w:rPr>
          <w:rFonts w:eastAsia="Calibri" w:cs="Arial"/>
          <w:szCs w:val="22"/>
          <w:lang w:val="fr-BE" w:eastAsia="en-GB"/>
        </w:rPr>
        <w:t xml:space="preserve">(évent.) </w:t>
      </w:r>
      <w:r w:rsidR="004819D4" w:rsidRPr="0039007A">
        <w:rPr>
          <w:lang w:val="fr-BE"/>
        </w:rPr>
        <w:t>Compléter l'Union bancaire</w:t>
      </w:r>
    </w:p>
    <w:p w:rsidR="004819D4" w:rsidRPr="0039007A" w:rsidRDefault="004819D4" w:rsidP="00A437F4">
      <w:pPr>
        <w:pStyle w:val="Dash1"/>
        <w:rPr>
          <w:rFonts w:eastAsia="Calibri"/>
          <w:lang w:val="fr-BE" w:eastAsia="en-GB"/>
        </w:rPr>
      </w:pPr>
      <w:r w:rsidRPr="0039007A">
        <w:rPr>
          <w:rFonts w:eastAsia="Calibri"/>
          <w:lang w:val="fr-BE" w:eastAsia="en-GB"/>
        </w:rPr>
        <w:t xml:space="preserve">Proposition de règlement du Parlement européen et du Conseil établissant un Système européen d'assurance des dépôts (connu comme "EDIS" - European Deposit Insurance Scheme) et modifiant le règlement (UE) 806/2014 </w:t>
      </w:r>
      <w:r w:rsidRPr="0039007A">
        <w:rPr>
          <w:lang w:val="fr-BE"/>
        </w:rPr>
        <w:t>et la directive 2014/49/EU</w:t>
      </w:r>
      <w:r w:rsidRPr="0039007A">
        <w:rPr>
          <w:rFonts w:eastAsia="Calibri"/>
          <w:lang w:val="fr-BE" w:eastAsia="en-GB"/>
        </w:rPr>
        <w:t xml:space="preserve"> </w:t>
      </w:r>
    </w:p>
    <w:p w:rsidR="004819D4" w:rsidRPr="0039007A" w:rsidRDefault="004819D4" w:rsidP="00A437F4">
      <w:pPr>
        <w:pStyle w:val="Dash1"/>
        <w:rPr>
          <w:rFonts w:eastAsia="Calibri" w:cs="Arial"/>
          <w:szCs w:val="22"/>
          <w:lang w:val="fr-BE"/>
        </w:rPr>
      </w:pPr>
      <w:r w:rsidRPr="00A437F4">
        <w:rPr>
          <w:rFonts w:eastAsia="Calibri"/>
          <w:lang w:val="fr-BE" w:eastAsia="en-GB"/>
        </w:rPr>
        <w:t>Communication</w:t>
      </w:r>
      <w:r w:rsidRPr="0039007A">
        <w:rPr>
          <w:lang w:val="fr-BE"/>
        </w:rPr>
        <w:t xml:space="preserve"> de la Commission "Compléter l'Union bancaire"</w:t>
      </w:r>
    </w:p>
    <w:p w:rsidR="004819D4" w:rsidRPr="0039007A" w:rsidRDefault="004819D4" w:rsidP="0039007A">
      <w:pPr>
        <w:pStyle w:val="DashEqual2"/>
        <w:rPr>
          <w:rFonts w:eastAsia="Calibri" w:cs="Arial"/>
          <w:szCs w:val="22"/>
          <w:lang w:val="fr-BE" w:eastAsia="en-GB"/>
        </w:rPr>
      </w:pPr>
      <w:r w:rsidRPr="0039007A">
        <w:rPr>
          <w:lang w:val="fr-BE" w:eastAsia="en-GB"/>
        </w:rPr>
        <w:t>Présentation</w:t>
      </w:r>
      <w:r w:rsidRPr="0039007A">
        <w:rPr>
          <w:rFonts w:eastAsia="Calibri" w:cs="Arial"/>
          <w:szCs w:val="22"/>
          <w:lang w:val="fr-BE" w:eastAsia="en-GB"/>
        </w:rPr>
        <w:t xml:space="preserve"> par la Commission et échange de vues</w:t>
      </w:r>
    </w:p>
    <w:p w:rsidR="004819D4" w:rsidRPr="0039007A" w:rsidRDefault="0039007A" w:rsidP="0039007A">
      <w:pPr>
        <w:pStyle w:val="PointManual"/>
        <w:spacing w:before="360"/>
        <w:rPr>
          <w:lang w:val="fr-BE" w:eastAsia="en-GB"/>
        </w:rPr>
      </w:pPr>
      <w:r>
        <w:rPr>
          <w:lang w:val="fr-BE"/>
        </w:rPr>
        <w:t>-</w:t>
      </w:r>
      <w:r w:rsidRPr="0039007A">
        <w:rPr>
          <w:lang w:val="fr-BE"/>
        </w:rPr>
        <w:tab/>
      </w:r>
      <w:r w:rsidR="004819D4" w:rsidRPr="0039007A">
        <w:rPr>
          <w:lang w:val="fr-BE"/>
        </w:rPr>
        <w:t>Coopération renforcée dans le domaine de la taxe sur les transactions financières</w:t>
      </w:r>
    </w:p>
    <w:p w:rsidR="004819D4" w:rsidRPr="0039007A" w:rsidRDefault="004819D4" w:rsidP="00A437F4">
      <w:pPr>
        <w:pStyle w:val="Dash1"/>
        <w:rPr>
          <w:lang w:val="fr-BE" w:eastAsia="en-GB"/>
        </w:rPr>
      </w:pPr>
      <w:r w:rsidRPr="00A437F4">
        <w:rPr>
          <w:rFonts w:eastAsia="Calibri"/>
          <w:lang w:val="fr-BE" w:eastAsia="en-GB"/>
        </w:rPr>
        <w:t>Proposition</w:t>
      </w:r>
      <w:r w:rsidRPr="0039007A">
        <w:rPr>
          <w:lang w:val="fr-BE"/>
        </w:rPr>
        <w:t xml:space="preserve"> de directive du Conseil mettant en œuvre une coopération renforcée dans le domaine de la taxe sur les transactions financières</w:t>
      </w:r>
    </w:p>
    <w:p w:rsidR="004819D4" w:rsidRPr="0039007A" w:rsidRDefault="004819D4" w:rsidP="0039007A">
      <w:pPr>
        <w:pStyle w:val="DashEqual2"/>
        <w:rPr>
          <w:lang w:val="fr-BE" w:eastAsia="en-GB"/>
        </w:rPr>
      </w:pPr>
      <w:r w:rsidRPr="0039007A">
        <w:rPr>
          <w:lang w:val="fr-BE" w:eastAsia="en-GB"/>
        </w:rPr>
        <w:t>État des lieux</w:t>
      </w:r>
    </w:p>
    <w:p w:rsidR="004819D4" w:rsidRPr="0039007A" w:rsidRDefault="0039007A" w:rsidP="0039007A">
      <w:pPr>
        <w:pStyle w:val="PointManual"/>
        <w:spacing w:before="360"/>
        <w:rPr>
          <w:lang w:val="fr-BE"/>
        </w:rPr>
      </w:pPr>
      <w:r>
        <w:rPr>
          <w:lang w:val="fr-BE"/>
        </w:rPr>
        <w:t>-</w:t>
      </w:r>
      <w:r w:rsidR="004819D4" w:rsidRPr="0039007A">
        <w:rPr>
          <w:lang w:val="fr-BE"/>
        </w:rPr>
        <w:tab/>
        <w:t>Assiette commune consolidée pour l'impôt sur les sociétés (ACCIS)</w:t>
      </w:r>
    </w:p>
    <w:p w:rsidR="004819D4" w:rsidRPr="0039007A" w:rsidRDefault="004819D4" w:rsidP="00A437F4">
      <w:pPr>
        <w:pStyle w:val="Dash1"/>
        <w:rPr>
          <w:lang w:val="fr-BE"/>
        </w:rPr>
      </w:pPr>
      <w:r w:rsidRPr="00A437F4">
        <w:rPr>
          <w:rFonts w:eastAsia="Calibri"/>
          <w:lang w:val="fr-BE" w:eastAsia="en-GB"/>
        </w:rPr>
        <w:t>Proposition</w:t>
      </w:r>
      <w:r w:rsidRPr="0039007A">
        <w:rPr>
          <w:lang w:val="fr-BE"/>
        </w:rPr>
        <w:t xml:space="preserve"> de directive du Conseil concernant une assiette commune consolidée pour l'impôt sur les sociétés (ACCIS)</w:t>
      </w:r>
    </w:p>
    <w:p w:rsidR="004819D4" w:rsidRPr="0039007A" w:rsidRDefault="004819D4" w:rsidP="0039007A">
      <w:pPr>
        <w:pStyle w:val="DashEqual2"/>
        <w:rPr>
          <w:lang w:val="fr-BE" w:eastAsia="en-GB"/>
        </w:rPr>
      </w:pPr>
      <w:r w:rsidRPr="0039007A">
        <w:rPr>
          <w:lang w:val="fr-BE" w:eastAsia="en-GB"/>
        </w:rPr>
        <w:t xml:space="preserve">État des lieux </w:t>
      </w:r>
    </w:p>
    <w:p w:rsidR="004819D4" w:rsidRPr="0039007A" w:rsidRDefault="0039007A" w:rsidP="0039007A">
      <w:pPr>
        <w:pStyle w:val="PointManual"/>
        <w:spacing w:before="360"/>
        <w:rPr>
          <w:lang w:val="fr-BE" w:eastAsia="en-GB"/>
        </w:rPr>
      </w:pPr>
      <w:r>
        <w:rPr>
          <w:lang w:val="fr-BE" w:eastAsia="en-GB"/>
        </w:rPr>
        <w:t>-</w:t>
      </w:r>
      <w:r w:rsidRPr="0039007A">
        <w:rPr>
          <w:lang w:val="fr-BE" w:eastAsia="en-GB"/>
        </w:rPr>
        <w:tab/>
      </w:r>
      <w:r w:rsidR="004819D4" w:rsidRPr="0039007A">
        <w:rPr>
          <w:lang w:val="fr-BE" w:eastAsia="en-GB"/>
        </w:rPr>
        <w:t>Divers</w:t>
      </w:r>
    </w:p>
    <w:p w:rsidR="004819D4" w:rsidRPr="0039007A" w:rsidRDefault="004819D4" w:rsidP="00A437F4">
      <w:pPr>
        <w:pStyle w:val="Dash1"/>
        <w:rPr>
          <w:lang w:val="fr-BE"/>
        </w:rPr>
      </w:pPr>
      <w:r w:rsidRPr="00A437F4">
        <w:rPr>
          <w:rFonts w:eastAsia="Calibri"/>
          <w:lang w:val="fr-BE" w:eastAsia="en-GB"/>
        </w:rPr>
        <w:t>Propositions</w:t>
      </w:r>
      <w:r w:rsidRPr="0039007A">
        <w:rPr>
          <w:lang w:val="fr-BE"/>
        </w:rPr>
        <w:t xml:space="preserve"> législatives en cours d'examen</w:t>
      </w:r>
    </w:p>
    <w:p w:rsidR="004819D4" w:rsidRPr="0039007A" w:rsidRDefault="004819D4" w:rsidP="0039007A">
      <w:pPr>
        <w:pStyle w:val="DashEqual2"/>
        <w:rPr>
          <w:lang w:val="fr-BE"/>
        </w:rPr>
      </w:pPr>
      <w:r w:rsidRPr="0039007A">
        <w:rPr>
          <w:lang w:val="fr-BE" w:eastAsia="en-GB"/>
        </w:rPr>
        <w:t>Informations</w:t>
      </w:r>
      <w:r w:rsidRPr="0039007A">
        <w:rPr>
          <w:lang w:val="fr-BE"/>
        </w:rPr>
        <w:t xml:space="preserve"> communiquées par la présidence</w:t>
      </w:r>
    </w:p>
    <w:p w:rsidR="004819D4" w:rsidRPr="00A437F4" w:rsidRDefault="004819D4" w:rsidP="00A437F4">
      <w:pPr>
        <w:spacing w:before="240"/>
        <w:jc w:val="center"/>
        <w:rPr>
          <w:b/>
          <w:bCs/>
          <w:u w:val="single"/>
          <w:lang w:val="fr-BE" w:eastAsia="en-GB"/>
        </w:rPr>
      </w:pPr>
      <w:r w:rsidRPr="0039007A">
        <w:rPr>
          <w:b/>
          <w:bCs/>
          <w:szCs w:val="32"/>
          <w:u w:val="single"/>
          <w:lang w:val="fr-BE"/>
        </w:rPr>
        <w:br w:type="page"/>
      </w:r>
      <w:r w:rsidRPr="00A437F4">
        <w:rPr>
          <w:b/>
          <w:bCs/>
          <w:u w:val="single"/>
          <w:lang w:val="fr-BE" w:eastAsia="en-GB"/>
        </w:rPr>
        <w:lastRenderedPageBreak/>
        <w:t>Activités non législatives</w:t>
      </w:r>
    </w:p>
    <w:p w:rsidR="004819D4" w:rsidRPr="0039007A" w:rsidRDefault="00A437F4" w:rsidP="00EE7800">
      <w:pPr>
        <w:pStyle w:val="PointManual"/>
        <w:spacing w:before="360"/>
        <w:rPr>
          <w:lang w:val="fr-BE" w:eastAsia="en-GB"/>
        </w:rPr>
      </w:pPr>
      <w:r>
        <w:rPr>
          <w:lang w:val="fr-BE" w:eastAsia="en-GB"/>
        </w:rPr>
        <w:t>-</w:t>
      </w:r>
      <w:r>
        <w:rPr>
          <w:lang w:val="fr-BE" w:eastAsia="en-GB"/>
        </w:rPr>
        <w:tab/>
      </w:r>
      <w:r w:rsidR="004819D4" w:rsidRPr="0039007A">
        <w:rPr>
          <w:lang w:val="fr-BE" w:eastAsia="en-GB"/>
        </w:rPr>
        <w:t xml:space="preserve">Approbation de la liste des points "A" </w:t>
      </w:r>
    </w:p>
    <w:p w:rsidR="004819D4" w:rsidRPr="0039007A" w:rsidRDefault="00A437F4" w:rsidP="00A437F4">
      <w:pPr>
        <w:pStyle w:val="PointManual"/>
        <w:spacing w:before="360"/>
        <w:rPr>
          <w:lang w:val="fr-BE" w:eastAsia="fr-FR" w:bidi="fr-FR"/>
        </w:rPr>
      </w:pPr>
      <w:r>
        <w:rPr>
          <w:lang w:val="fr-BE" w:eastAsia="en-GB"/>
        </w:rPr>
        <w:t>-</w:t>
      </w:r>
      <w:r>
        <w:rPr>
          <w:lang w:val="fr-BE" w:eastAsia="en-GB"/>
        </w:rPr>
        <w:tab/>
      </w:r>
      <w:r w:rsidR="004819D4" w:rsidRPr="0039007A">
        <w:rPr>
          <w:lang w:val="fr-BE" w:eastAsia="en-GB"/>
        </w:rPr>
        <w:t>(évent.) Rapport</w:t>
      </w:r>
      <w:r w:rsidR="004819D4" w:rsidRPr="0039007A">
        <w:rPr>
          <w:lang w:val="fr-BE" w:eastAsia="fr-FR" w:bidi="fr-FR"/>
        </w:rPr>
        <w:t xml:space="preserve"> ECOFIN sur les questions fiscales adressées au Conseil européen</w:t>
      </w:r>
    </w:p>
    <w:p w:rsidR="004819D4" w:rsidRPr="0039007A" w:rsidRDefault="004819D4" w:rsidP="00BA29C9">
      <w:pPr>
        <w:pStyle w:val="DashEqual1"/>
        <w:rPr>
          <w:lang w:val="fr-BE" w:eastAsia="en-GB"/>
        </w:rPr>
      </w:pPr>
      <w:r w:rsidRPr="0039007A">
        <w:rPr>
          <w:lang w:val="fr-BE" w:eastAsia="en-GB"/>
        </w:rPr>
        <w:t>Approbation</w:t>
      </w:r>
    </w:p>
    <w:p w:rsidR="004819D4" w:rsidRPr="0039007A" w:rsidRDefault="00A437F4" w:rsidP="00A437F4">
      <w:pPr>
        <w:pStyle w:val="PointManual"/>
        <w:spacing w:before="360"/>
        <w:rPr>
          <w:lang w:val="fr-BE" w:eastAsia="fr-FR" w:bidi="fr-FR"/>
        </w:rPr>
      </w:pPr>
      <w:r>
        <w:rPr>
          <w:lang w:val="fr-BE" w:eastAsia="en-GB"/>
        </w:rPr>
        <w:t>-</w:t>
      </w:r>
      <w:r>
        <w:rPr>
          <w:lang w:val="fr-BE" w:eastAsia="en-GB"/>
        </w:rPr>
        <w:tab/>
      </w:r>
      <w:r w:rsidR="004819D4" w:rsidRPr="0039007A">
        <w:rPr>
          <w:lang w:val="fr-BE" w:eastAsia="en-GB"/>
        </w:rPr>
        <w:t>(évent.) R</w:t>
      </w:r>
      <w:r w:rsidR="004819D4" w:rsidRPr="0039007A">
        <w:rPr>
          <w:lang w:val="fr-BE" w:eastAsia="fr-FR" w:bidi="fr-FR"/>
        </w:rPr>
        <w:t>apport des Ministres des Finances sur les questions fiscales dans le cadre du Pacte pour l'Euro Plus</w:t>
      </w:r>
    </w:p>
    <w:p w:rsidR="004819D4" w:rsidRPr="0039007A" w:rsidRDefault="004819D4" w:rsidP="00BA29C9">
      <w:pPr>
        <w:pStyle w:val="DashEqual1"/>
        <w:rPr>
          <w:lang w:val="fr-BE" w:eastAsia="en-GB"/>
        </w:rPr>
      </w:pPr>
      <w:r w:rsidRPr="0039007A">
        <w:rPr>
          <w:lang w:val="fr-BE" w:eastAsia="en-GB"/>
        </w:rPr>
        <w:t>Approbation</w:t>
      </w:r>
    </w:p>
    <w:p w:rsidR="004819D4" w:rsidRPr="0039007A" w:rsidRDefault="00A437F4" w:rsidP="00A437F4">
      <w:pPr>
        <w:pStyle w:val="PointManual"/>
        <w:spacing w:before="360"/>
        <w:rPr>
          <w:lang w:val="fr-BE" w:eastAsia="fr-FR" w:bidi="fr-FR"/>
        </w:rPr>
      </w:pPr>
      <w:r>
        <w:rPr>
          <w:lang w:val="fr-BE" w:eastAsia="en-GB"/>
        </w:rPr>
        <w:t>-</w:t>
      </w:r>
      <w:r>
        <w:rPr>
          <w:lang w:val="fr-BE" w:eastAsia="en-GB"/>
        </w:rPr>
        <w:tab/>
      </w:r>
      <w:r w:rsidR="004819D4" w:rsidRPr="0039007A">
        <w:rPr>
          <w:lang w:val="fr-BE" w:eastAsia="en-GB"/>
        </w:rPr>
        <w:t xml:space="preserve">(évent.) </w:t>
      </w:r>
      <w:r w:rsidR="004819D4" w:rsidRPr="0039007A">
        <w:rPr>
          <w:lang w:val="fr-BE" w:eastAsia="fr-FR" w:bidi="fr-FR"/>
        </w:rPr>
        <w:t>Code de Conduite (Fiscalité des Entreprises)</w:t>
      </w:r>
    </w:p>
    <w:p w:rsidR="004819D4" w:rsidRPr="0039007A" w:rsidRDefault="004819D4" w:rsidP="00EE7800">
      <w:pPr>
        <w:pStyle w:val="Dash1"/>
        <w:rPr>
          <w:lang w:val="fr-BE" w:eastAsia="fr-FR" w:bidi="fr-FR"/>
        </w:rPr>
      </w:pPr>
      <w:r w:rsidRPr="00EE7800">
        <w:rPr>
          <w:rFonts w:eastAsia="Calibri"/>
          <w:lang w:val="fr-BE" w:eastAsia="en-GB"/>
        </w:rPr>
        <w:t>Rapport</w:t>
      </w:r>
      <w:r w:rsidRPr="0039007A">
        <w:rPr>
          <w:lang w:val="fr-BE" w:eastAsia="fr-FR" w:bidi="fr-FR"/>
        </w:rPr>
        <w:t xml:space="preserve"> au Conseil</w:t>
      </w:r>
    </w:p>
    <w:p w:rsidR="004819D4" w:rsidRPr="0039007A" w:rsidRDefault="004819D4" w:rsidP="00BA29C9">
      <w:pPr>
        <w:pStyle w:val="DashEqual2"/>
        <w:rPr>
          <w:lang w:val="fr-BE" w:eastAsia="fr-FR" w:bidi="fr-FR"/>
        </w:rPr>
      </w:pPr>
      <w:r w:rsidRPr="0039007A">
        <w:rPr>
          <w:lang w:val="fr-BE" w:eastAsia="fr-FR" w:bidi="fr-FR"/>
        </w:rPr>
        <w:t>Approbation</w:t>
      </w:r>
    </w:p>
    <w:p w:rsidR="004819D4" w:rsidRPr="0039007A" w:rsidRDefault="004819D4" w:rsidP="00EE7800">
      <w:pPr>
        <w:pStyle w:val="Dash1"/>
        <w:rPr>
          <w:lang w:val="fr-BE" w:eastAsia="fr-FR" w:bidi="fr-FR"/>
        </w:rPr>
      </w:pPr>
      <w:r w:rsidRPr="00EE7800">
        <w:rPr>
          <w:rFonts w:eastAsia="Calibri"/>
          <w:lang w:val="fr-BE" w:eastAsia="en-GB"/>
        </w:rPr>
        <w:t>Projet</w:t>
      </w:r>
      <w:r w:rsidRPr="0039007A">
        <w:rPr>
          <w:lang w:val="fr-BE" w:eastAsia="fr-FR" w:bidi="fr-FR"/>
        </w:rPr>
        <w:t xml:space="preserve"> de conclusions du Conseil</w:t>
      </w:r>
    </w:p>
    <w:p w:rsidR="004819D4" w:rsidRPr="0039007A" w:rsidRDefault="004819D4" w:rsidP="00BA29C9">
      <w:pPr>
        <w:pStyle w:val="DashEqual2"/>
        <w:rPr>
          <w:lang w:val="fr-BE" w:eastAsia="fr-FR" w:bidi="fr-FR"/>
        </w:rPr>
      </w:pPr>
      <w:r w:rsidRPr="0039007A">
        <w:rPr>
          <w:lang w:val="fr-BE" w:eastAsia="fr-FR" w:bidi="fr-FR"/>
        </w:rPr>
        <w:t>Adoption</w:t>
      </w:r>
    </w:p>
    <w:p w:rsidR="004819D4" w:rsidRPr="0039007A" w:rsidRDefault="00A437F4" w:rsidP="00A437F4">
      <w:pPr>
        <w:pStyle w:val="PointManual"/>
        <w:spacing w:before="360"/>
        <w:rPr>
          <w:lang w:val="fr-BE" w:eastAsia="fr-FR" w:bidi="fr-FR"/>
        </w:rPr>
      </w:pPr>
      <w:r>
        <w:rPr>
          <w:lang w:val="fr-BE" w:eastAsia="en-GB"/>
        </w:rPr>
        <w:t>-</w:t>
      </w:r>
      <w:r>
        <w:rPr>
          <w:lang w:val="fr-BE" w:eastAsia="en-GB"/>
        </w:rPr>
        <w:tab/>
      </w:r>
      <w:r w:rsidR="004819D4" w:rsidRPr="0039007A">
        <w:rPr>
          <w:lang w:val="fr-BE" w:eastAsia="en-GB"/>
        </w:rPr>
        <w:t xml:space="preserve">(évent.) Futur du </w:t>
      </w:r>
      <w:r w:rsidR="004819D4" w:rsidRPr="0039007A">
        <w:rPr>
          <w:lang w:val="fr-BE" w:eastAsia="fr-FR" w:bidi="fr-FR"/>
        </w:rPr>
        <w:t>Code de Conduite (Fiscalité des Entreprises)</w:t>
      </w:r>
    </w:p>
    <w:p w:rsidR="004819D4" w:rsidRPr="0039007A" w:rsidRDefault="004819D4" w:rsidP="00EE7800">
      <w:pPr>
        <w:pStyle w:val="Dash1"/>
        <w:rPr>
          <w:lang w:val="fr-BE" w:eastAsia="fr-FR" w:bidi="fr-FR"/>
        </w:rPr>
      </w:pPr>
      <w:r w:rsidRPr="0039007A">
        <w:rPr>
          <w:lang w:val="fr-BE" w:eastAsia="fr-FR" w:bidi="fr-FR"/>
        </w:rPr>
        <w:t>Projet de conclusions du Conseil</w:t>
      </w:r>
    </w:p>
    <w:p w:rsidR="004819D4" w:rsidRPr="0039007A" w:rsidRDefault="004819D4" w:rsidP="00BA29C9">
      <w:pPr>
        <w:pStyle w:val="DashEqual2"/>
        <w:rPr>
          <w:lang w:val="fr-BE" w:eastAsia="fr-FR" w:bidi="fr-FR"/>
        </w:rPr>
      </w:pPr>
      <w:r w:rsidRPr="0039007A">
        <w:rPr>
          <w:lang w:val="fr-BE" w:eastAsia="fr-FR" w:bidi="fr-FR"/>
        </w:rPr>
        <w:t>Adoption</w:t>
      </w:r>
    </w:p>
    <w:p w:rsidR="004819D4" w:rsidRPr="0039007A" w:rsidRDefault="00A437F4" w:rsidP="00A437F4">
      <w:pPr>
        <w:pStyle w:val="PointManual"/>
        <w:spacing w:before="360"/>
        <w:rPr>
          <w:lang w:val="fr-BE" w:eastAsia="fr-FR" w:bidi="fr-FR"/>
        </w:rPr>
      </w:pPr>
      <w:r>
        <w:rPr>
          <w:lang w:val="fr-BE" w:eastAsia="en-GB"/>
        </w:rPr>
        <w:t>-</w:t>
      </w:r>
      <w:r>
        <w:rPr>
          <w:lang w:val="fr-BE" w:eastAsia="en-GB"/>
        </w:rPr>
        <w:tab/>
      </w:r>
      <w:r w:rsidR="004819D4" w:rsidRPr="0039007A">
        <w:rPr>
          <w:lang w:val="fr-BE" w:eastAsia="en-GB"/>
        </w:rPr>
        <w:t xml:space="preserve">(évent.) </w:t>
      </w:r>
      <w:r w:rsidR="004819D4" w:rsidRPr="00A437F4">
        <w:rPr>
          <w:lang w:val="fr-BE" w:eastAsia="en-GB"/>
        </w:rPr>
        <w:t>Érosion</w:t>
      </w:r>
      <w:r w:rsidR="004819D4" w:rsidRPr="0039007A">
        <w:rPr>
          <w:rFonts w:eastAsia="Calibri" w:cs="Arial"/>
          <w:szCs w:val="22"/>
          <w:lang w:val="fr-BE" w:eastAsia="en-GB"/>
        </w:rPr>
        <w:t xml:space="preserve"> de la base d'imposition et transfert de bénéfices</w:t>
      </w:r>
    </w:p>
    <w:p w:rsidR="004819D4" w:rsidRPr="0039007A" w:rsidRDefault="004819D4" w:rsidP="00EE7800">
      <w:pPr>
        <w:pStyle w:val="Dash1"/>
        <w:rPr>
          <w:lang w:val="fr-BE" w:eastAsia="fr-FR" w:bidi="fr-FR"/>
        </w:rPr>
      </w:pPr>
      <w:r w:rsidRPr="0039007A">
        <w:rPr>
          <w:lang w:val="fr-BE" w:eastAsia="fr-FR" w:bidi="fr-FR"/>
        </w:rPr>
        <w:t>Projet de conclusions du Conseil</w:t>
      </w:r>
    </w:p>
    <w:p w:rsidR="004819D4" w:rsidRPr="0039007A" w:rsidRDefault="004819D4" w:rsidP="00BA29C9">
      <w:pPr>
        <w:pStyle w:val="DashEqual2"/>
        <w:rPr>
          <w:lang w:val="fr-BE" w:eastAsia="fr-FR" w:bidi="fr-FR"/>
        </w:rPr>
      </w:pPr>
      <w:r w:rsidRPr="0039007A">
        <w:rPr>
          <w:lang w:val="fr-BE" w:eastAsia="fr-FR" w:bidi="fr-FR"/>
        </w:rPr>
        <w:t>Adoption</w:t>
      </w:r>
    </w:p>
    <w:p w:rsidR="004819D4" w:rsidRPr="0039007A" w:rsidRDefault="004819D4" w:rsidP="00A437F4">
      <w:pPr>
        <w:pStyle w:val="PointManual"/>
        <w:spacing w:before="360"/>
        <w:rPr>
          <w:lang w:val="fr-BE"/>
        </w:rPr>
      </w:pPr>
      <w:r w:rsidRPr="0039007A">
        <w:rPr>
          <w:lang w:val="fr-BE"/>
        </w:rPr>
        <w:t>-</w:t>
      </w:r>
      <w:r w:rsidRPr="0039007A">
        <w:rPr>
          <w:lang w:val="fr-BE"/>
        </w:rPr>
        <w:tab/>
        <w:t xml:space="preserve">Mise en </w:t>
      </w:r>
      <w:r w:rsidRPr="0039007A">
        <w:rPr>
          <w:lang w:val="fr-BE" w:eastAsia="en-GB"/>
        </w:rPr>
        <w:t>œuvre</w:t>
      </w:r>
      <w:r w:rsidRPr="0039007A">
        <w:rPr>
          <w:lang w:val="fr-BE"/>
        </w:rPr>
        <w:t xml:space="preserve"> de l'Union bancaire</w:t>
      </w:r>
    </w:p>
    <w:p w:rsidR="004819D4" w:rsidRPr="0039007A" w:rsidRDefault="004819D4" w:rsidP="00BA29C9">
      <w:pPr>
        <w:pStyle w:val="DashEqual1"/>
        <w:rPr>
          <w:lang w:val="fr-BE"/>
        </w:rPr>
      </w:pPr>
      <w:r w:rsidRPr="0039007A">
        <w:rPr>
          <w:lang w:val="fr-BE"/>
        </w:rPr>
        <w:t>Information sur l'état des dossiers concernés</w:t>
      </w:r>
    </w:p>
    <w:p w:rsidR="004819D4" w:rsidRPr="0039007A" w:rsidRDefault="004819D4" w:rsidP="00A437F4">
      <w:pPr>
        <w:pStyle w:val="PointManual"/>
        <w:spacing w:before="360"/>
        <w:rPr>
          <w:lang w:val="fr-BE"/>
        </w:rPr>
      </w:pPr>
      <w:r w:rsidRPr="0039007A">
        <w:rPr>
          <w:lang w:val="fr-BE"/>
        </w:rPr>
        <w:t>-</w:t>
      </w:r>
      <w:r w:rsidRPr="0039007A">
        <w:rPr>
          <w:lang w:val="fr-BE"/>
        </w:rPr>
        <w:tab/>
        <w:t xml:space="preserve">Semestre </w:t>
      </w:r>
      <w:r w:rsidRPr="0039007A">
        <w:rPr>
          <w:lang w:val="fr-BE" w:eastAsia="en-GB"/>
        </w:rPr>
        <w:t>européen</w:t>
      </w:r>
    </w:p>
    <w:p w:rsidR="004819D4" w:rsidRPr="0039007A" w:rsidRDefault="004819D4" w:rsidP="00EE7800">
      <w:pPr>
        <w:pStyle w:val="Dash1"/>
        <w:rPr>
          <w:lang w:val="fr-BE" w:eastAsia="en-GB"/>
        </w:rPr>
      </w:pPr>
      <w:r w:rsidRPr="00EE7800">
        <w:rPr>
          <w:rFonts w:eastAsia="Calibri"/>
          <w:lang w:val="fr-BE" w:eastAsia="en-GB"/>
        </w:rPr>
        <w:t>Examen</w:t>
      </w:r>
      <w:r w:rsidRPr="0039007A">
        <w:rPr>
          <w:lang w:val="fr-BE" w:eastAsia="en-GB"/>
        </w:rPr>
        <w:t xml:space="preserve"> annuel de la croissance 2016</w:t>
      </w:r>
    </w:p>
    <w:p w:rsidR="004819D4" w:rsidRPr="0039007A" w:rsidRDefault="004819D4" w:rsidP="00EE7800">
      <w:pPr>
        <w:pStyle w:val="Dash1"/>
        <w:rPr>
          <w:lang w:val="fr-BE" w:eastAsia="en-GB"/>
        </w:rPr>
      </w:pPr>
      <w:r w:rsidRPr="00EE7800">
        <w:rPr>
          <w:rFonts w:eastAsia="Calibri"/>
          <w:lang w:val="fr-BE" w:eastAsia="en-GB"/>
        </w:rPr>
        <w:t>Procédure</w:t>
      </w:r>
      <w:r w:rsidRPr="0039007A">
        <w:rPr>
          <w:lang w:val="fr-BE"/>
        </w:rPr>
        <w:t xml:space="preserve"> concernant les déséquilibres macroéconomiques - Rapport 2016 de la Commission sur le mécanisme d'alerte </w:t>
      </w:r>
    </w:p>
    <w:p w:rsidR="004819D4" w:rsidRPr="0039007A" w:rsidRDefault="004819D4" w:rsidP="00EE7800">
      <w:pPr>
        <w:pStyle w:val="Dash1"/>
        <w:rPr>
          <w:lang w:val="fr-BE"/>
        </w:rPr>
      </w:pPr>
      <w:r w:rsidRPr="0039007A">
        <w:rPr>
          <w:lang w:val="fr-BE"/>
        </w:rPr>
        <w:t xml:space="preserve">Projet </w:t>
      </w:r>
      <w:r w:rsidRPr="00EE7800">
        <w:rPr>
          <w:rFonts w:eastAsia="Calibri"/>
          <w:lang w:val="fr-BE" w:eastAsia="en-GB"/>
        </w:rPr>
        <w:t>de</w:t>
      </w:r>
      <w:r w:rsidRPr="0039007A">
        <w:rPr>
          <w:lang w:val="fr-BE"/>
        </w:rPr>
        <w:t xml:space="preserve"> recommandation du Conseil concernant la mise en œuvre des grandes orientations des politiques économiques des États membres dont la monnaie est l'euro</w:t>
      </w:r>
    </w:p>
    <w:p w:rsidR="004819D4" w:rsidRPr="0039007A" w:rsidRDefault="004819D4" w:rsidP="00BA29C9">
      <w:pPr>
        <w:pStyle w:val="DashEqual2"/>
        <w:rPr>
          <w:lang w:val="fr-BE"/>
        </w:rPr>
      </w:pPr>
      <w:r w:rsidRPr="0039007A">
        <w:rPr>
          <w:lang w:val="fr-BE" w:eastAsia="fr-FR" w:bidi="fr-FR"/>
        </w:rPr>
        <w:t>Présentation</w:t>
      </w:r>
      <w:r w:rsidRPr="0039007A">
        <w:rPr>
          <w:lang w:val="fr-BE"/>
        </w:rPr>
        <w:t xml:space="preserve"> par la Commission et échange de vues</w:t>
      </w:r>
    </w:p>
    <w:p w:rsidR="004819D4" w:rsidRPr="0039007A" w:rsidRDefault="00A437F4" w:rsidP="00A437F4">
      <w:pPr>
        <w:pStyle w:val="PointManual"/>
        <w:spacing w:before="360"/>
        <w:rPr>
          <w:lang w:val="fr-BE" w:eastAsia="en-GB"/>
        </w:rPr>
      </w:pPr>
      <w:r>
        <w:rPr>
          <w:lang w:val="fr-BE" w:eastAsia="en-GB"/>
        </w:rPr>
        <w:t>-</w:t>
      </w:r>
      <w:r>
        <w:rPr>
          <w:lang w:val="fr-BE" w:eastAsia="en-GB"/>
        </w:rPr>
        <w:tab/>
      </w:r>
      <w:r w:rsidR="004819D4" w:rsidRPr="0039007A">
        <w:rPr>
          <w:lang w:val="fr-BE" w:eastAsia="en-GB"/>
        </w:rPr>
        <w:t>(évent.) Position commune sur la flexibilité dans le Pacte de stabilité et de croissance</w:t>
      </w:r>
    </w:p>
    <w:p w:rsidR="004819D4" w:rsidRPr="0039007A" w:rsidRDefault="004819D4" w:rsidP="00BA29C9">
      <w:pPr>
        <w:pStyle w:val="DashEqual1"/>
        <w:rPr>
          <w:lang w:val="fr-BE" w:eastAsia="en-GB"/>
        </w:rPr>
      </w:pPr>
      <w:r w:rsidRPr="0039007A">
        <w:rPr>
          <w:lang w:val="fr-BE" w:eastAsia="en-GB"/>
        </w:rPr>
        <w:t>Approbation</w:t>
      </w:r>
    </w:p>
    <w:p w:rsidR="004819D4" w:rsidRPr="0039007A" w:rsidRDefault="00A437F4" w:rsidP="00A437F4">
      <w:pPr>
        <w:pStyle w:val="PointManual"/>
        <w:spacing w:before="360"/>
        <w:rPr>
          <w:rFonts w:eastAsia="Calibri" w:cs="Arial"/>
          <w:szCs w:val="22"/>
          <w:lang w:val="fr-BE" w:eastAsia="en-GB"/>
        </w:rPr>
      </w:pPr>
      <w:r>
        <w:rPr>
          <w:lang w:val="fr-BE" w:eastAsia="en-GB"/>
        </w:rPr>
        <w:t>-</w:t>
      </w:r>
      <w:r>
        <w:rPr>
          <w:lang w:val="fr-BE" w:eastAsia="en-GB"/>
        </w:rPr>
        <w:tab/>
      </w:r>
      <w:r w:rsidR="004819D4" w:rsidRPr="00A437F4">
        <w:rPr>
          <w:lang w:val="fr-BE" w:eastAsia="en-GB"/>
        </w:rPr>
        <w:t>Statistiques</w:t>
      </w:r>
    </w:p>
    <w:p w:rsidR="004819D4" w:rsidRPr="0039007A" w:rsidRDefault="004819D4" w:rsidP="00EE7800">
      <w:pPr>
        <w:pStyle w:val="Dash1"/>
        <w:rPr>
          <w:rFonts w:eastAsia="Calibri" w:cs="Arial"/>
          <w:szCs w:val="22"/>
          <w:lang w:val="fr-BE" w:eastAsia="en-GB"/>
        </w:rPr>
      </w:pPr>
      <w:r w:rsidRPr="00EE7800">
        <w:rPr>
          <w:rFonts w:eastAsia="Calibri"/>
          <w:lang w:val="fr-BE" w:eastAsia="en-GB"/>
        </w:rPr>
        <w:t>Statistiques</w:t>
      </w:r>
      <w:r w:rsidRPr="0039007A">
        <w:rPr>
          <w:rFonts w:eastAsia="Calibri" w:cs="Arial"/>
          <w:szCs w:val="22"/>
          <w:lang w:val="fr-BE" w:eastAsia="en-GB"/>
        </w:rPr>
        <w:t xml:space="preserve"> de l'UE</w:t>
      </w:r>
    </w:p>
    <w:p w:rsidR="004819D4" w:rsidRPr="0039007A" w:rsidRDefault="004819D4" w:rsidP="00BA29C9">
      <w:pPr>
        <w:pStyle w:val="DashEqual2"/>
        <w:rPr>
          <w:rFonts w:eastAsia="Calibri"/>
          <w:lang w:val="fr-BE" w:eastAsia="en-GB"/>
        </w:rPr>
      </w:pPr>
      <w:r w:rsidRPr="0039007A">
        <w:rPr>
          <w:rFonts w:eastAsia="Calibri"/>
          <w:lang w:val="fr-BE" w:eastAsia="en-GB"/>
        </w:rPr>
        <w:t xml:space="preserve">Conclusions du Conseil </w:t>
      </w:r>
    </w:p>
    <w:p w:rsidR="004819D4" w:rsidRPr="0039007A" w:rsidRDefault="004819D4" w:rsidP="00EE7800">
      <w:pPr>
        <w:pStyle w:val="Dash1"/>
        <w:rPr>
          <w:rFonts w:eastAsia="Calibri" w:cs="Arial"/>
          <w:szCs w:val="22"/>
          <w:lang w:val="fr-BE" w:eastAsia="en-GB"/>
        </w:rPr>
      </w:pPr>
      <w:r w:rsidRPr="0039007A">
        <w:rPr>
          <w:rFonts w:eastAsia="Calibri" w:cs="Arial"/>
          <w:szCs w:val="22"/>
          <w:lang w:val="fr-BE" w:eastAsia="en-GB"/>
        </w:rPr>
        <w:t xml:space="preserve">Mise </w:t>
      </w:r>
      <w:r w:rsidRPr="00EE7800">
        <w:rPr>
          <w:rFonts w:eastAsia="Calibri"/>
          <w:lang w:val="fr-BE" w:eastAsia="en-GB"/>
        </w:rPr>
        <w:t>en</w:t>
      </w:r>
      <w:r w:rsidRPr="0039007A">
        <w:rPr>
          <w:rFonts w:eastAsia="Calibri" w:cs="Arial"/>
          <w:szCs w:val="22"/>
          <w:lang w:val="fr-BE" w:eastAsia="en-GB"/>
        </w:rPr>
        <w:t xml:space="preserve"> œuvre du code de bonnes pratiques </w:t>
      </w:r>
    </w:p>
    <w:p w:rsidR="004819D4" w:rsidRPr="0039007A" w:rsidRDefault="004819D4" w:rsidP="00BA29C9">
      <w:pPr>
        <w:pStyle w:val="DashEqual2"/>
        <w:rPr>
          <w:rFonts w:eastAsia="Calibri" w:cs="Arial"/>
          <w:szCs w:val="22"/>
          <w:lang w:val="fr-BE" w:eastAsia="en-GB"/>
        </w:rPr>
      </w:pPr>
      <w:r w:rsidRPr="00BA29C9">
        <w:rPr>
          <w:rFonts w:eastAsia="Calibri"/>
          <w:lang w:val="fr-BE" w:eastAsia="en-GB"/>
        </w:rPr>
        <w:t>Conclusions</w:t>
      </w:r>
      <w:r w:rsidRPr="0039007A">
        <w:rPr>
          <w:rFonts w:eastAsia="Calibri" w:cs="Arial"/>
          <w:szCs w:val="22"/>
          <w:lang w:val="fr-BE" w:eastAsia="en-GB"/>
        </w:rPr>
        <w:t xml:space="preserve"> du Conseil</w:t>
      </w:r>
    </w:p>
    <w:p w:rsidR="004819D4" w:rsidRPr="0039007A" w:rsidRDefault="00F30FC1" w:rsidP="00A437F4">
      <w:pPr>
        <w:pStyle w:val="PointManual"/>
        <w:spacing w:before="360"/>
        <w:rPr>
          <w:lang w:val="fr-BE" w:eastAsia="en-GB"/>
        </w:rPr>
      </w:pPr>
      <w:r>
        <w:rPr>
          <w:lang w:val="fr-BE" w:eastAsia="en-GB"/>
        </w:rPr>
        <w:br w:type="page"/>
      </w:r>
      <w:r w:rsidR="00A437F4">
        <w:rPr>
          <w:lang w:val="fr-BE" w:eastAsia="en-GB"/>
        </w:rPr>
        <w:lastRenderedPageBreak/>
        <w:t>-</w:t>
      </w:r>
      <w:r w:rsidR="00A437F4">
        <w:rPr>
          <w:lang w:val="fr-BE" w:eastAsia="en-GB"/>
        </w:rPr>
        <w:tab/>
      </w:r>
      <w:r w:rsidR="004819D4" w:rsidRPr="0039007A">
        <w:rPr>
          <w:lang w:val="fr-BE" w:eastAsia="en-GB"/>
        </w:rPr>
        <w:t xml:space="preserve">Rapport annuel de la Cour des comptes européenne relatif à l'exécution du budget de l'Union européenne pour l'exercice 2014 </w:t>
      </w:r>
    </w:p>
    <w:p w:rsidR="004819D4" w:rsidRPr="0039007A" w:rsidRDefault="004819D4" w:rsidP="00BA29C9">
      <w:pPr>
        <w:pStyle w:val="DashEqual1"/>
        <w:rPr>
          <w:lang w:val="fr-BE" w:eastAsia="en-GB"/>
        </w:rPr>
      </w:pPr>
      <w:r w:rsidRPr="0039007A">
        <w:rPr>
          <w:lang w:val="fr-BE" w:eastAsia="en-GB"/>
        </w:rPr>
        <w:t>Présentation et échange de vues</w:t>
      </w:r>
    </w:p>
    <w:p w:rsidR="004819D4" w:rsidRDefault="00A437F4" w:rsidP="00167D26">
      <w:pPr>
        <w:pStyle w:val="PointManual"/>
        <w:spacing w:before="360"/>
        <w:rPr>
          <w:lang w:val="fr-BE" w:eastAsia="en-GB"/>
        </w:rPr>
      </w:pPr>
      <w:r w:rsidRPr="00167D26">
        <w:rPr>
          <w:lang w:val="fr-BE" w:eastAsia="en-GB"/>
        </w:rPr>
        <w:t>-</w:t>
      </w:r>
      <w:r w:rsidRPr="00167D26">
        <w:rPr>
          <w:lang w:val="fr-BE" w:eastAsia="en-GB"/>
        </w:rPr>
        <w:tab/>
      </w:r>
      <w:r w:rsidR="004819D4" w:rsidRPr="00167D26">
        <w:rPr>
          <w:lang w:val="fr-BE" w:eastAsia="en-GB"/>
        </w:rPr>
        <w:t>Divers</w:t>
      </w:r>
    </w:p>
    <w:p w:rsidR="00F23C9A" w:rsidRDefault="00F23C9A" w:rsidP="00F23C9A">
      <w:pPr>
        <w:pStyle w:val="Dash1"/>
        <w:rPr>
          <w:lang w:val="fr-BE" w:eastAsia="en-GB"/>
        </w:rPr>
      </w:pPr>
      <w:r>
        <w:rPr>
          <w:lang w:val="fr-BE" w:eastAsia="en-GB"/>
        </w:rPr>
        <w:t>Lutte contre le financement du terrorisme</w:t>
      </w:r>
    </w:p>
    <w:p w:rsidR="00F23C9A" w:rsidRDefault="00F23C9A" w:rsidP="00F23C9A">
      <w:pPr>
        <w:pStyle w:val="DashEqual2"/>
        <w:rPr>
          <w:lang w:val="fr-BE" w:eastAsia="en-GB"/>
        </w:rPr>
      </w:pPr>
      <w:r>
        <w:rPr>
          <w:lang w:val="fr-BE" w:eastAsia="en-GB"/>
        </w:rPr>
        <w:t>Présentation par la Commission des initiatives dans le domaine de la lutte contre le financement du terrorisme et échange de vues</w:t>
      </w:r>
      <w:bookmarkStart w:id="1" w:name="_GoBack"/>
      <w:bookmarkEnd w:id="1"/>
    </w:p>
    <w:p w:rsidR="00167D26" w:rsidRPr="00167D26" w:rsidRDefault="00167D26" w:rsidP="00167D26">
      <w:pPr>
        <w:pStyle w:val="PointManual"/>
        <w:spacing w:before="360"/>
        <w:rPr>
          <w:lang w:val="fr-BE" w:eastAsia="en-GB"/>
        </w:rPr>
      </w:pPr>
    </w:p>
    <w:p w:rsidR="004819D4" w:rsidRPr="0039007A" w:rsidRDefault="004819D4" w:rsidP="004819D4">
      <w:pPr>
        <w:rPr>
          <w:b/>
          <w:bCs/>
          <w:u w:val="single"/>
          <w:lang w:val="fr-BE"/>
        </w:rPr>
      </w:pPr>
    </w:p>
    <w:p w:rsidR="00F30FC1" w:rsidRDefault="00F30FC1" w:rsidP="004819D4">
      <w:pPr>
        <w:rPr>
          <w:b/>
          <w:bCs/>
          <w:u w:val="single"/>
          <w:lang w:val="fr-BE"/>
        </w:rPr>
      </w:pPr>
    </w:p>
    <w:p w:rsidR="00F30FC1" w:rsidRDefault="00F30FC1" w:rsidP="00F30FC1">
      <w:pPr>
        <w:pStyle w:val="NormalCentered"/>
        <w:rPr>
          <w:lang w:val="fr-BE"/>
        </w:rPr>
      </w:pPr>
      <w:r>
        <w:rPr>
          <w:lang w:val="fr-BE"/>
        </w:rPr>
        <w:t>°</w:t>
      </w:r>
    </w:p>
    <w:p w:rsidR="00F30FC1" w:rsidRDefault="00F30FC1" w:rsidP="00F30FC1">
      <w:pPr>
        <w:pStyle w:val="NormalCentered"/>
        <w:rPr>
          <w:lang w:val="fr-BE"/>
        </w:rPr>
      </w:pPr>
      <w:r>
        <w:rPr>
          <w:lang w:val="fr-BE"/>
        </w:rPr>
        <w:t>°          °</w:t>
      </w:r>
    </w:p>
    <w:p w:rsidR="00F30FC1" w:rsidRDefault="00F30FC1" w:rsidP="004819D4">
      <w:pPr>
        <w:rPr>
          <w:b/>
          <w:bCs/>
          <w:u w:val="single"/>
          <w:lang w:val="fr-BE"/>
        </w:rPr>
      </w:pPr>
    </w:p>
    <w:p w:rsidR="004819D4" w:rsidRPr="0039007A" w:rsidRDefault="004819D4" w:rsidP="004819D4">
      <w:pPr>
        <w:rPr>
          <w:b/>
          <w:bCs/>
          <w:u w:val="single"/>
          <w:lang w:val="fr-BE"/>
        </w:rPr>
      </w:pPr>
      <w:r w:rsidRPr="0039007A">
        <w:rPr>
          <w:b/>
          <w:bCs/>
          <w:u w:val="single"/>
          <w:lang w:val="fr-BE"/>
        </w:rPr>
        <w:t>p.m.</w:t>
      </w:r>
    </w:p>
    <w:p w:rsidR="004819D4" w:rsidRPr="0039007A" w:rsidRDefault="004819D4" w:rsidP="004819D4">
      <w:pPr>
        <w:rPr>
          <w:b/>
          <w:bCs/>
          <w:lang w:val="fr-BE"/>
        </w:rPr>
      </w:pPr>
    </w:p>
    <w:p w:rsidR="004819D4" w:rsidRPr="0039007A" w:rsidRDefault="004819D4" w:rsidP="004819D4">
      <w:pPr>
        <w:rPr>
          <w:b/>
          <w:bCs/>
          <w:u w:val="single"/>
          <w:lang w:val="fr-BE"/>
        </w:rPr>
      </w:pPr>
      <w:r w:rsidRPr="0039007A">
        <w:rPr>
          <w:b/>
          <w:bCs/>
          <w:u w:val="single"/>
          <w:lang w:val="fr-BE"/>
        </w:rPr>
        <w:t>Lundi 7 décembre 2015</w:t>
      </w:r>
    </w:p>
    <w:p w:rsidR="004819D4" w:rsidRPr="0039007A" w:rsidRDefault="004819D4" w:rsidP="004819D4">
      <w:pPr>
        <w:rPr>
          <w:u w:val="single"/>
          <w:lang w:val="fr-BE"/>
        </w:rPr>
      </w:pPr>
    </w:p>
    <w:p w:rsidR="004819D4" w:rsidRPr="0039007A" w:rsidRDefault="004819D4" w:rsidP="004819D4">
      <w:pPr>
        <w:rPr>
          <w:lang w:val="fr-BE"/>
        </w:rPr>
      </w:pPr>
      <w:r w:rsidRPr="00F30FC1">
        <w:rPr>
          <w:b/>
          <w:bCs/>
          <w:lang w:val="fr-BE"/>
        </w:rPr>
        <w:t>15h00</w:t>
      </w:r>
      <w:r w:rsidRPr="0039007A">
        <w:rPr>
          <w:lang w:val="fr-BE"/>
        </w:rPr>
        <w:tab/>
        <w:t>Eurogroupe</w:t>
      </w:r>
    </w:p>
    <w:p w:rsidR="004819D4" w:rsidRPr="0039007A" w:rsidRDefault="004819D4" w:rsidP="004819D4">
      <w:pPr>
        <w:rPr>
          <w:lang w:val="fr-BE"/>
        </w:rPr>
      </w:pPr>
    </w:p>
    <w:p w:rsidR="00F30FC1" w:rsidRDefault="00F30FC1" w:rsidP="004819D4">
      <w:pPr>
        <w:rPr>
          <w:b/>
          <w:bCs/>
          <w:u w:val="single"/>
          <w:lang w:val="fr-BE"/>
        </w:rPr>
      </w:pPr>
    </w:p>
    <w:p w:rsidR="004819D4" w:rsidRPr="0039007A" w:rsidRDefault="004819D4" w:rsidP="004819D4">
      <w:pPr>
        <w:rPr>
          <w:b/>
          <w:bCs/>
          <w:u w:val="single"/>
          <w:lang w:val="fr-BE"/>
        </w:rPr>
      </w:pPr>
      <w:r w:rsidRPr="0039007A">
        <w:rPr>
          <w:b/>
          <w:bCs/>
          <w:u w:val="single"/>
          <w:lang w:val="fr-BE"/>
        </w:rPr>
        <w:t>Mardi 8 décembre 2015</w:t>
      </w:r>
    </w:p>
    <w:p w:rsidR="004819D4" w:rsidRPr="0039007A" w:rsidRDefault="004819D4" w:rsidP="004819D4">
      <w:pPr>
        <w:rPr>
          <w:u w:val="single"/>
          <w:lang w:val="fr-BE"/>
        </w:rPr>
      </w:pPr>
    </w:p>
    <w:p w:rsidR="004819D4" w:rsidRPr="0039007A" w:rsidRDefault="004819D4" w:rsidP="004819D4">
      <w:pPr>
        <w:rPr>
          <w:lang w:val="fr-BE"/>
        </w:rPr>
      </w:pPr>
      <w:r w:rsidRPr="00F30FC1">
        <w:rPr>
          <w:b/>
          <w:bCs/>
          <w:lang w:val="fr-BE"/>
        </w:rPr>
        <w:t>09h00</w:t>
      </w:r>
      <w:r w:rsidRPr="0039007A">
        <w:rPr>
          <w:lang w:val="fr-BE"/>
        </w:rPr>
        <w:tab/>
        <w:t>Petit-déjeuner</w:t>
      </w:r>
    </w:p>
    <w:p w:rsidR="004819D4" w:rsidRPr="0039007A" w:rsidRDefault="004819D4" w:rsidP="004819D4">
      <w:pPr>
        <w:rPr>
          <w:lang w:val="fr-BE"/>
        </w:rPr>
      </w:pPr>
    </w:p>
    <w:p w:rsidR="004819D4" w:rsidRPr="0039007A" w:rsidRDefault="004819D4" w:rsidP="004819D4">
      <w:pPr>
        <w:rPr>
          <w:lang w:val="fr-BE"/>
        </w:rPr>
      </w:pPr>
      <w:r w:rsidRPr="00F30FC1">
        <w:rPr>
          <w:b/>
          <w:bCs/>
          <w:lang w:val="fr-BE"/>
        </w:rPr>
        <w:t>10h00</w:t>
      </w:r>
      <w:r w:rsidRPr="0039007A">
        <w:rPr>
          <w:lang w:val="fr-BE"/>
        </w:rPr>
        <w:tab/>
        <w:t>Session informelle</w:t>
      </w:r>
    </w:p>
    <w:p w:rsidR="004819D4" w:rsidRPr="0039007A" w:rsidRDefault="004819D4" w:rsidP="004819D4">
      <w:pPr>
        <w:rPr>
          <w:lang w:val="fr-BE"/>
        </w:rPr>
      </w:pPr>
    </w:p>
    <w:p w:rsidR="004819D4" w:rsidRDefault="004819D4" w:rsidP="004819D4">
      <w:pPr>
        <w:rPr>
          <w:lang w:val="fr-BE"/>
        </w:rPr>
      </w:pPr>
      <w:r w:rsidRPr="00F30FC1">
        <w:rPr>
          <w:b/>
          <w:bCs/>
          <w:lang w:val="fr-BE"/>
        </w:rPr>
        <w:t>10h15</w:t>
      </w:r>
      <w:r w:rsidRPr="0039007A">
        <w:rPr>
          <w:lang w:val="fr-BE"/>
        </w:rPr>
        <w:tab/>
        <w:t>Conseil (ECOFIN)</w:t>
      </w:r>
    </w:p>
    <w:p w:rsidR="00AC4218" w:rsidRDefault="00AC4218" w:rsidP="004819D4">
      <w:pPr>
        <w:rPr>
          <w:lang w:val="fr-BE"/>
        </w:rPr>
      </w:pPr>
    </w:p>
    <w:p w:rsidR="00AC4218" w:rsidRDefault="00AC4218" w:rsidP="00AC4218">
      <w:pPr>
        <w:pStyle w:val="FinalLine"/>
      </w:pPr>
    </w:p>
    <w:p w:rsidR="00AC4218" w:rsidRPr="003731F4" w:rsidRDefault="00AC4218" w:rsidP="00AC4218">
      <w:pPr>
        <w:pStyle w:val="NB"/>
        <w:rPr>
          <w:b/>
          <w:bCs/>
        </w:rPr>
      </w:pPr>
      <w:r w:rsidRPr="003731F4">
        <w:rPr>
          <w:b/>
          <w:bCs/>
        </w:rPr>
        <w:t>NB:</w:t>
      </w:r>
      <w:r w:rsidRPr="003731F4">
        <w:rPr>
          <w:b/>
          <w:bCs/>
        </w:rPr>
        <w:tab/>
        <w:t>Veuillez transmettre au service du protocole, aussi rapidement que possible, une liste des délégués qui participeront à cette réunion. Adresse électronique: protocole.participants@consilium.europa.eu</w:t>
      </w:r>
    </w:p>
    <w:p w:rsidR="00AC4218" w:rsidRDefault="00AC4218" w:rsidP="00AC4218">
      <w:pPr>
        <w:pStyle w:val="NB"/>
        <w:rPr>
          <w:b/>
          <w:bCs/>
        </w:rPr>
      </w:pPr>
      <w:r w:rsidRPr="003731F4">
        <w:rPr>
          <w:b/>
          <w:bCs/>
        </w:rPr>
        <w:t>NB:</w:t>
      </w:r>
      <w:r w:rsidRPr="003731F4">
        <w:rPr>
          <w:b/>
          <w:bCs/>
        </w:rPr>
        <w:tab/>
        <w:t>Il est recommandé aux délégués devant obtenir un badge journalier pour assister aux réunions de consulter le document 14387/1/12 REV 1 afin de prendre connaissance des modalités d'obtention de ce badge.</w:t>
      </w:r>
    </w:p>
    <w:sectPr w:rsidR="00AC4218" w:rsidSect="00DE59A3">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B6" w:rsidRDefault="00416AB6" w:rsidP="00BE3C99">
      <w:r>
        <w:separator/>
      </w:r>
    </w:p>
  </w:endnote>
  <w:endnote w:type="continuationSeparator" w:id="0">
    <w:p w:rsidR="00416AB6" w:rsidRDefault="00416AB6" w:rsidP="00BE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3" w:rsidRPr="00DE59A3" w:rsidRDefault="00DE59A3" w:rsidP="00DE5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E59A3" w:rsidRPr="00D94637" w:rsidTr="00DE59A3">
      <w:trPr>
        <w:jc w:val="center"/>
      </w:trPr>
      <w:tc>
        <w:tcPr>
          <w:tcW w:w="5000" w:type="pct"/>
          <w:gridSpan w:val="7"/>
          <w:shd w:val="clear" w:color="auto" w:fill="auto"/>
          <w:tcMar>
            <w:top w:w="57" w:type="dxa"/>
          </w:tcMar>
        </w:tcPr>
        <w:p w:rsidR="00DE59A3" w:rsidRPr="00D94637" w:rsidRDefault="00DE59A3" w:rsidP="00D94637">
          <w:pPr>
            <w:pStyle w:val="FooterText"/>
            <w:pBdr>
              <w:top w:val="single" w:sz="4" w:space="1" w:color="auto"/>
            </w:pBdr>
            <w:spacing w:before="200"/>
            <w:rPr>
              <w:sz w:val="2"/>
              <w:szCs w:val="2"/>
            </w:rPr>
          </w:pPr>
          <w:bookmarkStart w:id="2" w:name="FOOTER_STANDARD"/>
        </w:p>
      </w:tc>
    </w:tr>
    <w:tr w:rsidR="00DE59A3" w:rsidRPr="00B310DC" w:rsidTr="00DE59A3">
      <w:trPr>
        <w:jc w:val="center"/>
      </w:trPr>
      <w:tc>
        <w:tcPr>
          <w:tcW w:w="2500" w:type="pct"/>
          <w:gridSpan w:val="2"/>
          <w:shd w:val="clear" w:color="auto" w:fill="auto"/>
          <w:tcMar>
            <w:top w:w="0" w:type="dxa"/>
          </w:tcMar>
        </w:tcPr>
        <w:p w:rsidR="00DE59A3" w:rsidRPr="00AD7BF2" w:rsidRDefault="00DE59A3" w:rsidP="004F54B2">
          <w:pPr>
            <w:pStyle w:val="FooterText"/>
          </w:pPr>
          <w:r>
            <w:t>CM 4743/15</w:t>
          </w:r>
          <w:r w:rsidRPr="002511D8">
            <w:t xml:space="preserve"> </w:t>
          </w:r>
        </w:p>
      </w:tc>
      <w:tc>
        <w:tcPr>
          <w:tcW w:w="625" w:type="pct"/>
          <w:shd w:val="clear" w:color="auto" w:fill="auto"/>
          <w:tcMar>
            <w:top w:w="0" w:type="dxa"/>
          </w:tcMar>
        </w:tcPr>
        <w:p w:rsidR="00DE59A3" w:rsidRPr="00AD7BF2" w:rsidRDefault="00DE59A3" w:rsidP="00D94637">
          <w:pPr>
            <w:pStyle w:val="FooterText"/>
            <w:jc w:val="center"/>
          </w:pPr>
        </w:p>
      </w:tc>
      <w:tc>
        <w:tcPr>
          <w:tcW w:w="1287" w:type="pct"/>
          <w:gridSpan w:val="3"/>
          <w:shd w:val="clear" w:color="auto" w:fill="auto"/>
          <w:tcMar>
            <w:top w:w="0" w:type="dxa"/>
          </w:tcMar>
        </w:tcPr>
        <w:p w:rsidR="00DE59A3" w:rsidRPr="002511D8" w:rsidRDefault="00DE59A3" w:rsidP="00D94637">
          <w:pPr>
            <w:pStyle w:val="FooterText"/>
            <w:jc w:val="center"/>
          </w:pPr>
        </w:p>
      </w:tc>
      <w:tc>
        <w:tcPr>
          <w:tcW w:w="588" w:type="pct"/>
          <w:shd w:val="clear" w:color="auto" w:fill="auto"/>
          <w:tcMar>
            <w:top w:w="0" w:type="dxa"/>
          </w:tcMar>
        </w:tcPr>
        <w:p w:rsidR="00DE59A3" w:rsidRPr="00B310DC" w:rsidRDefault="00DE59A3"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DE59A3" w:rsidRPr="00D94637" w:rsidTr="00DE59A3">
      <w:trPr>
        <w:jc w:val="center"/>
      </w:trPr>
      <w:tc>
        <w:tcPr>
          <w:tcW w:w="1774" w:type="pct"/>
          <w:shd w:val="clear" w:color="auto" w:fill="auto"/>
        </w:tcPr>
        <w:p w:rsidR="00DE59A3" w:rsidRPr="00AD7BF2" w:rsidRDefault="00DE59A3" w:rsidP="00D94637">
          <w:pPr>
            <w:pStyle w:val="FooterText"/>
            <w:spacing w:before="40"/>
          </w:pPr>
        </w:p>
      </w:tc>
      <w:tc>
        <w:tcPr>
          <w:tcW w:w="1455" w:type="pct"/>
          <w:gridSpan w:val="3"/>
          <w:shd w:val="clear" w:color="auto" w:fill="auto"/>
        </w:tcPr>
        <w:p w:rsidR="00DE59A3" w:rsidRPr="00AD7BF2" w:rsidRDefault="00DE59A3" w:rsidP="00D204D6">
          <w:pPr>
            <w:pStyle w:val="FooterText"/>
            <w:spacing w:before="40"/>
            <w:jc w:val="center"/>
          </w:pPr>
        </w:p>
      </w:tc>
      <w:tc>
        <w:tcPr>
          <w:tcW w:w="1147" w:type="pct"/>
          <w:shd w:val="clear" w:color="auto" w:fill="auto"/>
        </w:tcPr>
        <w:p w:rsidR="00DE59A3" w:rsidRPr="00D94637" w:rsidRDefault="00DE59A3" w:rsidP="00D94637">
          <w:pPr>
            <w:pStyle w:val="FooterText"/>
            <w:jc w:val="right"/>
            <w:rPr>
              <w:b/>
              <w:position w:val="-4"/>
              <w:sz w:val="36"/>
            </w:rPr>
          </w:pPr>
        </w:p>
      </w:tc>
      <w:tc>
        <w:tcPr>
          <w:tcW w:w="625" w:type="pct"/>
          <w:gridSpan w:val="2"/>
          <w:shd w:val="clear" w:color="auto" w:fill="auto"/>
        </w:tcPr>
        <w:p w:rsidR="00DE59A3" w:rsidRPr="00D94637" w:rsidRDefault="00DE59A3" w:rsidP="00D94637">
          <w:pPr>
            <w:pStyle w:val="FooterText"/>
            <w:jc w:val="right"/>
            <w:rPr>
              <w:sz w:val="16"/>
            </w:rPr>
          </w:pPr>
          <w:r>
            <w:rPr>
              <w:b/>
              <w:position w:val="-4"/>
              <w:sz w:val="36"/>
            </w:rPr>
            <w:t>FR</w:t>
          </w:r>
        </w:p>
      </w:tc>
    </w:tr>
    <w:bookmarkEnd w:id="2"/>
  </w:tbl>
  <w:p w:rsidR="00BE3C99" w:rsidRPr="00DE59A3" w:rsidRDefault="00BE3C99" w:rsidP="00DE59A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E59A3" w:rsidRPr="00D94637" w:rsidTr="00DE59A3">
      <w:trPr>
        <w:jc w:val="center"/>
      </w:trPr>
      <w:tc>
        <w:tcPr>
          <w:tcW w:w="5000" w:type="pct"/>
          <w:gridSpan w:val="7"/>
          <w:shd w:val="clear" w:color="auto" w:fill="auto"/>
          <w:tcMar>
            <w:top w:w="57" w:type="dxa"/>
          </w:tcMar>
        </w:tcPr>
        <w:p w:rsidR="00DE59A3" w:rsidRPr="00D94637" w:rsidRDefault="00DE59A3" w:rsidP="00D94637">
          <w:pPr>
            <w:pStyle w:val="FooterText"/>
            <w:pBdr>
              <w:top w:val="single" w:sz="4" w:space="1" w:color="auto"/>
            </w:pBdr>
            <w:spacing w:before="200"/>
            <w:rPr>
              <w:sz w:val="2"/>
              <w:szCs w:val="2"/>
            </w:rPr>
          </w:pPr>
        </w:p>
      </w:tc>
    </w:tr>
    <w:tr w:rsidR="00DE59A3" w:rsidRPr="00B310DC" w:rsidTr="00DE59A3">
      <w:trPr>
        <w:jc w:val="center"/>
      </w:trPr>
      <w:tc>
        <w:tcPr>
          <w:tcW w:w="2500" w:type="pct"/>
          <w:gridSpan w:val="2"/>
          <w:shd w:val="clear" w:color="auto" w:fill="auto"/>
          <w:tcMar>
            <w:top w:w="0" w:type="dxa"/>
          </w:tcMar>
        </w:tcPr>
        <w:p w:rsidR="00DE59A3" w:rsidRPr="00AD7BF2" w:rsidRDefault="00DE59A3" w:rsidP="004F54B2">
          <w:pPr>
            <w:pStyle w:val="FooterText"/>
          </w:pPr>
          <w:r>
            <w:t>CM 4743/15</w:t>
          </w:r>
          <w:r w:rsidRPr="002511D8">
            <w:t xml:space="preserve"> </w:t>
          </w:r>
        </w:p>
      </w:tc>
      <w:tc>
        <w:tcPr>
          <w:tcW w:w="625" w:type="pct"/>
          <w:shd w:val="clear" w:color="auto" w:fill="auto"/>
          <w:tcMar>
            <w:top w:w="0" w:type="dxa"/>
          </w:tcMar>
        </w:tcPr>
        <w:p w:rsidR="00DE59A3" w:rsidRPr="00AD7BF2" w:rsidRDefault="00DE59A3" w:rsidP="00D94637">
          <w:pPr>
            <w:pStyle w:val="FooterText"/>
            <w:jc w:val="center"/>
          </w:pPr>
        </w:p>
      </w:tc>
      <w:tc>
        <w:tcPr>
          <w:tcW w:w="1287" w:type="pct"/>
          <w:gridSpan w:val="3"/>
          <w:shd w:val="clear" w:color="auto" w:fill="auto"/>
          <w:tcMar>
            <w:top w:w="0" w:type="dxa"/>
          </w:tcMar>
        </w:tcPr>
        <w:p w:rsidR="00DE59A3" w:rsidRPr="002511D8" w:rsidRDefault="00DE59A3" w:rsidP="00D94637">
          <w:pPr>
            <w:pStyle w:val="FooterText"/>
            <w:jc w:val="center"/>
          </w:pPr>
        </w:p>
      </w:tc>
      <w:tc>
        <w:tcPr>
          <w:tcW w:w="588" w:type="pct"/>
          <w:shd w:val="clear" w:color="auto" w:fill="auto"/>
          <w:tcMar>
            <w:top w:w="0" w:type="dxa"/>
          </w:tcMar>
        </w:tcPr>
        <w:p w:rsidR="00DE59A3" w:rsidRPr="00B310DC" w:rsidRDefault="00DE59A3"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DE59A3" w:rsidRPr="00D94637" w:rsidTr="00DE59A3">
      <w:trPr>
        <w:jc w:val="center"/>
      </w:trPr>
      <w:tc>
        <w:tcPr>
          <w:tcW w:w="1774" w:type="pct"/>
          <w:shd w:val="clear" w:color="auto" w:fill="auto"/>
        </w:tcPr>
        <w:p w:rsidR="00DE59A3" w:rsidRPr="00AD7BF2" w:rsidRDefault="00DE59A3" w:rsidP="00D94637">
          <w:pPr>
            <w:pStyle w:val="FooterText"/>
            <w:spacing w:before="40"/>
          </w:pPr>
        </w:p>
      </w:tc>
      <w:tc>
        <w:tcPr>
          <w:tcW w:w="1455" w:type="pct"/>
          <w:gridSpan w:val="3"/>
          <w:shd w:val="clear" w:color="auto" w:fill="auto"/>
        </w:tcPr>
        <w:p w:rsidR="00DE59A3" w:rsidRPr="00AD7BF2" w:rsidRDefault="00DE59A3" w:rsidP="00D204D6">
          <w:pPr>
            <w:pStyle w:val="FooterText"/>
            <w:spacing w:before="40"/>
            <w:jc w:val="center"/>
          </w:pPr>
        </w:p>
      </w:tc>
      <w:tc>
        <w:tcPr>
          <w:tcW w:w="1147" w:type="pct"/>
          <w:shd w:val="clear" w:color="auto" w:fill="auto"/>
        </w:tcPr>
        <w:p w:rsidR="00DE59A3" w:rsidRPr="00D94637" w:rsidRDefault="00DE59A3" w:rsidP="00D94637">
          <w:pPr>
            <w:pStyle w:val="FooterText"/>
            <w:jc w:val="right"/>
            <w:rPr>
              <w:b/>
              <w:position w:val="-4"/>
              <w:sz w:val="36"/>
            </w:rPr>
          </w:pPr>
        </w:p>
      </w:tc>
      <w:tc>
        <w:tcPr>
          <w:tcW w:w="625" w:type="pct"/>
          <w:gridSpan w:val="2"/>
          <w:shd w:val="clear" w:color="auto" w:fill="auto"/>
        </w:tcPr>
        <w:p w:rsidR="00DE59A3" w:rsidRPr="00D94637" w:rsidRDefault="00DE59A3" w:rsidP="00D94637">
          <w:pPr>
            <w:pStyle w:val="FooterText"/>
            <w:jc w:val="right"/>
            <w:rPr>
              <w:sz w:val="16"/>
            </w:rPr>
          </w:pPr>
          <w:r>
            <w:rPr>
              <w:b/>
              <w:position w:val="-4"/>
              <w:sz w:val="36"/>
            </w:rPr>
            <w:t>FR</w:t>
          </w:r>
        </w:p>
      </w:tc>
    </w:tr>
  </w:tbl>
  <w:p w:rsidR="00BE3C99" w:rsidRPr="00DE59A3" w:rsidRDefault="00BE3C99" w:rsidP="00DE59A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B6" w:rsidRDefault="00416AB6" w:rsidP="00BE3C99">
      <w:r>
        <w:separator/>
      </w:r>
    </w:p>
  </w:footnote>
  <w:footnote w:type="continuationSeparator" w:id="0">
    <w:p w:rsidR="00416AB6" w:rsidRDefault="00416AB6" w:rsidP="00BE3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3" w:rsidRPr="00DE59A3" w:rsidRDefault="00DE59A3" w:rsidP="00DE5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3" w:rsidRPr="00DE59A3" w:rsidRDefault="00DE59A3" w:rsidP="00DE59A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A3" w:rsidRPr="00DE59A3" w:rsidRDefault="00DE59A3" w:rsidP="00DE59A3">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num>
  <w:num w:numId="2">
    <w:abstractNumId w:val="19"/>
  </w:num>
  <w:num w:numId="3">
    <w:abstractNumId w:val="6"/>
  </w:num>
  <w:num w:numId="4">
    <w:abstractNumId w:val="15"/>
  </w:num>
  <w:num w:numId="5">
    <w:abstractNumId w:val="4"/>
  </w:num>
  <w:num w:numId="6">
    <w:abstractNumId w:val="20"/>
  </w:num>
  <w:num w:numId="7">
    <w:abstractNumId w:val="11"/>
  </w:num>
  <w:num w:numId="8">
    <w:abstractNumId w:val="13"/>
  </w:num>
  <w:num w:numId="9">
    <w:abstractNumId w:val="16"/>
  </w:num>
  <w:num w:numId="10">
    <w:abstractNumId w:val="10"/>
  </w:num>
  <w:num w:numId="11">
    <w:abstractNumId w:val="1"/>
  </w:num>
  <w:num w:numId="12">
    <w:abstractNumId w:val="17"/>
  </w:num>
  <w:num w:numId="13">
    <w:abstractNumId w:val="9"/>
  </w:num>
  <w:num w:numId="14">
    <w:abstractNumId w:val="5"/>
  </w:num>
  <w:num w:numId="15">
    <w:abstractNumId w:val="18"/>
  </w:num>
  <w:num w:numId="16">
    <w:abstractNumId w:val="7"/>
  </w:num>
  <w:num w:numId="17">
    <w:abstractNumId w:val="0"/>
  </w:num>
  <w:num w:numId="18">
    <w:abstractNumId w:val="2"/>
  </w:num>
  <w:num w:numId="19">
    <w:abstractNumId w:val="8"/>
  </w:num>
  <w:num w:numId="20">
    <w:abstractNumId w:val="11"/>
  </w:num>
  <w:num w:numId="21">
    <w:abstractNumId w:val="13"/>
  </w:num>
  <w:num w:numId="22">
    <w:abstractNumId w:val="13"/>
  </w:num>
  <w:num w:numId="23">
    <w:abstractNumId w:val="13"/>
  </w:num>
  <w:num w:numId="24">
    <w:abstractNumId w:val="13"/>
  </w:num>
  <w:num w:numId="2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458c2be7-47c3-4391-a563-eb0a98b04511&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1-23&lt;/text&gt;_x000d__x000a_  &lt;/metadata&gt;_x000d__x000a_  &lt;metadata key=&quot;md_Prefix&quot;&gt;_x000d__x000a_    &lt;text&gt;CM&lt;/text&gt;_x000d__x000a_  &lt;/metadata&gt;_x000d__x000a_  &lt;metadata key=&quot;md_DocumentNumber&quot;&gt;_x000d__x000a_    &lt;text&gt;474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ECOFIN&lt;/text&gt;_x000d__x000a_    &lt;/textlist&gt;_x000d__x000a_  &lt;/metadata&gt;_x000d__x000a_  &lt;metadata key=&quot;md_Contact&quot;&gt;_x000d__x000a_    &lt;text&gt;M. Hans GILBERS_x000d__x000a_hans.gilbers@consilium.europa.eu&lt;/text&gt;_x000d__x000a_  &lt;/metadata&gt;_x000d__x000a_  &lt;metadata key=&quot;md_ContactPhoneFax&quot;&gt;_x000d__x000a_    &lt;text&gt;+32.2-281.9891/6685&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35e session du CONSEIL DE L'UNION EUROPÉENNE (Affaires économiques et financières)&quot;&gt;&amp;lt;FlowDocument FontFamily=&quot;Arial Unicode MS&quot; FontSize=&quot;12&quot; PageWidth=&quot;329&quot; PagePadding=&quot;0,0,0,0&quot; AllowDrop=&quot;False&quot; xmlns=&quot;http://schemas.microsoft.com/winfx/2006/xaml/presentation&quot;&amp;gt;&amp;lt;Paragraph&amp;gt;&amp;lt;Run xml:lang=&quot;fr-be&quot;&amp;gt;34&amp;lt;/Run&amp;gt;&amp;lt;Run xml:lang=&quot;en-gb&quot;&amp;gt;35&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2-08T10:15: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BE3C99"/>
    <w:rsid w:val="00010C1D"/>
    <w:rsid w:val="00073418"/>
    <w:rsid w:val="0009656C"/>
    <w:rsid w:val="001379C3"/>
    <w:rsid w:val="00165755"/>
    <w:rsid w:val="00167D26"/>
    <w:rsid w:val="00182F2F"/>
    <w:rsid w:val="001C1958"/>
    <w:rsid w:val="00213F1F"/>
    <w:rsid w:val="002A2AE8"/>
    <w:rsid w:val="002D742D"/>
    <w:rsid w:val="00330BB7"/>
    <w:rsid w:val="0039007A"/>
    <w:rsid w:val="003C6E8B"/>
    <w:rsid w:val="00416AB6"/>
    <w:rsid w:val="004819D4"/>
    <w:rsid w:val="005157F5"/>
    <w:rsid w:val="00585FF5"/>
    <w:rsid w:val="005E480E"/>
    <w:rsid w:val="005E78D8"/>
    <w:rsid w:val="00604930"/>
    <w:rsid w:val="00630FEC"/>
    <w:rsid w:val="0063379B"/>
    <w:rsid w:val="00653CEA"/>
    <w:rsid w:val="006A38C5"/>
    <w:rsid w:val="006C1AD4"/>
    <w:rsid w:val="006E33E2"/>
    <w:rsid w:val="006F4741"/>
    <w:rsid w:val="0070521E"/>
    <w:rsid w:val="0075756A"/>
    <w:rsid w:val="00757661"/>
    <w:rsid w:val="00825503"/>
    <w:rsid w:val="008826F8"/>
    <w:rsid w:val="008B4AB1"/>
    <w:rsid w:val="009866E3"/>
    <w:rsid w:val="009A4640"/>
    <w:rsid w:val="00A437F4"/>
    <w:rsid w:val="00A469D7"/>
    <w:rsid w:val="00A66A9A"/>
    <w:rsid w:val="00AC4218"/>
    <w:rsid w:val="00AD43AF"/>
    <w:rsid w:val="00B30201"/>
    <w:rsid w:val="00B3149A"/>
    <w:rsid w:val="00BA29C9"/>
    <w:rsid w:val="00BD3A99"/>
    <w:rsid w:val="00BE1373"/>
    <w:rsid w:val="00BE3C99"/>
    <w:rsid w:val="00CD7438"/>
    <w:rsid w:val="00D451E4"/>
    <w:rsid w:val="00DA225D"/>
    <w:rsid w:val="00DE59A3"/>
    <w:rsid w:val="00E24893"/>
    <w:rsid w:val="00EE7800"/>
    <w:rsid w:val="00F23C9A"/>
    <w:rsid w:val="00F30FC1"/>
    <w:rsid w:val="00F321C5"/>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07341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E3C99"/>
    <w:pPr>
      <w:spacing w:after="440"/>
      <w:ind w:left="-1134" w:right="-1134"/>
    </w:pPr>
    <w:rPr>
      <w:sz w:val="2"/>
    </w:rPr>
  </w:style>
  <w:style w:type="character" w:customStyle="1" w:styleId="TechnicalBlockChar">
    <w:name w:val="Technical Block Char"/>
    <w:basedOn w:val="DefaultParagraphFont"/>
    <w:link w:val="TechnicalBlock"/>
    <w:rsid w:val="00BE3C99"/>
    <w:rPr>
      <w:sz w:val="24"/>
      <w:szCs w:val="24"/>
      <w:lang w:val="fr-FR" w:eastAsia="en-US"/>
    </w:rPr>
  </w:style>
  <w:style w:type="character" w:customStyle="1" w:styleId="HeaderCouncilLargeChar">
    <w:name w:val="Header Council Large Char"/>
    <w:basedOn w:val="TechnicalBlockChar"/>
    <w:link w:val="HeaderCouncilLarge"/>
    <w:rsid w:val="00BE3C99"/>
    <w:rPr>
      <w:sz w:val="2"/>
      <w:szCs w:val="24"/>
      <w:lang w:val="fr-FR" w:eastAsia="en-US"/>
    </w:rPr>
  </w:style>
  <w:style w:type="paragraph" w:customStyle="1" w:styleId="FooterText">
    <w:name w:val="Footer Text"/>
    <w:basedOn w:val="Normal"/>
    <w:rsid w:val="00BE3C99"/>
    <w:rPr>
      <w:lang w:val="en-GB"/>
    </w:rPr>
  </w:style>
  <w:style w:type="character" w:customStyle="1" w:styleId="TitleChar">
    <w:name w:val="Title Char"/>
    <w:basedOn w:val="DefaultParagraphFont"/>
    <w:link w:val="Title"/>
    <w:rsid w:val="00AD43AF"/>
    <w:rPr>
      <w:b/>
      <w:bCs/>
      <w:i/>
      <w:sz w:val="24"/>
      <w:szCs w:val="32"/>
      <w:u w:val="single"/>
      <w:lang w:val="fr-FR" w:eastAsia="en-US"/>
    </w:rPr>
  </w:style>
  <w:style w:type="character" w:customStyle="1" w:styleId="PointManualChar">
    <w:name w:val="Point Manual Char"/>
    <w:link w:val="PointManual"/>
    <w:rsid w:val="00AD43AF"/>
    <w:rPr>
      <w:sz w:val="24"/>
      <w:szCs w:val="24"/>
      <w:lang w:val="fr-FR" w:eastAsia="en-US"/>
    </w:rPr>
  </w:style>
  <w:style w:type="paragraph" w:styleId="BalloonText">
    <w:name w:val="Balloon Text"/>
    <w:basedOn w:val="Normal"/>
    <w:link w:val="BalloonTextChar"/>
    <w:uiPriority w:val="99"/>
    <w:semiHidden/>
    <w:unhideWhenUsed/>
    <w:rsid w:val="005E480E"/>
    <w:rPr>
      <w:rFonts w:ascii="Tahoma" w:hAnsi="Tahoma" w:cs="Tahoma"/>
      <w:sz w:val="16"/>
      <w:szCs w:val="16"/>
    </w:rPr>
  </w:style>
  <w:style w:type="character" w:customStyle="1" w:styleId="BalloonTextChar">
    <w:name w:val="Balloon Text Char"/>
    <w:basedOn w:val="DefaultParagraphFont"/>
    <w:link w:val="BalloonText"/>
    <w:uiPriority w:val="99"/>
    <w:semiHidden/>
    <w:rsid w:val="005E480E"/>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07341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E3C99"/>
    <w:pPr>
      <w:spacing w:after="440"/>
      <w:ind w:left="-1134" w:right="-1134"/>
    </w:pPr>
    <w:rPr>
      <w:sz w:val="2"/>
    </w:rPr>
  </w:style>
  <w:style w:type="character" w:customStyle="1" w:styleId="TechnicalBlockChar">
    <w:name w:val="Technical Block Char"/>
    <w:basedOn w:val="DefaultParagraphFont"/>
    <w:link w:val="TechnicalBlock"/>
    <w:rsid w:val="00BE3C99"/>
    <w:rPr>
      <w:sz w:val="24"/>
      <w:szCs w:val="24"/>
      <w:lang w:val="fr-FR" w:eastAsia="en-US"/>
    </w:rPr>
  </w:style>
  <w:style w:type="character" w:customStyle="1" w:styleId="HeaderCouncilLargeChar">
    <w:name w:val="Header Council Large Char"/>
    <w:basedOn w:val="TechnicalBlockChar"/>
    <w:link w:val="HeaderCouncilLarge"/>
    <w:rsid w:val="00BE3C99"/>
    <w:rPr>
      <w:sz w:val="2"/>
      <w:szCs w:val="24"/>
      <w:lang w:val="fr-FR" w:eastAsia="en-US"/>
    </w:rPr>
  </w:style>
  <w:style w:type="paragraph" w:customStyle="1" w:styleId="FooterText">
    <w:name w:val="Footer Text"/>
    <w:basedOn w:val="Normal"/>
    <w:rsid w:val="00BE3C99"/>
    <w:rPr>
      <w:lang w:val="en-GB"/>
    </w:rPr>
  </w:style>
  <w:style w:type="character" w:customStyle="1" w:styleId="TitleChar">
    <w:name w:val="Title Char"/>
    <w:basedOn w:val="DefaultParagraphFont"/>
    <w:link w:val="Title"/>
    <w:rsid w:val="00AD43AF"/>
    <w:rPr>
      <w:b/>
      <w:bCs/>
      <w:i/>
      <w:sz w:val="24"/>
      <w:szCs w:val="32"/>
      <w:u w:val="single"/>
      <w:lang w:val="fr-FR" w:eastAsia="en-US"/>
    </w:rPr>
  </w:style>
  <w:style w:type="character" w:customStyle="1" w:styleId="PointManualChar">
    <w:name w:val="Point Manual Char"/>
    <w:link w:val="PointManual"/>
    <w:rsid w:val="00AD43AF"/>
    <w:rPr>
      <w:sz w:val="24"/>
      <w:szCs w:val="24"/>
      <w:lang w:val="fr-FR" w:eastAsia="en-US"/>
    </w:rPr>
  </w:style>
  <w:style w:type="paragraph" w:styleId="BalloonText">
    <w:name w:val="Balloon Text"/>
    <w:basedOn w:val="Normal"/>
    <w:link w:val="BalloonTextChar"/>
    <w:uiPriority w:val="99"/>
    <w:semiHidden/>
    <w:unhideWhenUsed/>
    <w:rsid w:val="005E480E"/>
    <w:rPr>
      <w:rFonts w:ascii="Tahoma" w:hAnsi="Tahoma" w:cs="Tahoma"/>
      <w:sz w:val="16"/>
      <w:szCs w:val="16"/>
    </w:rPr>
  </w:style>
  <w:style w:type="character" w:customStyle="1" w:styleId="BalloonTextChar">
    <w:name w:val="Balloon Text Char"/>
    <w:basedOn w:val="DefaultParagraphFont"/>
    <w:link w:val="BalloonText"/>
    <w:uiPriority w:val="99"/>
    <w:semiHidden/>
    <w:rsid w:val="005E480E"/>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3</TotalTime>
  <Pages>4</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GRANET Marie-France</cp:lastModifiedBy>
  <cp:revision>4</cp:revision>
  <cp:lastPrinted>2015-11-06T09:23:00Z</cp:lastPrinted>
  <dcterms:created xsi:type="dcterms:W3CDTF">2015-11-23T14:19:00Z</dcterms:created>
  <dcterms:modified xsi:type="dcterms:W3CDTF">2015-11-23T15:56:00Z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