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77" w:rsidRPr="007A28BB" w:rsidRDefault="007A28BB" w:rsidP="007A28B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0acb6f-567f-4622-8518-06f7c20780fc_1" style="width:568.5pt;height:477pt">
            <v:imagedata r:id="rId9" o:title=""/>
          </v:shape>
        </w:pict>
      </w:r>
      <w:bookmarkEnd w:id="0"/>
      <w:r>
        <w:fldChar w:fldCharType="begin"/>
      </w:r>
      <w:r>
        <w:instrText xml:space="preserve"> IF "_TF_" = "_TF_" "" "</w:instrText>
      </w:r>
      <w:r>
        <w:rPr>
          <w:rStyle w:val="FootnoteReference"/>
        </w:rPr>
        <w:footnoteReference w:id="1"/>
      </w:r>
      <w:r>
        <w:instrText xml:space="preserve">" \* MERGEFORMAT </w:instrText>
      </w:r>
      <w:r>
        <w:fldChar w:fldCharType="end"/>
      </w:r>
    </w:p>
    <w:p w:rsidR="00093828" w:rsidRDefault="00A74DE2" w:rsidP="007D7C4E">
      <w:pPr>
        <w:pStyle w:val="EntText"/>
        <w:spacing w:before="480"/>
      </w:pPr>
      <w:r w:rsidRPr="00DF511E">
        <w:t>Delegat</w:t>
      </w:r>
      <w:r>
        <w:t xml:space="preserve">ions will find attached the above mentioned </w:t>
      </w:r>
      <w:r w:rsidR="00C67AD9">
        <w:t>o</w:t>
      </w:r>
      <w:r>
        <w:t>pinion</w:t>
      </w:r>
      <w:r w:rsidR="00FE7039">
        <w:t xml:space="preserve"> of the </w:t>
      </w:r>
      <w:r w:rsidR="00281ED3" w:rsidRPr="00281ED3">
        <w:t xml:space="preserve">Czech </w:t>
      </w:r>
      <w:r w:rsidR="007D7C4E">
        <w:t>Senate</w:t>
      </w:r>
      <w:r w:rsidR="00FE7039">
        <w:t>.</w:t>
      </w:r>
    </w:p>
    <w:p w:rsidR="00A74DE2" w:rsidRDefault="00A74DE2" w:rsidP="00260D30">
      <w:pPr>
        <w:pStyle w:val="Lignefinal"/>
      </w:pPr>
    </w:p>
    <w:p w:rsidR="00093828" w:rsidRDefault="00093828" w:rsidP="00AC6F99">
      <w:pPr>
        <w:pStyle w:val="EntText"/>
        <w:spacing w:before="480"/>
        <w:sectPr w:rsidR="00093828" w:rsidSect="007A28BB">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624" w:right="1134" w:bottom="1134" w:left="1134" w:header="567" w:footer="567" w:gutter="0"/>
          <w:pgNumType w:start="0"/>
          <w:cols w:space="720"/>
          <w:titlePg/>
          <w:docGrid w:linePitch="326"/>
        </w:sectPr>
      </w:pPr>
    </w:p>
    <w:p w:rsidR="001C248D" w:rsidRDefault="001C248D" w:rsidP="001C248D">
      <w:pPr>
        <w:jc w:val="right"/>
        <w:rPr>
          <w:b/>
          <w:bCs/>
          <w:u w:val="single"/>
        </w:rPr>
      </w:pPr>
      <w:r w:rsidRPr="001C248D">
        <w:rPr>
          <w:b/>
          <w:bCs/>
          <w:u w:val="single"/>
        </w:rPr>
        <w:lastRenderedPageBreak/>
        <w:t>ANNEX</w:t>
      </w:r>
    </w:p>
    <w:p w:rsidR="00281ED3" w:rsidRDefault="007D7C4E" w:rsidP="007D7C4E">
      <w:pPr>
        <w:jc w:val="center"/>
      </w:pPr>
      <w:r>
        <w:rPr>
          <w:noProof/>
          <w:lang w:eastAsia="en-GB"/>
        </w:rPr>
        <w:drawing>
          <wp:inline distT="0" distB="0" distL="0" distR="0" wp14:anchorId="238D61C4" wp14:editId="01EC5F7E">
            <wp:extent cx="5943600" cy="7381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381240"/>
                    </a:xfrm>
                    <a:prstGeom prst="rect">
                      <a:avLst/>
                    </a:prstGeom>
                  </pic:spPr>
                </pic:pic>
              </a:graphicData>
            </a:graphic>
          </wp:inline>
        </w:drawing>
      </w:r>
      <w:r w:rsidR="00281ED3">
        <w:br w:type="page"/>
      </w:r>
    </w:p>
    <w:p w:rsidR="007D7C4E" w:rsidRPr="00D94D99" w:rsidRDefault="007D7C4E" w:rsidP="00A84BBE">
      <w:pPr>
        <w:spacing w:before="240"/>
        <w:jc w:val="center"/>
        <w:rPr>
          <w:b/>
          <w:sz w:val="30"/>
          <w:szCs w:val="30"/>
        </w:rPr>
      </w:pPr>
      <w:r>
        <w:rPr>
          <w:noProof/>
          <w:lang w:eastAsia="en-GB"/>
        </w:rPr>
        <w:drawing>
          <wp:inline distT="0" distB="0" distL="0" distR="0" wp14:anchorId="40308C11" wp14:editId="69718E90">
            <wp:extent cx="545719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57190" cy="8229600"/>
                    </a:xfrm>
                    <a:prstGeom prst="rect">
                      <a:avLst/>
                    </a:prstGeom>
                  </pic:spPr>
                </pic:pic>
              </a:graphicData>
            </a:graphic>
          </wp:inline>
        </w:drawing>
      </w:r>
      <w:r w:rsidR="00281ED3">
        <w:br w:type="page"/>
      </w:r>
      <w:r w:rsidR="007A28BB">
        <w:rPr>
          <w:sz w:val="36"/>
          <w:szCs w:val="36"/>
        </w:rPr>
        <w:pict>
          <v:shape id="_x0000_i1026" type="#_x0000_t75" style="width:56.25pt;height:67.5pt">
            <v:imagedata r:id="rId18" o:title="velky_znak_cr"/>
          </v:shape>
        </w:pict>
      </w:r>
    </w:p>
    <w:p w:rsidR="007D7C4E" w:rsidRPr="00D94D99" w:rsidRDefault="007D7C4E" w:rsidP="007D7C4E">
      <w:pPr>
        <w:spacing w:before="240" w:line="240" w:lineRule="auto"/>
        <w:jc w:val="center"/>
        <w:rPr>
          <w:b/>
          <w:sz w:val="30"/>
          <w:szCs w:val="30"/>
        </w:rPr>
      </w:pPr>
      <w:r w:rsidRPr="00D94D99">
        <w:rPr>
          <w:b/>
          <w:sz w:val="30"/>
          <w:szCs w:val="30"/>
        </w:rPr>
        <w:t>THE SENATE</w:t>
      </w:r>
    </w:p>
    <w:p w:rsidR="007D7C4E" w:rsidRPr="00D94D99" w:rsidRDefault="007D7C4E" w:rsidP="007D7C4E">
      <w:pPr>
        <w:spacing w:line="240" w:lineRule="auto"/>
        <w:jc w:val="center"/>
        <w:rPr>
          <w:b/>
          <w:sz w:val="30"/>
          <w:szCs w:val="30"/>
        </w:rPr>
      </w:pPr>
      <w:r w:rsidRPr="00D94D99">
        <w:rPr>
          <w:b/>
          <w:sz w:val="30"/>
          <w:szCs w:val="30"/>
        </w:rPr>
        <w:t xml:space="preserve">OF THE PARLIAMENT OF THE </w:t>
      </w:r>
      <w:smartTag w:uri="urn:schemas-microsoft-com:office:smarttags" w:element="country-region">
        <w:smartTag w:uri="urn:schemas-microsoft-com:office:smarttags" w:element="place">
          <w:r w:rsidRPr="00D94D99">
            <w:rPr>
              <w:b/>
              <w:sz w:val="30"/>
              <w:szCs w:val="30"/>
            </w:rPr>
            <w:t>CZECH REPUBLIC</w:t>
          </w:r>
        </w:smartTag>
      </w:smartTag>
    </w:p>
    <w:p w:rsidR="007D7C4E" w:rsidRPr="00D94D99" w:rsidRDefault="007D7C4E" w:rsidP="007D7C4E">
      <w:pPr>
        <w:spacing w:before="180" w:line="240" w:lineRule="auto"/>
        <w:jc w:val="center"/>
        <w:rPr>
          <w:rFonts w:ascii="Verdana" w:hAnsi="Verdana"/>
          <w:b/>
          <w:sz w:val="28"/>
          <w:szCs w:val="28"/>
        </w:rPr>
      </w:pPr>
      <w:r>
        <w:rPr>
          <w:b/>
          <w:sz w:val="30"/>
          <w:szCs w:val="30"/>
        </w:rPr>
        <w:t>10</w:t>
      </w:r>
      <w:r w:rsidRPr="00D94D99">
        <w:rPr>
          <w:b/>
          <w:sz w:val="30"/>
          <w:szCs w:val="30"/>
          <w:vertAlign w:val="superscript"/>
        </w:rPr>
        <w:t>TH</w:t>
      </w:r>
      <w:r w:rsidRPr="00D94D99">
        <w:rPr>
          <w:b/>
          <w:sz w:val="30"/>
          <w:szCs w:val="30"/>
        </w:rPr>
        <w:t xml:space="preserve"> TERM</w:t>
      </w:r>
      <w:r w:rsidRPr="00D94D99">
        <w:rPr>
          <w:rFonts w:ascii="Verdana" w:hAnsi="Verdana"/>
          <w:b/>
          <w:sz w:val="28"/>
          <w:szCs w:val="28"/>
        </w:rPr>
        <w:t xml:space="preserve"> </w:t>
      </w:r>
    </w:p>
    <w:p w:rsidR="007D7C4E" w:rsidRPr="00E32995" w:rsidRDefault="007D7C4E" w:rsidP="007D7C4E">
      <w:pPr>
        <w:spacing w:before="180" w:line="240" w:lineRule="auto"/>
        <w:jc w:val="center"/>
        <w:rPr>
          <w:b/>
          <w:sz w:val="28"/>
          <w:szCs w:val="28"/>
        </w:rPr>
      </w:pPr>
      <w:r w:rsidRPr="00E32995">
        <w:rPr>
          <w:rFonts w:ascii="Verdana" w:hAnsi="Verdana"/>
          <w:b/>
          <w:sz w:val="28"/>
          <w:szCs w:val="28"/>
        </w:rPr>
        <w:t>251</w:t>
      </w:r>
      <w:r w:rsidRPr="00E32995">
        <w:rPr>
          <w:rFonts w:ascii="Verdana" w:hAnsi="Verdana"/>
          <w:b/>
          <w:sz w:val="28"/>
          <w:szCs w:val="28"/>
          <w:vertAlign w:val="superscript"/>
        </w:rPr>
        <w:t>st</w:t>
      </w:r>
      <w:r w:rsidRPr="00E32995">
        <w:rPr>
          <w:b/>
          <w:sz w:val="28"/>
          <w:szCs w:val="28"/>
        </w:rPr>
        <w:t xml:space="preserve"> </w:t>
      </w:r>
    </w:p>
    <w:p w:rsidR="007D7C4E" w:rsidRPr="00D94D99" w:rsidRDefault="007D7C4E" w:rsidP="007D7C4E">
      <w:pPr>
        <w:spacing w:before="180" w:line="240" w:lineRule="auto"/>
        <w:jc w:val="center"/>
        <w:rPr>
          <w:rFonts w:ascii="Verdana" w:hAnsi="Verdana"/>
          <w:b/>
          <w:caps/>
          <w:sz w:val="28"/>
          <w:szCs w:val="28"/>
        </w:rPr>
      </w:pPr>
      <w:r w:rsidRPr="00D94D99">
        <w:rPr>
          <w:rFonts w:ascii="Verdana" w:hAnsi="Verdana"/>
          <w:b/>
          <w:caps/>
          <w:sz w:val="28"/>
          <w:szCs w:val="28"/>
        </w:rPr>
        <w:t>Resolution of the Senate</w:t>
      </w:r>
    </w:p>
    <w:p w:rsidR="007D7C4E" w:rsidRPr="00D94D99" w:rsidRDefault="007D7C4E" w:rsidP="007D7C4E">
      <w:pPr>
        <w:spacing w:line="240" w:lineRule="auto"/>
        <w:jc w:val="center"/>
        <w:outlineLvl w:val="0"/>
      </w:pPr>
      <w:r w:rsidRPr="00D94D99">
        <w:rPr>
          <w:rFonts w:ascii="Verdana" w:hAnsi="Verdana"/>
          <w:sz w:val="20"/>
        </w:rPr>
        <w:t>delivered on the 1</w:t>
      </w:r>
      <w:r>
        <w:rPr>
          <w:rFonts w:ascii="Verdana" w:hAnsi="Verdana"/>
          <w:sz w:val="20"/>
        </w:rPr>
        <w:t>3</w:t>
      </w:r>
      <w:r w:rsidRPr="00D94D99">
        <w:rPr>
          <w:rFonts w:ascii="Verdana" w:hAnsi="Verdana"/>
          <w:sz w:val="20"/>
          <w:vertAlign w:val="superscript"/>
        </w:rPr>
        <w:t>th</w:t>
      </w:r>
      <w:r w:rsidRPr="00D94D99">
        <w:rPr>
          <w:rFonts w:ascii="Verdana" w:hAnsi="Verdana"/>
          <w:sz w:val="20"/>
        </w:rPr>
        <w:t xml:space="preserve"> meeting held on </w:t>
      </w:r>
      <w:r>
        <w:rPr>
          <w:rFonts w:ascii="Verdana" w:hAnsi="Verdana"/>
          <w:sz w:val="20"/>
        </w:rPr>
        <w:t>22</w:t>
      </w:r>
      <w:r w:rsidRPr="00D94D99">
        <w:rPr>
          <w:rFonts w:ascii="Verdana" w:hAnsi="Verdana"/>
          <w:sz w:val="20"/>
          <w:vertAlign w:val="superscript"/>
        </w:rPr>
        <w:t>th</w:t>
      </w:r>
      <w:r w:rsidRPr="00D94D99">
        <w:rPr>
          <w:rFonts w:ascii="Verdana" w:hAnsi="Verdana"/>
          <w:sz w:val="20"/>
        </w:rPr>
        <w:t xml:space="preserve"> October 201</w:t>
      </w:r>
      <w:r>
        <w:rPr>
          <w:rFonts w:ascii="Verdana" w:hAnsi="Verdana"/>
          <w:sz w:val="20"/>
        </w:rPr>
        <w:t>5</w:t>
      </w:r>
    </w:p>
    <w:p w:rsidR="007D7C4E" w:rsidRPr="00D94D99" w:rsidRDefault="007D7C4E" w:rsidP="007D7C4E">
      <w:pPr>
        <w:spacing w:line="240" w:lineRule="auto"/>
        <w:jc w:val="both"/>
        <w:outlineLvl w:val="0"/>
      </w:pPr>
    </w:p>
    <w:p w:rsidR="007D7C4E" w:rsidRDefault="007D7C4E" w:rsidP="007D7C4E">
      <w:pPr>
        <w:spacing w:line="240" w:lineRule="auto"/>
        <w:jc w:val="center"/>
        <w:outlineLvl w:val="0"/>
        <w:rPr>
          <w:rFonts w:ascii="Verdana" w:hAnsi="Verdana"/>
          <w:b/>
          <w:sz w:val="20"/>
        </w:rPr>
      </w:pPr>
      <w:r>
        <w:rPr>
          <w:rFonts w:ascii="Verdana" w:hAnsi="Verdana"/>
          <w:b/>
          <w:sz w:val="20"/>
        </w:rPr>
        <w:t xml:space="preserve">on the </w:t>
      </w:r>
      <w:r w:rsidRPr="00D25A6D">
        <w:rPr>
          <w:rFonts w:ascii="Verdana" w:hAnsi="Verdana"/>
          <w:b/>
          <w:sz w:val="20"/>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r>
        <w:rPr>
          <w:rFonts w:ascii="Verdana" w:hAnsi="Verdana"/>
          <w:b/>
          <w:sz w:val="20"/>
        </w:rPr>
        <w:t xml:space="preserve"> (Senate Print no. N 033/10)</w:t>
      </w:r>
    </w:p>
    <w:p w:rsidR="007D7C4E" w:rsidRPr="00D94D99" w:rsidRDefault="007D7C4E" w:rsidP="007D7C4E">
      <w:pPr>
        <w:spacing w:line="240" w:lineRule="auto"/>
        <w:jc w:val="center"/>
        <w:outlineLvl w:val="0"/>
      </w:pPr>
    </w:p>
    <w:p w:rsidR="007D7C4E" w:rsidRPr="00D94D99" w:rsidRDefault="007D7C4E" w:rsidP="007D7C4E">
      <w:pPr>
        <w:spacing w:line="240" w:lineRule="auto"/>
        <w:jc w:val="both"/>
        <w:outlineLvl w:val="0"/>
      </w:pPr>
    </w:p>
    <w:p w:rsidR="007D7C4E" w:rsidRPr="00D94D99" w:rsidRDefault="007D7C4E" w:rsidP="007D7C4E">
      <w:pPr>
        <w:spacing w:line="240" w:lineRule="auto"/>
        <w:outlineLvl w:val="0"/>
        <w:rPr>
          <w:rFonts w:ascii="Verdana" w:hAnsi="Verdana"/>
          <w:b/>
          <w:sz w:val="20"/>
        </w:rPr>
      </w:pPr>
      <w:r w:rsidRPr="00D94D99">
        <w:rPr>
          <w:rFonts w:ascii="Verdana" w:hAnsi="Verdana"/>
          <w:b/>
          <w:sz w:val="20"/>
        </w:rPr>
        <w:t>The Senate</w:t>
      </w:r>
    </w:p>
    <w:p w:rsidR="007D7C4E" w:rsidRPr="00D94D99" w:rsidRDefault="007D7C4E" w:rsidP="007D7C4E">
      <w:pPr>
        <w:spacing w:line="240" w:lineRule="auto"/>
        <w:jc w:val="both"/>
        <w:outlineLvl w:val="0"/>
      </w:pPr>
    </w:p>
    <w:p w:rsidR="007D7C4E" w:rsidRPr="004547BC" w:rsidRDefault="007D7C4E" w:rsidP="007D7C4E">
      <w:pPr>
        <w:spacing w:line="240" w:lineRule="auto"/>
        <w:jc w:val="both"/>
        <w:outlineLvl w:val="0"/>
        <w:rPr>
          <w:rFonts w:ascii="Verdana" w:hAnsi="Verdana"/>
          <w:b/>
          <w:sz w:val="20"/>
        </w:rPr>
      </w:pPr>
      <w:r w:rsidRPr="004547BC">
        <w:rPr>
          <w:rFonts w:ascii="Verdana" w:hAnsi="Verdana"/>
          <w:b/>
          <w:sz w:val="20"/>
        </w:rPr>
        <w:t xml:space="preserve">I. </w:t>
      </w:r>
    </w:p>
    <w:p w:rsidR="007D7C4E" w:rsidRPr="00AE2643" w:rsidRDefault="007D7C4E" w:rsidP="007D7C4E">
      <w:pPr>
        <w:widowControl/>
        <w:numPr>
          <w:ilvl w:val="0"/>
          <w:numId w:val="39"/>
        </w:numPr>
        <w:tabs>
          <w:tab w:val="clear" w:pos="1080"/>
          <w:tab w:val="num" w:pos="720"/>
        </w:tabs>
        <w:spacing w:line="240" w:lineRule="auto"/>
        <w:ind w:left="720"/>
        <w:jc w:val="both"/>
        <w:outlineLvl w:val="0"/>
        <w:rPr>
          <w:rFonts w:ascii="Verdana" w:hAnsi="Verdana"/>
          <w:b/>
          <w:sz w:val="20"/>
        </w:rPr>
      </w:pPr>
      <w:r>
        <w:rPr>
          <w:rFonts w:ascii="Verdana" w:hAnsi="Verdana"/>
          <w:b/>
          <w:sz w:val="20"/>
        </w:rPr>
        <w:t>Has acquainted itself</w:t>
      </w:r>
    </w:p>
    <w:p w:rsidR="007D7C4E" w:rsidRDefault="007D7C4E" w:rsidP="007D7C4E">
      <w:pPr>
        <w:tabs>
          <w:tab w:val="num" w:pos="720"/>
        </w:tabs>
        <w:spacing w:line="240" w:lineRule="auto"/>
        <w:ind w:left="720"/>
        <w:jc w:val="both"/>
        <w:outlineLvl w:val="0"/>
        <w:rPr>
          <w:rFonts w:ascii="Verdana" w:hAnsi="Verdana"/>
          <w:sz w:val="20"/>
        </w:rPr>
      </w:pPr>
      <w:r>
        <w:rPr>
          <w:rFonts w:ascii="Verdana" w:hAnsi="Verdana"/>
          <w:sz w:val="20"/>
        </w:rPr>
        <w:t>with the proposed Regulation and sees no grounds for departing from its unfavourable opinion on the introduction of provisional or permanent relocation mechanisms obligatory for the Member States and persons concerned</w:t>
      </w:r>
      <w:r w:rsidRPr="00AE2643">
        <w:rPr>
          <w:rFonts w:ascii="Verdana" w:hAnsi="Verdana"/>
          <w:sz w:val="20"/>
        </w:rPr>
        <w:t>;</w:t>
      </w:r>
    </w:p>
    <w:p w:rsidR="007D7C4E" w:rsidRDefault="007D7C4E" w:rsidP="007D7C4E">
      <w:pPr>
        <w:tabs>
          <w:tab w:val="num" w:pos="720"/>
        </w:tabs>
        <w:spacing w:line="240" w:lineRule="auto"/>
        <w:ind w:left="720" w:hanging="360"/>
        <w:jc w:val="both"/>
        <w:rPr>
          <w:rFonts w:ascii="Verdana" w:hAnsi="Verdana"/>
          <w:sz w:val="20"/>
        </w:rPr>
      </w:pPr>
    </w:p>
    <w:p w:rsidR="007D7C4E" w:rsidRPr="00AE2643" w:rsidRDefault="007D7C4E" w:rsidP="007D7C4E">
      <w:pPr>
        <w:widowControl/>
        <w:numPr>
          <w:ilvl w:val="0"/>
          <w:numId w:val="39"/>
        </w:numPr>
        <w:tabs>
          <w:tab w:val="clear" w:pos="1080"/>
          <w:tab w:val="num" w:pos="720"/>
        </w:tabs>
        <w:spacing w:line="240" w:lineRule="auto"/>
        <w:ind w:left="720"/>
        <w:jc w:val="both"/>
        <w:outlineLvl w:val="0"/>
        <w:rPr>
          <w:rFonts w:ascii="Verdana" w:hAnsi="Verdana"/>
          <w:b/>
          <w:sz w:val="20"/>
        </w:rPr>
      </w:pPr>
      <w:r>
        <w:rPr>
          <w:rFonts w:ascii="Verdana" w:hAnsi="Verdana"/>
          <w:b/>
          <w:sz w:val="20"/>
        </w:rPr>
        <w:t>Agrees</w:t>
      </w:r>
    </w:p>
    <w:p w:rsidR="007D7C4E" w:rsidRDefault="007D7C4E" w:rsidP="007D7C4E">
      <w:pPr>
        <w:tabs>
          <w:tab w:val="num" w:pos="720"/>
        </w:tabs>
        <w:spacing w:line="240" w:lineRule="auto"/>
        <w:ind w:left="720"/>
        <w:jc w:val="both"/>
        <w:outlineLvl w:val="0"/>
        <w:rPr>
          <w:rFonts w:ascii="Verdana" w:hAnsi="Verdana"/>
          <w:sz w:val="20"/>
        </w:rPr>
      </w:pPr>
      <w:r>
        <w:rPr>
          <w:rFonts w:ascii="Verdana" w:hAnsi="Verdana"/>
          <w:sz w:val="20"/>
        </w:rPr>
        <w:t>with the Opinion of the Government, asks the Government to act, both in the Council and the European Council, against the adoption of the proposed regulation and invites the Government to continue, on the basis of solidarity, its participation in those EU measures that really contribute to solving the crisis, especially by supporting all the measures leading to strengthening the control of EU’s external borders, making the reception centres (hotspots) operational as fast as possible, establishing a well-functioning cooperation with third countries and providing efficient humanitarian aid in the affected regions, and calls upon the Government to participate intensively in these measures;</w:t>
      </w:r>
    </w:p>
    <w:p w:rsidR="007D7C4E" w:rsidRDefault="007D7C4E" w:rsidP="007D7C4E">
      <w:pPr>
        <w:tabs>
          <w:tab w:val="num" w:pos="720"/>
        </w:tabs>
        <w:spacing w:line="240" w:lineRule="auto"/>
        <w:ind w:left="720" w:hanging="360"/>
        <w:jc w:val="both"/>
        <w:rPr>
          <w:rFonts w:ascii="Verdana" w:hAnsi="Verdana"/>
          <w:sz w:val="20"/>
        </w:rPr>
      </w:pPr>
    </w:p>
    <w:p w:rsidR="007D7C4E" w:rsidRPr="00AE2643" w:rsidRDefault="007D7C4E" w:rsidP="007D7C4E">
      <w:pPr>
        <w:widowControl/>
        <w:numPr>
          <w:ilvl w:val="0"/>
          <w:numId w:val="39"/>
        </w:numPr>
        <w:tabs>
          <w:tab w:val="clear" w:pos="1080"/>
          <w:tab w:val="num" w:pos="720"/>
        </w:tabs>
        <w:spacing w:line="240" w:lineRule="auto"/>
        <w:ind w:left="720"/>
        <w:jc w:val="both"/>
        <w:outlineLvl w:val="0"/>
        <w:rPr>
          <w:rFonts w:ascii="Verdana" w:hAnsi="Verdana"/>
          <w:sz w:val="20"/>
        </w:rPr>
      </w:pPr>
      <w:r>
        <w:rPr>
          <w:rFonts w:ascii="Verdana" w:hAnsi="Verdana"/>
          <w:b/>
          <w:sz w:val="20"/>
        </w:rPr>
        <w:t>Has come to the conclusion</w:t>
      </w:r>
    </w:p>
    <w:p w:rsidR="007D7C4E" w:rsidRDefault="007D7C4E" w:rsidP="007D7C4E">
      <w:pPr>
        <w:tabs>
          <w:tab w:val="num" w:pos="720"/>
        </w:tabs>
        <w:spacing w:line="240" w:lineRule="auto"/>
        <w:ind w:left="720"/>
        <w:jc w:val="both"/>
        <w:outlineLvl w:val="0"/>
        <w:rPr>
          <w:rFonts w:ascii="Verdana" w:hAnsi="Verdana"/>
          <w:sz w:val="20"/>
        </w:rPr>
      </w:pPr>
      <w:r w:rsidRPr="006E12D1">
        <w:rPr>
          <w:rFonts w:ascii="Verdana" w:hAnsi="Verdana"/>
          <w:sz w:val="20"/>
        </w:rPr>
        <w:t xml:space="preserve">that the </w:t>
      </w:r>
      <w:r>
        <w:rPr>
          <w:rFonts w:ascii="Verdana" w:hAnsi="Verdana"/>
          <w:sz w:val="20"/>
        </w:rPr>
        <w:t>proposed</w:t>
      </w:r>
      <w:r w:rsidRPr="006E12D1">
        <w:rPr>
          <w:rFonts w:ascii="Verdana" w:hAnsi="Verdana"/>
          <w:sz w:val="20"/>
        </w:rPr>
        <w:t xml:space="preserve"> </w:t>
      </w:r>
      <w:r>
        <w:rPr>
          <w:rFonts w:ascii="Verdana" w:hAnsi="Verdana"/>
          <w:sz w:val="20"/>
        </w:rPr>
        <w:t>R</w:t>
      </w:r>
      <w:r w:rsidRPr="006E12D1">
        <w:rPr>
          <w:rFonts w:ascii="Verdana" w:hAnsi="Verdana"/>
          <w:sz w:val="20"/>
        </w:rPr>
        <w:t xml:space="preserve">egulation does not comply with the principle of subsidiarity, as stipulated in Article 5(3) of the Treaty on European Union, because </w:t>
      </w:r>
      <w:r>
        <w:rPr>
          <w:rFonts w:ascii="Verdana" w:hAnsi="Verdana"/>
          <w:sz w:val="20"/>
        </w:rPr>
        <w:t>it violates the principle of conferral, the observance of which is a necessary precondition for the compliance of any EU action with the principle of subsidiarity, and because it does not enable the Union to achieve the objectives of the proposed action better than the existing possibilities of Member States’ action</w:t>
      </w:r>
      <w:r w:rsidRPr="006E12D1">
        <w:rPr>
          <w:rFonts w:ascii="Verdana" w:hAnsi="Verdana"/>
          <w:sz w:val="20"/>
        </w:rPr>
        <w:t>;</w:t>
      </w:r>
    </w:p>
    <w:p w:rsidR="007D7C4E" w:rsidRPr="00AE2643" w:rsidRDefault="007D7C4E" w:rsidP="007D7C4E">
      <w:pPr>
        <w:widowControl/>
        <w:numPr>
          <w:ilvl w:val="0"/>
          <w:numId w:val="39"/>
        </w:numPr>
        <w:tabs>
          <w:tab w:val="clear" w:pos="1080"/>
          <w:tab w:val="num" w:pos="720"/>
        </w:tabs>
        <w:spacing w:line="240" w:lineRule="auto"/>
        <w:ind w:left="720"/>
        <w:jc w:val="both"/>
        <w:outlineLvl w:val="0"/>
        <w:rPr>
          <w:rFonts w:ascii="Verdana" w:hAnsi="Verdana"/>
          <w:b/>
          <w:sz w:val="20"/>
        </w:rPr>
      </w:pPr>
      <w:r>
        <w:rPr>
          <w:rFonts w:ascii="Verdana" w:hAnsi="Verdana"/>
          <w:b/>
          <w:sz w:val="20"/>
        </w:rPr>
        <w:br w:type="page"/>
        <w:t>Adopts,</w:t>
      </w:r>
    </w:p>
    <w:p w:rsidR="007D7C4E" w:rsidRDefault="007D7C4E" w:rsidP="007D7C4E">
      <w:pPr>
        <w:tabs>
          <w:tab w:val="num" w:pos="720"/>
        </w:tabs>
        <w:spacing w:line="240" w:lineRule="auto"/>
        <w:ind w:left="720"/>
        <w:jc w:val="both"/>
        <w:outlineLvl w:val="0"/>
        <w:rPr>
          <w:rFonts w:ascii="Verdana" w:hAnsi="Verdana"/>
          <w:sz w:val="20"/>
        </w:rPr>
      </w:pPr>
      <w:r w:rsidRPr="006E12D1">
        <w:rPr>
          <w:rFonts w:ascii="Verdana" w:hAnsi="Verdana"/>
          <w:sz w:val="20"/>
        </w:rPr>
        <w:t xml:space="preserve">in accordance with Article 6 of the Protocol on the Application of the Principles of Subsidiarity and Proportionality attached to the Treaties, a </w:t>
      </w:r>
      <w:r w:rsidRPr="00D25A6D">
        <w:rPr>
          <w:rFonts w:ascii="Verdana" w:hAnsi="Verdana"/>
          <w:b/>
          <w:sz w:val="20"/>
        </w:rPr>
        <w:t>Reasoned Opinion</w:t>
      </w:r>
      <w:r w:rsidRPr="006E12D1">
        <w:rPr>
          <w:rFonts w:ascii="Verdana" w:hAnsi="Verdana"/>
          <w:sz w:val="20"/>
        </w:rPr>
        <w:t xml:space="preserve"> on the incompatibility of the </w:t>
      </w:r>
      <w:r>
        <w:rPr>
          <w:rFonts w:ascii="Verdana" w:hAnsi="Verdana"/>
          <w:sz w:val="20"/>
        </w:rPr>
        <w:t>proposed</w:t>
      </w:r>
      <w:r w:rsidRPr="006E12D1">
        <w:rPr>
          <w:rFonts w:ascii="Verdana" w:hAnsi="Verdana"/>
          <w:sz w:val="20"/>
        </w:rPr>
        <w:t xml:space="preserve"> </w:t>
      </w:r>
      <w:r>
        <w:rPr>
          <w:rFonts w:ascii="Verdana" w:hAnsi="Verdana"/>
          <w:sz w:val="20"/>
        </w:rPr>
        <w:t>R</w:t>
      </w:r>
      <w:r w:rsidRPr="006E12D1">
        <w:rPr>
          <w:rFonts w:ascii="Verdana" w:hAnsi="Verdana"/>
          <w:sz w:val="20"/>
        </w:rPr>
        <w:t xml:space="preserve">egulation with the principle of subsidiarity, on the grounds set out in </w:t>
      </w:r>
      <w:r w:rsidRPr="00CB4DEC">
        <w:rPr>
          <w:rFonts w:ascii="Verdana" w:hAnsi="Verdana"/>
          <w:sz w:val="20"/>
        </w:rPr>
        <w:t>Part II.</w:t>
      </w:r>
      <w:r w:rsidRPr="006E12D1">
        <w:rPr>
          <w:rFonts w:ascii="Verdana" w:hAnsi="Verdana"/>
          <w:sz w:val="20"/>
        </w:rPr>
        <w:t xml:space="preserve"> of this </w:t>
      </w:r>
      <w:r>
        <w:rPr>
          <w:rFonts w:ascii="Verdana" w:hAnsi="Verdana"/>
          <w:sz w:val="20"/>
        </w:rPr>
        <w:t>R</w:t>
      </w:r>
      <w:r w:rsidRPr="006E12D1">
        <w:rPr>
          <w:rFonts w:ascii="Verdana" w:hAnsi="Verdana"/>
          <w:sz w:val="20"/>
        </w:rPr>
        <w:t>esolution;</w:t>
      </w:r>
    </w:p>
    <w:p w:rsidR="007D7C4E" w:rsidRPr="00D94D99" w:rsidRDefault="007D7C4E" w:rsidP="007D7C4E">
      <w:pPr>
        <w:spacing w:line="240" w:lineRule="auto"/>
        <w:jc w:val="both"/>
        <w:outlineLvl w:val="0"/>
      </w:pPr>
    </w:p>
    <w:p w:rsidR="007D7C4E" w:rsidRPr="004547BC" w:rsidRDefault="007D7C4E" w:rsidP="007D7C4E">
      <w:pPr>
        <w:spacing w:line="240" w:lineRule="auto"/>
        <w:jc w:val="both"/>
        <w:outlineLvl w:val="0"/>
        <w:rPr>
          <w:rFonts w:ascii="Verdana" w:hAnsi="Verdana"/>
          <w:b/>
          <w:sz w:val="20"/>
        </w:rPr>
      </w:pPr>
      <w:r w:rsidRPr="004547BC">
        <w:rPr>
          <w:rFonts w:ascii="Verdana" w:hAnsi="Verdana"/>
          <w:b/>
          <w:sz w:val="20"/>
        </w:rPr>
        <w:t xml:space="preserve">II. </w:t>
      </w:r>
    </w:p>
    <w:p w:rsidR="007D7C4E" w:rsidRPr="00AE2643"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Is of the opinion</w:t>
      </w:r>
    </w:p>
    <w:p w:rsidR="007D7C4E" w:rsidRPr="00AE2643" w:rsidRDefault="007D7C4E" w:rsidP="007D7C4E">
      <w:pPr>
        <w:tabs>
          <w:tab w:val="num" w:pos="720"/>
        </w:tabs>
        <w:spacing w:line="240" w:lineRule="auto"/>
        <w:ind w:left="720"/>
        <w:jc w:val="both"/>
        <w:outlineLvl w:val="0"/>
        <w:rPr>
          <w:rFonts w:ascii="Verdana" w:hAnsi="Verdana"/>
          <w:sz w:val="20"/>
        </w:rPr>
      </w:pPr>
      <w:r>
        <w:rPr>
          <w:rFonts w:ascii="Verdana" w:hAnsi="Verdana"/>
          <w:sz w:val="20"/>
        </w:rPr>
        <w:t>that the European Union does not have the competence to introduce, on the basis of Article 78(2)(c) of the Treaty on the Functioning of the European Union or on the basis of any other provision of the Treaties, a permanent relocation mechanism that would be activated by the Commission, and therefore the adoption of such a mechanism would contravene the principle of conferral, on the following grounds</w:t>
      </w:r>
      <w:r w:rsidRPr="00AE2643">
        <w:rPr>
          <w:rFonts w:ascii="Verdana" w:hAnsi="Verdana"/>
          <w:sz w:val="20"/>
        </w:rPr>
        <w:t>:</w:t>
      </w:r>
    </w:p>
    <w:p w:rsidR="007D7C4E" w:rsidRPr="00AE2643"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t>the legal basis for reactions to emergency situations in the asylum policy is not Article 78(2)(c) of</w:t>
      </w:r>
      <w:r w:rsidRPr="00F978A7">
        <w:rPr>
          <w:rFonts w:ascii="Verdana" w:hAnsi="Verdana"/>
          <w:sz w:val="20"/>
        </w:rPr>
        <w:t xml:space="preserve"> </w:t>
      </w:r>
      <w:r>
        <w:rPr>
          <w:rFonts w:ascii="Verdana" w:hAnsi="Verdana"/>
          <w:sz w:val="20"/>
        </w:rPr>
        <w:t>the Treaty on the Functioning of the European Union, but Article 78(3) of the Treaty on the Functioning of the European Union, according to which, in the event of one or more Member States being confronted by an emergency situation characterised by a sudden inflow of nationals of third countries, the Council may adopt provisional measures for the benefit of the Member State(s) concerned</w:t>
      </w:r>
      <w:r w:rsidRPr="00AE2643">
        <w:rPr>
          <w:rFonts w:ascii="Verdana" w:hAnsi="Verdana"/>
          <w:sz w:val="20"/>
        </w:rPr>
        <w:t>;</w:t>
      </w:r>
    </w:p>
    <w:p w:rsidR="007D7C4E" w:rsidRPr="00AE2643"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t>the abovementioned Article 78(3) of the Treaty on the Functioning of the European Union is based on the assumption that the appropriate reaction to an emergency situation consisting in provisional measures has to be agreed by the Member States according to their possibilities and the gravity of the situation because it significantly affects the essential state functions, law and order and national security, and the said article does not allow for a delegation of such power to the Commission</w:t>
      </w:r>
      <w:r w:rsidRPr="00AE2643">
        <w:rPr>
          <w:rFonts w:ascii="Verdana" w:hAnsi="Verdana"/>
          <w:sz w:val="20"/>
        </w:rPr>
        <w:t>;</w:t>
      </w:r>
    </w:p>
    <w:p w:rsidR="007D7C4E"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t xml:space="preserve">the proposal that the Commission itself should at any time in the future decide on relocations negates the power of the Council according to Article 78(3) of the Treaty on the Functioning of the European Union, and therefore does not comply with the Treaty on the Functioning of the European Union; if the legal basis </w:t>
      </w:r>
      <w:r w:rsidRPr="00BF6E89">
        <w:rPr>
          <w:rFonts w:ascii="Verdana" w:hAnsi="Verdana"/>
          <w:sz w:val="20"/>
        </w:rPr>
        <w:t xml:space="preserve">for provisional </w:t>
      </w:r>
      <w:r>
        <w:rPr>
          <w:rFonts w:ascii="Verdana" w:hAnsi="Verdana"/>
          <w:sz w:val="20"/>
        </w:rPr>
        <w:t>relocations requires individual decisions of the Council, this power cannot be in general delegated to the Commission;</w:t>
      </w:r>
    </w:p>
    <w:p w:rsidR="007D7C4E" w:rsidRDefault="007D7C4E" w:rsidP="007D7C4E">
      <w:pPr>
        <w:spacing w:line="240" w:lineRule="auto"/>
        <w:ind w:left="1069"/>
        <w:rPr>
          <w:rFonts w:ascii="Verdana" w:hAnsi="Verdana"/>
          <w:sz w:val="20"/>
        </w:rPr>
      </w:pPr>
    </w:p>
    <w:p w:rsidR="007D7C4E" w:rsidRPr="00AE2643"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Is further convinced</w:t>
      </w:r>
    </w:p>
    <w:p w:rsidR="007D7C4E" w:rsidRPr="00AE2643" w:rsidRDefault="007D7C4E" w:rsidP="007D7C4E">
      <w:pPr>
        <w:tabs>
          <w:tab w:val="num" w:pos="720"/>
        </w:tabs>
        <w:spacing w:line="240" w:lineRule="auto"/>
        <w:ind w:left="720"/>
        <w:jc w:val="both"/>
        <w:outlineLvl w:val="0"/>
        <w:rPr>
          <w:rFonts w:ascii="Verdana" w:hAnsi="Verdana"/>
          <w:sz w:val="20"/>
        </w:rPr>
      </w:pPr>
      <w:r>
        <w:rPr>
          <w:rFonts w:ascii="Verdana" w:hAnsi="Verdana"/>
          <w:sz w:val="20"/>
        </w:rPr>
        <w:t>that the proposed regulation does not have a real added value in comparison with the existing possibilities of Member States’ action and does not lead to achieving the declared objectives, thus the requirement that the Union shall act only if the objectives of the proposed action cannot be sufficiently achieved by the Member States, but can rather be better achieved at Union level, is not met given the following grounds</w:t>
      </w:r>
      <w:r w:rsidRPr="00AE2643">
        <w:rPr>
          <w:rFonts w:ascii="Verdana" w:hAnsi="Verdana"/>
          <w:sz w:val="20"/>
        </w:rPr>
        <w:t>:</w:t>
      </w:r>
    </w:p>
    <w:p w:rsidR="007D7C4E" w:rsidRPr="00AE2643"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t xml:space="preserve">the very relocation procedure will cause substantial administrative expenses, </w:t>
      </w:r>
      <w:r w:rsidRPr="00B62E07">
        <w:rPr>
          <w:rFonts w:ascii="Verdana" w:hAnsi="Verdana"/>
          <w:sz w:val="20"/>
        </w:rPr>
        <w:t>relocations are supposed to be implemented in the time span of up to two years</w:t>
      </w:r>
      <w:r>
        <w:rPr>
          <w:rFonts w:ascii="Verdana" w:hAnsi="Verdana"/>
          <w:sz w:val="20"/>
        </w:rPr>
        <w:t xml:space="preserve"> and will necessitate performing an array of preliminary actions with the persons designated for relocation, as a result of which it cannot be assumed, contrary to the Commission’s opinion, that this manner of distribution of applicants for international protection among the Member States could accelerate procedures for granting international protection; therefore, the Proposal does not contribute to the achievement of the objectives of Article 78 of the Treaty on the Functioning of the European Union</w:t>
      </w:r>
      <w:r w:rsidRPr="00AE2643">
        <w:rPr>
          <w:rFonts w:ascii="Verdana" w:hAnsi="Verdana"/>
          <w:sz w:val="20"/>
        </w:rPr>
        <w:t>;</w:t>
      </w:r>
    </w:p>
    <w:p w:rsidR="007D7C4E" w:rsidRPr="00AE2643"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t xml:space="preserve">the Commission’s declared objective </w:t>
      </w:r>
      <w:r w:rsidRPr="00850417">
        <w:rPr>
          <w:rFonts w:ascii="Verdana" w:hAnsi="Verdana"/>
          <w:sz w:val="20"/>
        </w:rPr>
        <w:t>to</w:t>
      </w:r>
      <w:r>
        <w:rPr>
          <w:rFonts w:ascii="Verdana" w:hAnsi="Verdana"/>
          <w:sz w:val="20"/>
        </w:rPr>
        <w:t xml:space="preserve"> ensure</w:t>
      </w:r>
      <w:r w:rsidRPr="00850417">
        <w:rPr>
          <w:rFonts w:ascii="Verdana" w:hAnsi="Verdana"/>
          <w:sz w:val="20"/>
        </w:rPr>
        <w:t xml:space="preserve"> the correct application of the Dublin system in times of crisis</w:t>
      </w:r>
      <w:r>
        <w:rPr>
          <w:rFonts w:ascii="Verdana" w:hAnsi="Verdana"/>
          <w:sz w:val="20"/>
        </w:rPr>
        <w:t xml:space="preserve"> is in itself contradicted by the proposed Regulation because it introduces a derogation from the rules of the Dublin system; in doing so, the proposed regulation also reduces the pressure on all the Member States to introduce and maintain an effective asylum system respecting human dignity</w:t>
      </w:r>
      <w:r w:rsidRPr="00AE2643">
        <w:rPr>
          <w:rFonts w:ascii="Verdana" w:hAnsi="Verdana"/>
          <w:sz w:val="20"/>
        </w:rPr>
        <w:t>;</w:t>
      </w:r>
    </w:p>
    <w:p w:rsidR="007D7C4E" w:rsidRDefault="007D7C4E" w:rsidP="007D7C4E">
      <w:pPr>
        <w:widowControl/>
        <w:numPr>
          <w:ilvl w:val="0"/>
          <w:numId w:val="38"/>
        </w:numPr>
        <w:tabs>
          <w:tab w:val="num" w:pos="360"/>
          <w:tab w:val="num" w:pos="1560"/>
        </w:tabs>
        <w:spacing w:line="240" w:lineRule="auto"/>
        <w:ind w:left="1080"/>
        <w:jc w:val="both"/>
        <w:rPr>
          <w:rFonts w:ascii="Verdana" w:hAnsi="Verdana"/>
          <w:sz w:val="20"/>
        </w:rPr>
      </w:pPr>
      <w:r>
        <w:rPr>
          <w:rFonts w:ascii="Verdana" w:hAnsi="Verdana"/>
          <w:sz w:val="20"/>
        </w:rPr>
        <w:br w:type="page"/>
        <w:t>the objective to deal with crisis situations in a spirit of fairness  and solidarity is pursued by Article 78(3) of the Treaty on the Functioning of the European Union that provides the Council with sufficient leeway to choose an appropriate form and scope of the solution</w:t>
      </w:r>
      <w:r w:rsidRPr="00AE2643">
        <w:rPr>
          <w:rFonts w:ascii="Verdana" w:hAnsi="Verdana"/>
          <w:sz w:val="20"/>
        </w:rPr>
        <w:t>;</w:t>
      </w:r>
    </w:p>
    <w:p w:rsidR="007D7C4E" w:rsidRPr="00AE2643" w:rsidRDefault="007D7C4E" w:rsidP="007D7C4E">
      <w:pPr>
        <w:widowControl/>
        <w:tabs>
          <w:tab w:val="num" w:pos="1560"/>
        </w:tabs>
        <w:spacing w:line="240" w:lineRule="auto"/>
        <w:ind w:left="720"/>
        <w:jc w:val="both"/>
        <w:rPr>
          <w:rFonts w:ascii="Verdana" w:hAnsi="Verdana"/>
          <w:sz w:val="20"/>
        </w:rPr>
      </w:pPr>
    </w:p>
    <w:p w:rsidR="007D7C4E" w:rsidRPr="00AE2643"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Is convinced</w:t>
      </w:r>
    </w:p>
    <w:p w:rsidR="007D7C4E" w:rsidRPr="00AE2643" w:rsidRDefault="007D7C4E" w:rsidP="007D7C4E">
      <w:pPr>
        <w:tabs>
          <w:tab w:val="num" w:pos="720"/>
        </w:tabs>
        <w:spacing w:line="240" w:lineRule="auto"/>
        <w:ind w:left="720"/>
        <w:jc w:val="both"/>
        <w:outlineLvl w:val="0"/>
        <w:rPr>
          <w:rFonts w:ascii="Verdana" w:hAnsi="Verdana"/>
          <w:sz w:val="20"/>
        </w:rPr>
      </w:pPr>
      <w:r>
        <w:rPr>
          <w:rFonts w:ascii="Verdana" w:hAnsi="Verdana"/>
          <w:sz w:val="20"/>
        </w:rPr>
        <w:t>that until the provisional relocation measures for the benefit of Italy and Greece have been implemented and evaluated, any considerations of introducing a permanent mechanism are premature because in the event of a crisis in another Member State, the Council may again adopt a decision pursuant to Article 78(3) of the Treaty on the Functioning of the European Union; at the same time, the concerns, expressed by the Senate in its 161</w:t>
      </w:r>
      <w:r w:rsidRPr="002F075D">
        <w:rPr>
          <w:rFonts w:ascii="Verdana" w:hAnsi="Verdana"/>
          <w:sz w:val="20"/>
          <w:vertAlign w:val="superscript"/>
        </w:rPr>
        <w:t>st</w:t>
      </w:r>
      <w:r>
        <w:rPr>
          <w:rFonts w:ascii="Verdana" w:hAnsi="Verdana"/>
          <w:sz w:val="20"/>
        </w:rPr>
        <w:t xml:space="preserve"> Resolution delivered on the 9</w:t>
      </w:r>
      <w:r w:rsidRPr="002F075D">
        <w:rPr>
          <w:rFonts w:ascii="Verdana" w:hAnsi="Verdana"/>
          <w:sz w:val="20"/>
          <w:vertAlign w:val="superscript"/>
        </w:rPr>
        <w:t>th</w:t>
      </w:r>
      <w:r>
        <w:rPr>
          <w:rFonts w:ascii="Verdana" w:hAnsi="Verdana"/>
          <w:sz w:val="20"/>
        </w:rPr>
        <w:t xml:space="preserve"> meeting held on 18</w:t>
      </w:r>
      <w:r w:rsidRPr="002F075D">
        <w:rPr>
          <w:rFonts w:ascii="Verdana" w:hAnsi="Verdana"/>
          <w:sz w:val="20"/>
          <w:vertAlign w:val="superscript"/>
        </w:rPr>
        <w:t>th</w:t>
      </w:r>
      <w:r>
        <w:rPr>
          <w:rFonts w:ascii="Verdana" w:hAnsi="Verdana"/>
          <w:sz w:val="20"/>
        </w:rPr>
        <w:t xml:space="preserve"> June 2015 on the</w:t>
      </w:r>
      <w:r w:rsidRPr="002F075D">
        <w:t xml:space="preserve"> </w:t>
      </w:r>
      <w:r>
        <w:rPr>
          <w:rFonts w:ascii="Verdana" w:hAnsi="Verdana"/>
          <w:sz w:val="20"/>
        </w:rPr>
        <w:t>p</w:t>
      </w:r>
      <w:r w:rsidRPr="002F075D">
        <w:rPr>
          <w:rFonts w:ascii="Verdana" w:hAnsi="Verdana"/>
          <w:sz w:val="20"/>
        </w:rPr>
        <w:t>roposal for a C</w:t>
      </w:r>
      <w:r>
        <w:rPr>
          <w:rFonts w:ascii="Verdana" w:hAnsi="Verdana"/>
          <w:sz w:val="20"/>
        </w:rPr>
        <w:t>ouncil decision</w:t>
      </w:r>
      <w:r w:rsidRPr="002F075D">
        <w:rPr>
          <w:rFonts w:ascii="Verdana" w:hAnsi="Verdana"/>
          <w:sz w:val="20"/>
        </w:rPr>
        <w:t xml:space="preserve"> establishing provisional measures in the area of international protection for the benefit of Italy and Greece</w:t>
      </w:r>
      <w:r>
        <w:rPr>
          <w:rFonts w:ascii="Verdana" w:hAnsi="Verdana"/>
          <w:sz w:val="20"/>
        </w:rPr>
        <w:t>, that given the questionable humanitarian and legal aspects of the proposed form of relocation, it is going to be very hard to implement it in practice in those Member States that would not have been the natural destination of the applicants for international protection, are proving to be well founded</w:t>
      </w:r>
      <w:r w:rsidRPr="00AE2643">
        <w:rPr>
          <w:rFonts w:ascii="Verdana" w:hAnsi="Verdana"/>
          <w:sz w:val="20"/>
        </w:rPr>
        <w:t>;</w:t>
      </w:r>
    </w:p>
    <w:p w:rsidR="007D7C4E" w:rsidRDefault="007D7C4E" w:rsidP="007D7C4E">
      <w:pPr>
        <w:spacing w:line="240" w:lineRule="auto"/>
        <w:ind w:left="1069"/>
        <w:rPr>
          <w:rFonts w:ascii="Verdana" w:hAnsi="Verdana"/>
          <w:sz w:val="20"/>
        </w:rPr>
      </w:pPr>
    </w:p>
    <w:p w:rsidR="007D7C4E" w:rsidRPr="009D47BB"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Emphasizes</w:t>
      </w:r>
    </w:p>
    <w:p w:rsidR="007D7C4E" w:rsidRPr="009D47BB" w:rsidRDefault="007D7C4E" w:rsidP="007D7C4E">
      <w:pPr>
        <w:tabs>
          <w:tab w:val="num" w:pos="720"/>
        </w:tabs>
        <w:spacing w:line="240" w:lineRule="auto"/>
        <w:ind w:left="720"/>
        <w:jc w:val="both"/>
        <w:outlineLvl w:val="0"/>
        <w:rPr>
          <w:rFonts w:ascii="Verdana" w:hAnsi="Verdana"/>
          <w:sz w:val="20"/>
        </w:rPr>
      </w:pPr>
      <w:r>
        <w:rPr>
          <w:rFonts w:ascii="Verdana" w:hAnsi="Verdana"/>
          <w:sz w:val="20"/>
        </w:rPr>
        <w:t xml:space="preserve">that </w:t>
      </w:r>
      <w:r w:rsidRPr="009D47BB">
        <w:rPr>
          <w:rFonts w:ascii="Verdana" w:hAnsi="Verdana"/>
          <w:sz w:val="20"/>
        </w:rPr>
        <w:t>in accordance with the principle of subsidiarity</w:t>
      </w:r>
      <w:r>
        <w:rPr>
          <w:rFonts w:ascii="Verdana" w:hAnsi="Verdana"/>
          <w:sz w:val="20"/>
        </w:rPr>
        <w:t>,</w:t>
      </w:r>
      <w:r w:rsidRPr="009D47BB">
        <w:rPr>
          <w:rFonts w:ascii="Verdana" w:hAnsi="Verdana"/>
          <w:sz w:val="20"/>
        </w:rPr>
        <w:t xml:space="preserve"> </w:t>
      </w:r>
      <w:r>
        <w:rPr>
          <w:rFonts w:ascii="Verdana" w:hAnsi="Verdana"/>
          <w:sz w:val="20"/>
        </w:rPr>
        <w:t>the</w:t>
      </w:r>
      <w:r w:rsidRPr="009D47BB">
        <w:rPr>
          <w:rFonts w:ascii="Verdana" w:hAnsi="Verdana"/>
          <w:sz w:val="20"/>
        </w:rPr>
        <w:t xml:space="preserve"> relocation and resettlement of </w:t>
      </w:r>
      <w:r>
        <w:rPr>
          <w:rFonts w:ascii="Verdana" w:hAnsi="Verdana"/>
          <w:sz w:val="20"/>
        </w:rPr>
        <w:t>applicants for international protection must be</w:t>
      </w:r>
      <w:r w:rsidRPr="009D47BB">
        <w:rPr>
          <w:rFonts w:ascii="Verdana" w:hAnsi="Verdana"/>
          <w:sz w:val="20"/>
        </w:rPr>
        <w:t xml:space="preserve"> a</w:t>
      </w:r>
      <w:r>
        <w:rPr>
          <w:rFonts w:ascii="Verdana" w:hAnsi="Verdana"/>
          <w:sz w:val="20"/>
        </w:rPr>
        <w:t xml:space="preserve"> matter of political</w:t>
      </w:r>
      <w:r w:rsidRPr="009D47BB">
        <w:rPr>
          <w:rFonts w:ascii="Verdana" w:hAnsi="Verdana"/>
          <w:sz w:val="20"/>
        </w:rPr>
        <w:t xml:space="preserve"> </w:t>
      </w:r>
      <w:r>
        <w:rPr>
          <w:rFonts w:ascii="Verdana" w:hAnsi="Verdana"/>
          <w:sz w:val="20"/>
        </w:rPr>
        <w:t>decision</w:t>
      </w:r>
      <w:r w:rsidRPr="009D47BB">
        <w:rPr>
          <w:rFonts w:ascii="Verdana" w:hAnsi="Verdana"/>
          <w:sz w:val="20"/>
        </w:rPr>
        <w:t xml:space="preserve"> </w:t>
      </w:r>
      <w:r>
        <w:rPr>
          <w:rFonts w:ascii="Verdana" w:hAnsi="Verdana"/>
          <w:sz w:val="20"/>
        </w:rPr>
        <w:t>of</w:t>
      </w:r>
      <w:r w:rsidRPr="009D47BB">
        <w:rPr>
          <w:rFonts w:ascii="Verdana" w:hAnsi="Verdana"/>
          <w:sz w:val="20"/>
        </w:rPr>
        <w:t xml:space="preserve"> each Member State since it is the Member State </w:t>
      </w:r>
      <w:r>
        <w:rPr>
          <w:rFonts w:ascii="Verdana" w:hAnsi="Verdana"/>
          <w:sz w:val="20"/>
        </w:rPr>
        <w:t>that will</w:t>
      </w:r>
      <w:r w:rsidRPr="009D47BB">
        <w:rPr>
          <w:rFonts w:ascii="Verdana" w:hAnsi="Verdana"/>
          <w:sz w:val="20"/>
        </w:rPr>
        <w:t xml:space="preserve"> be responsible for further stay of such persons </w:t>
      </w:r>
      <w:r>
        <w:rPr>
          <w:rFonts w:ascii="Verdana" w:hAnsi="Verdana"/>
          <w:sz w:val="20"/>
        </w:rPr>
        <w:t>on</w:t>
      </w:r>
      <w:r w:rsidRPr="009D47BB">
        <w:rPr>
          <w:rFonts w:ascii="Verdana" w:hAnsi="Verdana"/>
          <w:sz w:val="20"/>
        </w:rPr>
        <w:t xml:space="preserve"> its territory, </w:t>
      </w:r>
      <w:r>
        <w:rPr>
          <w:rFonts w:ascii="Verdana" w:hAnsi="Verdana"/>
          <w:sz w:val="20"/>
        </w:rPr>
        <w:t>both with respect to</w:t>
      </w:r>
      <w:r w:rsidRPr="009D47BB">
        <w:rPr>
          <w:rFonts w:ascii="Verdana" w:hAnsi="Verdana"/>
          <w:sz w:val="20"/>
        </w:rPr>
        <w:t xml:space="preserve"> providing medical and other assistance and</w:t>
      </w:r>
      <w:r>
        <w:rPr>
          <w:rFonts w:ascii="Verdana" w:hAnsi="Verdana"/>
          <w:sz w:val="20"/>
        </w:rPr>
        <w:t xml:space="preserve"> to</w:t>
      </w:r>
      <w:r w:rsidRPr="009D47BB">
        <w:rPr>
          <w:rFonts w:ascii="Verdana" w:hAnsi="Verdana"/>
          <w:sz w:val="20"/>
        </w:rPr>
        <w:t xml:space="preserve"> their social, economic and cultural integration</w:t>
      </w:r>
      <w:r>
        <w:rPr>
          <w:rFonts w:ascii="Verdana" w:hAnsi="Verdana"/>
          <w:sz w:val="20"/>
        </w:rPr>
        <w:t>,</w:t>
      </w:r>
      <w:r w:rsidRPr="009D47BB">
        <w:rPr>
          <w:rFonts w:ascii="Verdana" w:hAnsi="Verdana"/>
          <w:sz w:val="20"/>
        </w:rPr>
        <w:t xml:space="preserve"> </w:t>
      </w:r>
      <w:r>
        <w:rPr>
          <w:rFonts w:ascii="Verdana" w:hAnsi="Verdana"/>
          <w:sz w:val="20"/>
        </w:rPr>
        <w:t>and</w:t>
      </w:r>
      <w:r w:rsidRPr="009D47BB">
        <w:rPr>
          <w:rFonts w:ascii="Verdana" w:hAnsi="Verdana"/>
          <w:sz w:val="20"/>
        </w:rPr>
        <w:t xml:space="preserve"> in terms of maintaining public security; authorities</w:t>
      </w:r>
      <w:r>
        <w:rPr>
          <w:rFonts w:ascii="Verdana" w:hAnsi="Verdana"/>
          <w:sz w:val="20"/>
        </w:rPr>
        <w:t xml:space="preserve"> of a</w:t>
      </w:r>
      <w:r w:rsidRPr="009D47BB">
        <w:rPr>
          <w:rFonts w:ascii="Verdana" w:hAnsi="Verdana"/>
          <w:sz w:val="20"/>
        </w:rPr>
        <w:t xml:space="preserve"> Member State must</w:t>
      </w:r>
      <w:r>
        <w:rPr>
          <w:rFonts w:ascii="Verdana" w:hAnsi="Verdana"/>
          <w:sz w:val="20"/>
        </w:rPr>
        <w:t xml:space="preserve"> also</w:t>
      </w:r>
      <w:r w:rsidRPr="009D47BB">
        <w:rPr>
          <w:rFonts w:ascii="Verdana" w:hAnsi="Verdana"/>
          <w:sz w:val="20"/>
        </w:rPr>
        <w:t xml:space="preserve"> bear political responsibility for </w:t>
      </w:r>
      <w:r>
        <w:rPr>
          <w:rFonts w:ascii="Verdana" w:hAnsi="Verdana"/>
          <w:sz w:val="20"/>
        </w:rPr>
        <w:t xml:space="preserve">a </w:t>
      </w:r>
      <w:r w:rsidRPr="009D47BB">
        <w:rPr>
          <w:rFonts w:ascii="Verdana" w:hAnsi="Verdana"/>
          <w:sz w:val="20"/>
        </w:rPr>
        <w:t xml:space="preserve">possible failure in this task and citizens of a Member State must be able to achieve a change of government policy, which </w:t>
      </w:r>
      <w:r>
        <w:rPr>
          <w:rFonts w:ascii="Verdana" w:hAnsi="Verdana"/>
          <w:sz w:val="20"/>
        </w:rPr>
        <w:t>would be made impossible</w:t>
      </w:r>
      <w:r w:rsidRPr="009D47BB">
        <w:rPr>
          <w:rFonts w:ascii="Verdana" w:hAnsi="Verdana"/>
          <w:sz w:val="20"/>
        </w:rPr>
        <w:t xml:space="preserve"> </w:t>
      </w:r>
      <w:r>
        <w:rPr>
          <w:rFonts w:ascii="Verdana" w:hAnsi="Verdana"/>
          <w:sz w:val="20"/>
        </w:rPr>
        <w:t>if</w:t>
      </w:r>
      <w:r w:rsidRPr="009D47BB">
        <w:rPr>
          <w:rFonts w:ascii="Verdana" w:hAnsi="Verdana"/>
          <w:sz w:val="20"/>
        </w:rPr>
        <w:t xml:space="preserve"> a </w:t>
      </w:r>
      <w:r>
        <w:rPr>
          <w:rFonts w:ascii="Verdana" w:hAnsi="Verdana"/>
          <w:sz w:val="20"/>
        </w:rPr>
        <w:t>permanent mechanism to be triggered by the Commission was introduced</w:t>
      </w:r>
      <w:r w:rsidRPr="009D47BB">
        <w:rPr>
          <w:rFonts w:ascii="Verdana" w:hAnsi="Verdana"/>
          <w:sz w:val="20"/>
        </w:rPr>
        <w:t xml:space="preserve">; </w:t>
      </w:r>
    </w:p>
    <w:p w:rsidR="007D7C4E" w:rsidRDefault="007D7C4E" w:rsidP="007D7C4E">
      <w:pPr>
        <w:spacing w:line="240" w:lineRule="auto"/>
        <w:ind w:left="1069"/>
        <w:rPr>
          <w:rFonts w:ascii="Verdana" w:hAnsi="Verdana"/>
          <w:sz w:val="20"/>
        </w:rPr>
      </w:pPr>
    </w:p>
    <w:p w:rsidR="007D7C4E" w:rsidRPr="009D47BB"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Repeatedly points out</w:t>
      </w:r>
    </w:p>
    <w:p w:rsidR="007D7C4E" w:rsidRPr="009D47BB" w:rsidRDefault="007D7C4E" w:rsidP="007D7C4E">
      <w:pPr>
        <w:tabs>
          <w:tab w:val="num" w:pos="720"/>
        </w:tabs>
        <w:spacing w:line="240" w:lineRule="auto"/>
        <w:ind w:left="720"/>
        <w:jc w:val="both"/>
        <w:outlineLvl w:val="0"/>
        <w:rPr>
          <w:rFonts w:ascii="Verdana" w:hAnsi="Verdana"/>
          <w:sz w:val="20"/>
        </w:rPr>
      </w:pPr>
      <w:r>
        <w:rPr>
          <w:rFonts w:ascii="Verdana" w:hAnsi="Verdana"/>
          <w:sz w:val="20"/>
        </w:rPr>
        <w:t>certain questionable</w:t>
      </w:r>
      <w:r w:rsidRPr="009D47BB">
        <w:rPr>
          <w:rFonts w:ascii="Verdana" w:hAnsi="Verdana"/>
          <w:sz w:val="20"/>
        </w:rPr>
        <w:t xml:space="preserve"> humanitarian and legal aspects of </w:t>
      </w:r>
      <w:r>
        <w:rPr>
          <w:rFonts w:ascii="Verdana" w:hAnsi="Verdana"/>
          <w:sz w:val="20"/>
        </w:rPr>
        <w:t>relocation measures</w:t>
      </w:r>
      <w:r w:rsidRPr="009D47BB">
        <w:rPr>
          <w:rFonts w:ascii="Verdana" w:hAnsi="Verdana"/>
          <w:sz w:val="20"/>
        </w:rPr>
        <w:t xml:space="preserve"> </w:t>
      </w:r>
      <w:r>
        <w:rPr>
          <w:rFonts w:ascii="Verdana" w:hAnsi="Verdana"/>
          <w:sz w:val="20"/>
        </w:rPr>
        <w:t>that</w:t>
      </w:r>
      <w:r w:rsidRPr="009D47BB">
        <w:rPr>
          <w:rFonts w:ascii="Verdana" w:hAnsi="Verdana"/>
          <w:sz w:val="20"/>
        </w:rPr>
        <w:t xml:space="preserve"> do not </w:t>
      </w:r>
      <w:r>
        <w:rPr>
          <w:rFonts w:ascii="Verdana" w:hAnsi="Verdana"/>
          <w:sz w:val="20"/>
        </w:rPr>
        <w:t>envisage</w:t>
      </w:r>
      <w:r w:rsidRPr="009D47BB">
        <w:rPr>
          <w:rFonts w:ascii="Verdana" w:hAnsi="Verdana"/>
          <w:sz w:val="20"/>
        </w:rPr>
        <w:t xml:space="preserve"> the consent of the persons concerned with</w:t>
      </w:r>
      <w:r>
        <w:rPr>
          <w:rFonts w:ascii="Verdana" w:hAnsi="Verdana"/>
          <w:sz w:val="20"/>
        </w:rPr>
        <w:t xml:space="preserve"> their</w:t>
      </w:r>
      <w:r w:rsidRPr="009D47BB">
        <w:rPr>
          <w:rFonts w:ascii="Verdana" w:hAnsi="Verdana"/>
          <w:sz w:val="20"/>
        </w:rPr>
        <w:t xml:space="preserve"> </w:t>
      </w:r>
      <w:r>
        <w:rPr>
          <w:rFonts w:ascii="Verdana" w:hAnsi="Verdana"/>
          <w:sz w:val="20"/>
        </w:rPr>
        <w:t>relocation to a particular Member State and do not address the problem of secondary movement of relocated persons after the international protection has been granted to them; in the opinion of the Senate, this movement cannot be prevented unless significant restrictions on the relocated persons are imposed, which would be problematic also with respect to the EU law regulating international protection and free movement of persons</w:t>
      </w:r>
      <w:r w:rsidRPr="009D47BB">
        <w:rPr>
          <w:rFonts w:ascii="Verdana" w:hAnsi="Verdana"/>
          <w:sz w:val="20"/>
        </w:rPr>
        <w:t>;</w:t>
      </w:r>
    </w:p>
    <w:p w:rsidR="007D7C4E" w:rsidRDefault="007D7C4E" w:rsidP="007D7C4E">
      <w:pPr>
        <w:spacing w:line="240" w:lineRule="auto"/>
        <w:ind w:left="1069"/>
        <w:rPr>
          <w:rFonts w:ascii="Verdana" w:hAnsi="Verdana"/>
          <w:sz w:val="20"/>
        </w:rPr>
      </w:pPr>
    </w:p>
    <w:p w:rsidR="007D7C4E" w:rsidRPr="009D47BB"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Is of the opinion</w:t>
      </w:r>
    </w:p>
    <w:p w:rsidR="007D7C4E" w:rsidRPr="009D47BB" w:rsidRDefault="007D7C4E" w:rsidP="007D7C4E">
      <w:pPr>
        <w:tabs>
          <w:tab w:val="num" w:pos="720"/>
        </w:tabs>
        <w:spacing w:line="240" w:lineRule="auto"/>
        <w:ind w:left="720"/>
        <w:jc w:val="both"/>
        <w:outlineLvl w:val="0"/>
        <w:rPr>
          <w:rFonts w:ascii="Verdana" w:hAnsi="Verdana"/>
          <w:sz w:val="20"/>
        </w:rPr>
      </w:pPr>
      <w:r>
        <w:rPr>
          <w:rFonts w:ascii="Verdana" w:hAnsi="Verdana"/>
          <w:sz w:val="20"/>
        </w:rPr>
        <w:t>that involuntarily relocated</w:t>
      </w:r>
      <w:r w:rsidRPr="009D47BB">
        <w:rPr>
          <w:rFonts w:ascii="Verdana" w:hAnsi="Verdana"/>
          <w:sz w:val="20"/>
        </w:rPr>
        <w:t xml:space="preserve"> </w:t>
      </w:r>
      <w:r>
        <w:rPr>
          <w:rFonts w:ascii="Verdana" w:hAnsi="Verdana"/>
          <w:sz w:val="20"/>
        </w:rPr>
        <w:t>persons</w:t>
      </w:r>
      <w:r w:rsidRPr="009D47BB">
        <w:rPr>
          <w:rFonts w:ascii="Verdana" w:hAnsi="Verdana"/>
          <w:sz w:val="20"/>
        </w:rPr>
        <w:t xml:space="preserve"> </w:t>
      </w:r>
      <w:r>
        <w:rPr>
          <w:rFonts w:ascii="Verdana" w:hAnsi="Verdana"/>
          <w:sz w:val="20"/>
        </w:rPr>
        <w:t>will</w:t>
      </w:r>
      <w:r w:rsidRPr="009D47BB">
        <w:rPr>
          <w:rFonts w:ascii="Verdana" w:hAnsi="Verdana"/>
          <w:sz w:val="20"/>
        </w:rPr>
        <w:t xml:space="preserve"> not have the motivation to</w:t>
      </w:r>
      <w:r>
        <w:rPr>
          <w:rFonts w:ascii="Verdana" w:hAnsi="Verdana"/>
          <w:sz w:val="20"/>
        </w:rPr>
        <w:t xml:space="preserve"> </w:t>
      </w:r>
      <w:r w:rsidRPr="009D47BB">
        <w:rPr>
          <w:rFonts w:ascii="Verdana" w:hAnsi="Verdana"/>
          <w:sz w:val="20"/>
        </w:rPr>
        <w:t xml:space="preserve">integrate </w:t>
      </w:r>
      <w:r>
        <w:rPr>
          <w:rFonts w:ascii="Verdana" w:hAnsi="Verdana"/>
          <w:sz w:val="20"/>
        </w:rPr>
        <w:t>into the</w:t>
      </w:r>
      <w:r w:rsidRPr="009D47BB">
        <w:rPr>
          <w:rFonts w:ascii="Verdana" w:hAnsi="Verdana"/>
          <w:sz w:val="20"/>
        </w:rPr>
        <w:t xml:space="preserve"> society </w:t>
      </w:r>
      <w:r>
        <w:rPr>
          <w:rFonts w:ascii="Verdana" w:hAnsi="Verdana"/>
          <w:sz w:val="20"/>
        </w:rPr>
        <w:t>of</w:t>
      </w:r>
      <w:r w:rsidRPr="009D47BB">
        <w:rPr>
          <w:rFonts w:ascii="Verdana" w:hAnsi="Verdana"/>
          <w:sz w:val="20"/>
        </w:rPr>
        <w:t xml:space="preserve"> the country </w:t>
      </w:r>
      <w:r>
        <w:rPr>
          <w:rFonts w:ascii="Verdana" w:hAnsi="Verdana"/>
          <w:sz w:val="20"/>
        </w:rPr>
        <w:t xml:space="preserve">of </w:t>
      </w:r>
      <w:r w:rsidRPr="009D47BB">
        <w:rPr>
          <w:rFonts w:ascii="Verdana" w:hAnsi="Verdana"/>
          <w:sz w:val="20"/>
        </w:rPr>
        <w:t>relocat</w:t>
      </w:r>
      <w:r>
        <w:rPr>
          <w:rFonts w:ascii="Verdana" w:hAnsi="Verdana"/>
          <w:sz w:val="20"/>
        </w:rPr>
        <w:t>ion</w:t>
      </w:r>
      <w:r w:rsidRPr="009D47BB">
        <w:rPr>
          <w:rFonts w:ascii="Verdana" w:hAnsi="Verdana"/>
          <w:sz w:val="20"/>
        </w:rPr>
        <w:t xml:space="preserve"> and will seek to move to those Member States where</w:t>
      </w:r>
      <w:r>
        <w:rPr>
          <w:rFonts w:ascii="Verdana" w:hAnsi="Verdana"/>
          <w:sz w:val="20"/>
        </w:rPr>
        <w:t xml:space="preserve"> they</w:t>
      </w:r>
      <w:r w:rsidRPr="009D47BB">
        <w:rPr>
          <w:rFonts w:ascii="Verdana" w:hAnsi="Verdana"/>
          <w:sz w:val="20"/>
        </w:rPr>
        <w:t xml:space="preserve"> would</w:t>
      </w:r>
      <w:r>
        <w:rPr>
          <w:rFonts w:ascii="Verdana" w:hAnsi="Verdana"/>
          <w:sz w:val="20"/>
        </w:rPr>
        <w:t xml:space="preserve"> be naturally heading, noting that this cannot be prevented</w:t>
      </w:r>
      <w:r w:rsidRPr="00721F0D">
        <w:rPr>
          <w:rFonts w:ascii="Verdana" w:hAnsi="Verdana"/>
          <w:sz w:val="20"/>
        </w:rPr>
        <w:t xml:space="preserve"> </w:t>
      </w:r>
      <w:r>
        <w:rPr>
          <w:rFonts w:ascii="Verdana" w:hAnsi="Verdana"/>
          <w:sz w:val="20"/>
        </w:rPr>
        <w:t>in the long run</w:t>
      </w:r>
      <w:r w:rsidRPr="009D47BB">
        <w:rPr>
          <w:rFonts w:ascii="Verdana" w:hAnsi="Verdana"/>
          <w:sz w:val="20"/>
        </w:rPr>
        <w:t xml:space="preserve">; </w:t>
      </w:r>
      <w:r>
        <w:rPr>
          <w:rFonts w:ascii="Verdana" w:hAnsi="Verdana"/>
          <w:sz w:val="20"/>
        </w:rPr>
        <w:t xml:space="preserve">and thus the </w:t>
      </w:r>
      <w:r w:rsidRPr="009D47BB">
        <w:rPr>
          <w:rFonts w:ascii="Verdana" w:hAnsi="Verdana"/>
          <w:sz w:val="20"/>
        </w:rPr>
        <w:t xml:space="preserve">security risks that </w:t>
      </w:r>
      <w:r>
        <w:rPr>
          <w:rFonts w:ascii="Verdana" w:hAnsi="Verdana"/>
          <w:sz w:val="20"/>
        </w:rPr>
        <w:t>will be</w:t>
      </w:r>
      <w:r w:rsidRPr="009D47BB">
        <w:rPr>
          <w:rFonts w:ascii="Verdana" w:hAnsi="Verdana"/>
          <w:sz w:val="20"/>
        </w:rPr>
        <w:t xml:space="preserve"> associated with their stay</w:t>
      </w:r>
      <w:r>
        <w:rPr>
          <w:rFonts w:ascii="Verdana" w:hAnsi="Verdana"/>
          <w:sz w:val="20"/>
        </w:rPr>
        <w:t xml:space="preserve"> are </w:t>
      </w:r>
      <w:r w:rsidRPr="00263F34">
        <w:rPr>
          <w:rFonts w:ascii="Verdana" w:hAnsi="Verdana"/>
          <w:sz w:val="20"/>
        </w:rPr>
        <w:t>considerably</w:t>
      </w:r>
      <w:r>
        <w:rPr>
          <w:rFonts w:ascii="Verdana" w:hAnsi="Verdana"/>
          <w:sz w:val="20"/>
        </w:rPr>
        <w:t xml:space="preserve"> increasing</w:t>
      </w:r>
      <w:r w:rsidRPr="009D47BB">
        <w:rPr>
          <w:rFonts w:ascii="Verdana" w:hAnsi="Verdana"/>
          <w:sz w:val="20"/>
        </w:rPr>
        <w:t xml:space="preserve">; </w:t>
      </w:r>
    </w:p>
    <w:p w:rsidR="007D7C4E" w:rsidRPr="00AE2643" w:rsidRDefault="007D7C4E" w:rsidP="007D7C4E">
      <w:pPr>
        <w:spacing w:line="240" w:lineRule="auto"/>
        <w:ind w:left="1069"/>
        <w:rPr>
          <w:rFonts w:ascii="Verdana" w:hAnsi="Verdana"/>
          <w:sz w:val="20"/>
        </w:rPr>
      </w:pPr>
    </w:p>
    <w:p w:rsidR="007D7C4E" w:rsidRPr="00AE2643" w:rsidRDefault="007D7C4E" w:rsidP="007D7C4E">
      <w:pPr>
        <w:widowControl/>
        <w:numPr>
          <w:ilvl w:val="0"/>
          <w:numId w:val="40"/>
        </w:numPr>
        <w:tabs>
          <w:tab w:val="clear" w:pos="1080"/>
          <w:tab w:val="num" w:pos="720"/>
        </w:tabs>
        <w:spacing w:line="240" w:lineRule="auto"/>
        <w:ind w:left="720"/>
        <w:jc w:val="both"/>
        <w:outlineLvl w:val="0"/>
        <w:rPr>
          <w:rFonts w:ascii="Verdana" w:hAnsi="Verdana"/>
          <w:b/>
          <w:sz w:val="20"/>
        </w:rPr>
      </w:pPr>
      <w:r>
        <w:rPr>
          <w:rFonts w:ascii="Verdana" w:hAnsi="Verdana"/>
          <w:b/>
          <w:sz w:val="20"/>
        </w:rPr>
        <w:t>Is convinced</w:t>
      </w:r>
    </w:p>
    <w:p w:rsidR="007D7C4E" w:rsidRPr="00AE2643" w:rsidRDefault="007D7C4E" w:rsidP="007D7C4E">
      <w:pPr>
        <w:tabs>
          <w:tab w:val="num" w:pos="720"/>
        </w:tabs>
        <w:spacing w:line="240" w:lineRule="auto"/>
        <w:ind w:left="720"/>
        <w:jc w:val="both"/>
        <w:outlineLvl w:val="0"/>
        <w:rPr>
          <w:rFonts w:ascii="Verdana" w:hAnsi="Verdana"/>
          <w:sz w:val="20"/>
        </w:rPr>
      </w:pPr>
      <w:r>
        <w:rPr>
          <w:rFonts w:ascii="Verdana" w:hAnsi="Verdana"/>
          <w:sz w:val="20"/>
        </w:rPr>
        <w:t>that a swift and humanly dignified access to the procedure for granting international protection must be ensured, in a spirit of solidarity, especially by financial, material, technical and personal support for asylum systems of the Member States struggling with the greatest inflow of migrants and by strengthening the control over the EU’s external borders; the Senate supports the Government’s activities aimed at providing such help</w:t>
      </w:r>
      <w:r w:rsidRPr="00AE2643">
        <w:rPr>
          <w:rFonts w:ascii="Verdana" w:hAnsi="Verdana"/>
          <w:sz w:val="20"/>
        </w:rPr>
        <w:t>;</w:t>
      </w:r>
    </w:p>
    <w:p w:rsidR="007D7C4E" w:rsidRDefault="007D7C4E" w:rsidP="007D7C4E">
      <w:pPr>
        <w:spacing w:line="240" w:lineRule="auto"/>
        <w:ind w:left="1069"/>
        <w:rPr>
          <w:rFonts w:ascii="Verdana" w:hAnsi="Verdana"/>
          <w:sz w:val="20"/>
        </w:rPr>
      </w:pPr>
    </w:p>
    <w:p w:rsidR="007D7C4E" w:rsidRPr="00AE2643" w:rsidRDefault="007D7C4E" w:rsidP="007D7C4E">
      <w:pPr>
        <w:spacing w:line="240" w:lineRule="auto"/>
        <w:ind w:left="1069"/>
        <w:rPr>
          <w:rFonts w:ascii="Verdana" w:hAnsi="Verdana"/>
          <w:sz w:val="20"/>
        </w:rPr>
      </w:pPr>
    </w:p>
    <w:p w:rsidR="007D7C4E" w:rsidRPr="00D94D99" w:rsidRDefault="007D7C4E" w:rsidP="007D7C4E">
      <w:pPr>
        <w:spacing w:line="240" w:lineRule="auto"/>
        <w:jc w:val="both"/>
        <w:outlineLvl w:val="0"/>
        <w:rPr>
          <w:rFonts w:ascii="Verdana" w:hAnsi="Verdana"/>
          <w:sz w:val="20"/>
        </w:rPr>
      </w:pPr>
      <w:r>
        <w:rPr>
          <w:rFonts w:ascii="Verdana" w:hAnsi="Verdana"/>
          <w:b/>
          <w:sz w:val="20"/>
        </w:rPr>
        <w:br w:type="page"/>
      </w:r>
      <w:r w:rsidRPr="00D94D99">
        <w:rPr>
          <w:rFonts w:ascii="Verdana" w:hAnsi="Verdana"/>
          <w:b/>
          <w:sz w:val="20"/>
        </w:rPr>
        <w:t>III.</w:t>
      </w:r>
    </w:p>
    <w:p w:rsidR="007D7C4E" w:rsidRPr="00D94D99" w:rsidRDefault="007D7C4E" w:rsidP="007D7C4E">
      <w:pPr>
        <w:widowControl/>
        <w:numPr>
          <w:ilvl w:val="0"/>
          <w:numId w:val="37"/>
        </w:numPr>
        <w:spacing w:line="240" w:lineRule="auto"/>
        <w:jc w:val="both"/>
        <w:rPr>
          <w:rFonts w:ascii="Verdana" w:hAnsi="Verdana"/>
          <w:b/>
          <w:sz w:val="20"/>
        </w:rPr>
      </w:pPr>
      <w:r w:rsidRPr="00D94D99">
        <w:rPr>
          <w:rFonts w:ascii="Verdana" w:hAnsi="Verdana"/>
          <w:b/>
          <w:sz w:val="20"/>
        </w:rPr>
        <w:t>Requests</w:t>
      </w:r>
    </w:p>
    <w:p w:rsidR="007D7C4E" w:rsidRPr="00D94D99" w:rsidRDefault="007D7C4E" w:rsidP="007D7C4E">
      <w:pPr>
        <w:spacing w:line="240" w:lineRule="auto"/>
        <w:ind w:left="709"/>
        <w:jc w:val="both"/>
        <w:rPr>
          <w:rFonts w:ascii="Verdana" w:hAnsi="Verdana"/>
          <w:sz w:val="20"/>
        </w:rPr>
      </w:pPr>
      <w:r w:rsidRPr="00D94D99">
        <w:rPr>
          <w:rFonts w:ascii="Verdana" w:hAnsi="Verdana"/>
          <w:sz w:val="20"/>
        </w:rPr>
        <w:t>the Government to inform the Senate about the way this position was taken into account, and about further development of negotiations;</w:t>
      </w:r>
    </w:p>
    <w:p w:rsidR="007D7C4E" w:rsidRPr="00D94D99" w:rsidRDefault="007D7C4E" w:rsidP="007D7C4E">
      <w:pPr>
        <w:spacing w:line="240" w:lineRule="auto"/>
        <w:ind w:left="709"/>
        <w:jc w:val="both"/>
        <w:rPr>
          <w:rFonts w:ascii="Verdana" w:hAnsi="Verdana"/>
          <w:sz w:val="20"/>
        </w:rPr>
      </w:pPr>
    </w:p>
    <w:p w:rsidR="007D7C4E" w:rsidRPr="00D94D99" w:rsidRDefault="007D7C4E" w:rsidP="007D7C4E">
      <w:pPr>
        <w:widowControl/>
        <w:numPr>
          <w:ilvl w:val="0"/>
          <w:numId w:val="37"/>
        </w:numPr>
        <w:spacing w:line="240" w:lineRule="auto"/>
        <w:jc w:val="both"/>
        <w:rPr>
          <w:rFonts w:ascii="Verdana" w:hAnsi="Verdana"/>
          <w:sz w:val="20"/>
        </w:rPr>
      </w:pPr>
      <w:r w:rsidRPr="00D94D99">
        <w:rPr>
          <w:rFonts w:ascii="Verdana" w:hAnsi="Verdana"/>
          <w:b/>
          <w:sz w:val="20"/>
        </w:rPr>
        <w:t>Authorises</w:t>
      </w:r>
    </w:p>
    <w:p w:rsidR="007D7C4E" w:rsidRPr="00D94D99" w:rsidRDefault="007D7C4E" w:rsidP="007D7C4E">
      <w:pPr>
        <w:spacing w:line="240" w:lineRule="auto"/>
        <w:ind w:left="709"/>
        <w:jc w:val="both"/>
        <w:rPr>
          <w:rFonts w:ascii="Verdana" w:hAnsi="Verdana"/>
          <w:sz w:val="20"/>
        </w:rPr>
      </w:pPr>
      <w:r w:rsidRPr="00D94D99">
        <w:rPr>
          <w:rFonts w:ascii="Verdana" w:hAnsi="Verdana"/>
          <w:sz w:val="20"/>
        </w:rPr>
        <w:t xml:space="preserve">the President of the Senate to forward this </w:t>
      </w:r>
      <w:r>
        <w:rPr>
          <w:rFonts w:ascii="Verdana" w:hAnsi="Verdana"/>
          <w:sz w:val="20"/>
        </w:rPr>
        <w:t>R</w:t>
      </w:r>
      <w:r w:rsidRPr="00D94D99">
        <w:rPr>
          <w:rFonts w:ascii="Verdana" w:hAnsi="Verdana"/>
          <w:sz w:val="20"/>
        </w:rPr>
        <w:t xml:space="preserve">easoned </w:t>
      </w:r>
      <w:r>
        <w:rPr>
          <w:rFonts w:ascii="Verdana" w:hAnsi="Verdana"/>
          <w:sz w:val="20"/>
        </w:rPr>
        <w:t>O</w:t>
      </w:r>
      <w:r w:rsidRPr="00D94D99">
        <w:rPr>
          <w:rFonts w:ascii="Verdana" w:hAnsi="Verdana"/>
          <w:sz w:val="20"/>
        </w:rPr>
        <w:t xml:space="preserve">pinion to the </w:t>
      </w:r>
      <w:r>
        <w:rPr>
          <w:rFonts w:ascii="Verdana" w:hAnsi="Verdana"/>
          <w:sz w:val="20"/>
        </w:rPr>
        <w:t>P</w:t>
      </w:r>
      <w:r w:rsidRPr="00D94D99">
        <w:rPr>
          <w:rFonts w:ascii="Verdana" w:hAnsi="Verdana"/>
          <w:sz w:val="20"/>
        </w:rPr>
        <w:t xml:space="preserve">residents of the European </w:t>
      </w:r>
      <w:r>
        <w:rPr>
          <w:rFonts w:ascii="Verdana" w:hAnsi="Verdana"/>
          <w:sz w:val="20"/>
        </w:rPr>
        <w:t>Commission, the European Parliament and the Council of the EU</w:t>
      </w:r>
      <w:r w:rsidRPr="00D94D99">
        <w:rPr>
          <w:rFonts w:ascii="Verdana" w:hAnsi="Verdana"/>
          <w:sz w:val="20"/>
        </w:rPr>
        <w:t>.</w:t>
      </w:r>
    </w:p>
    <w:p w:rsidR="007D7C4E" w:rsidRPr="00AE2643" w:rsidRDefault="007D7C4E" w:rsidP="007D7C4E">
      <w:pPr>
        <w:spacing w:line="240" w:lineRule="auto"/>
        <w:jc w:val="right"/>
      </w:pPr>
    </w:p>
    <w:p w:rsidR="007D7C4E" w:rsidRPr="00D94D99" w:rsidRDefault="007D7C4E" w:rsidP="007D7C4E">
      <w:pPr>
        <w:spacing w:line="240" w:lineRule="auto"/>
      </w:pPr>
    </w:p>
    <w:p w:rsidR="007D7C4E" w:rsidRPr="00D94D99" w:rsidRDefault="007D7C4E" w:rsidP="007D7C4E">
      <w:pPr>
        <w:spacing w:line="240" w:lineRule="auto"/>
      </w:pPr>
    </w:p>
    <w:p w:rsidR="007D7C4E" w:rsidRPr="00D94D99" w:rsidRDefault="007D7C4E" w:rsidP="007D7C4E">
      <w:pPr>
        <w:spacing w:line="240" w:lineRule="auto"/>
      </w:pPr>
    </w:p>
    <w:p w:rsidR="007D7C4E" w:rsidRPr="00D94D99" w:rsidRDefault="007D7C4E" w:rsidP="00A84BBE">
      <w:pPr>
        <w:spacing w:line="0" w:lineRule="atLeast"/>
        <w:jc w:val="center"/>
        <w:rPr>
          <w:rFonts w:ascii="Verdana" w:hAnsi="Verdana"/>
          <w:sz w:val="20"/>
        </w:rPr>
      </w:pPr>
      <w:smartTag w:uri="urn:schemas-microsoft-com:office:smarttags" w:element="City">
        <w:smartTag w:uri="urn:schemas-microsoft-com:office:smarttags" w:element="place">
          <w:r w:rsidRPr="00D94D99">
            <w:rPr>
              <w:rFonts w:ascii="Verdana" w:hAnsi="Verdana"/>
              <w:sz w:val="20"/>
            </w:rPr>
            <w:t>Milan</w:t>
          </w:r>
        </w:smartTag>
      </w:smartTag>
      <w:r w:rsidRPr="00D94D99">
        <w:rPr>
          <w:rFonts w:ascii="Verdana" w:hAnsi="Verdana"/>
          <w:sz w:val="20"/>
        </w:rPr>
        <w:t xml:space="preserve"> </w:t>
      </w:r>
      <w:proofErr w:type="spellStart"/>
      <w:r w:rsidRPr="00D94D99">
        <w:rPr>
          <w:rFonts w:ascii="Verdana" w:hAnsi="Verdana"/>
          <w:sz w:val="20"/>
        </w:rPr>
        <w:t>Štěch</w:t>
      </w:r>
      <w:proofErr w:type="spellEnd"/>
    </w:p>
    <w:p w:rsidR="007D7C4E" w:rsidRPr="00D94D99" w:rsidRDefault="007D7C4E" w:rsidP="00A84BBE">
      <w:pPr>
        <w:spacing w:line="0" w:lineRule="atLeast"/>
        <w:jc w:val="center"/>
        <w:rPr>
          <w:rFonts w:ascii="Verdana" w:hAnsi="Verdana"/>
          <w:sz w:val="20"/>
        </w:rPr>
      </w:pPr>
      <w:r w:rsidRPr="00D94D99">
        <w:rPr>
          <w:rFonts w:ascii="Verdana" w:hAnsi="Verdana"/>
          <w:sz w:val="20"/>
        </w:rPr>
        <w:t>sign manual</w:t>
      </w:r>
    </w:p>
    <w:p w:rsidR="007D7C4E" w:rsidRPr="00D94D99" w:rsidRDefault="007D7C4E" w:rsidP="00A84BBE">
      <w:pPr>
        <w:spacing w:line="0" w:lineRule="atLeast"/>
        <w:jc w:val="center"/>
        <w:rPr>
          <w:rFonts w:ascii="Verdana" w:hAnsi="Verdana"/>
          <w:sz w:val="20"/>
        </w:rPr>
      </w:pPr>
      <w:r w:rsidRPr="00D94D99">
        <w:rPr>
          <w:rFonts w:ascii="Verdana" w:hAnsi="Verdana"/>
          <w:sz w:val="20"/>
        </w:rPr>
        <w:t>President of the Senate</w:t>
      </w:r>
    </w:p>
    <w:p w:rsidR="007D7C4E" w:rsidRPr="00D94D99" w:rsidRDefault="007D7C4E" w:rsidP="00A84BBE">
      <w:pPr>
        <w:spacing w:line="0" w:lineRule="atLeast"/>
        <w:jc w:val="center"/>
        <w:rPr>
          <w:rFonts w:ascii="Verdana" w:hAnsi="Verdana"/>
          <w:sz w:val="20"/>
        </w:rPr>
      </w:pPr>
    </w:p>
    <w:p w:rsidR="007D7C4E" w:rsidRPr="00D94D99" w:rsidRDefault="007D7C4E" w:rsidP="00A84BBE">
      <w:pPr>
        <w:spacing w:line="0" w:lineRule="atLeast"/>
        <w:jc w:val="center"/>
        <w:rPr>
          <w:rFonts w:ascii="Verdana" w:hAnsi="Verdana"/>
          <w:sz w:val="20"/>
        </w:rPr>
      </w:pPr>
      <w:r>
        <w:rPr>
          <w:rFonts w:ascii="Verdana" w:hAnsi="Verdana"/>
          <w:sz w:val="20"/>
        </w:rPr>
        <w:t xml:space="preserve">Emilie </w:t>
      </w:r>
      <w:proofErr w:type="spellStart"/>
      <w:r>
        <w:rPr>
          <w:rFonts w:ascii="Verdana" w:hAnsi="Verdana"/>
          <w:sz w:val="20"/>
        </w:rPr>
        <w:t>Třísková</w:t>
      </w:r>
      <w:proofErr w:type="spellEnd"/>
    </w:p>
    <w:p w:rsidR="007D7C4E" w:rsidRPr="00D94D99" w:rsidRDefault="007D7C4E" w:rsidP="00A84BBE">
      <w:pPr>
        <w:spacing w:line="0" w:lineRule="atLeast"/>
        <w:jc w:val="center"/>
        <w:rPr>
          <w:rFonts w:ascii="Verdana" w:hAnsi="Verdana"/>
          <w:sz w:val="20"/>
        </w:rPr>
      </w:pPr>
      <w:r w:rsidRPr="00D94D99">
        <w:rPr>
          <w:rFonts w:ascii="Verdana" w:hAnsi="Verdana"/>
          <w:sz w:val="20"/>
        </w:rPr>
        <w:t>sign manual</w:t>
      </w:r>
    </w:p>
    <w:p w:rsidR="007D7C4E" w:rsidRPr="00D94D99" w:rsidRDefault="007D7C4E" w:rsidP="00A84BBE">
      <w:pPr>
        <w:jc w:val="center"/>
      </w:pPr>
      <w:r w:rsidRPr="00D94D99">
        <w:rPr>
          <w:rFonts w:ascii="Verdana" w:hAnsi="Verdana"/>
          <w:sz w:val="20"/>
        </w:rPr>
        <w:t>Senate Verifier</w:t>
      </w:r>
    </w:p>
    <w:p w:rsidR="00531BBB" w:rsidRDefault="00531BBB" w:rsidP="007917CB">
      <w:pPr>
        <w:pStyle w:val="Lignefinal"/>
        <w:rPr>
          <w:noProof/>
        </w:rPr>
      </w:pPr>
    </w:p>
    <w:sectPr w:rsidR="00531BBB" w:rsidSect="007A28BB">
      <w:headerReference w:type="even" r:id="rId19"/>
      <w:headerReference w:type="default" r:id="rId20"/>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1B" w:rsidRDefault="0022711B">
      <w:r>
        <w:separator/>
      </w:r>
    </w:p>
  </w:endnote>
  <w:endnote w:type="continuationSeparator" w:id="0">
    <w:p w:rsidR="0022711B" w:rsidRDefault="0022711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BB" w:rsidRPr="007A28BB" w:rsidRDefault="007A28BB" w:rsidP="007A2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28BB" w:rsidRPr="00D94637" w:rsidTr="007A28BB">
      <w:trPr>
        <w:jc w:val="center"/>
      </w:trPr>
      <w:tc>
        <w:tcPr>
          <w:tcW w:w="5000" w:type="pct"/>
          <w:gridSpan w:val="7"/>
          <w:shd w:val="clear" w:color="auto" w:fill="auto"/>
          <w:tcMar>
            <w:top w:w="57" w:type="dxa"/>
          </w:tcMar>
        </w:tcPr>
        <w:p w:rsidR="007A28BB" w:rsidRPr="00D94637" w:rsidRDefault="007A28BB" w:rsidP="00D94637">
          <w:pPr>
            <w:pStyle w:val="FooterText"/>
            <w:pBdr>
              <w:top w:val="single" w:sz="4" w:space="1" w:color="auto"/>
            </w:pBdr>
            <w:spacing w:before="200"/>
            <w:rPr>
              <w:sz w:val="2"/>
              <w:szCs w:val="2"/>
            </w:rPr>
          </w:pPr>
          <w:bookmarkStart w:id="2" w:name="FOOTER_STANDARD"/>
        </w:p>
      </w:tc>
    </w:tr>
    <w:tr w:rsidR="007A28BB" w:rsidRPr="00B310DC" w:rsidTr="007A28BB">
      <w:trPr>
        <w:jc w:val="center"/>
      </w:trPr>
      <w:tc>
        <w:tcPr>
          <w:tcW w:w="2500" w:type="pct"/>
          <w:gridSpan w:val="2"/>
          <w:shd w:val="clear" w:color="auto" w:fill="auto"/>
          <w:tcMar>
            <w:top w:w="0" w:type="dxa"/>
          </w:tcMar>
        </w:tcPr>
        <w:p w:rsidR="007A28BB" w:rsidRPr="00AD7BF2" w:rsidRDefault="007A28BB" w:rsidP="004F54B2">
          <w:pPr>
            <w:pStyle w:val="FooterText"/>
          </w:pPr>
          <w:r>
            <w:t>14615/15</w:t>
          </w:r>
          <w:r w:rsidRPr="002511D8">
            <w:t xml:space="preserve"> </w:t>
          </w:r>
        </w:p>
      </w:tc>
      <w:tc>
        <w:tcPr>
          <w:tcW w:w="625" w:type="pct"/>
          <w:shd w:val="clear" w:color="auto" w:fill="auto"/>
          <w:tcMar>
            <w:top w:w="0" w:type="dxa"/>
          </w:tcMar>
        </w:tcPr>
        <w:p w:rsidR="007A28BB" w:rsidRPr="00AD7BF2" w:rsidRDefault="007A28BB" w:rsidP="00D94637">
          <w:pPr>
            <w:pStyle w:val="FooterText"/>
            <w:jc w:val="center"/>
          </w:pPr>
        </w:p>
      </w:tc>
      <w:tc>
        <w:tcPr>
          <w:tcW w:w="1287" w:type="pct"/>
          <w:gridSpan w:val="3"/>
          <w:shd w:val="clear" w:color="auto" w:fill="auto"/>
          <w:tcMar>
            <w:top w:w="0" w:type="dxa"/>
          </w:tcMar>
        </w:tcPr>
        <w:p w:rsidR="007A28BB" w:rsidRPr="002511D8" w:rsidRDefault="007A28BB" w:rsidP="00D94637">
          <w:pPr>
            <w:pStyle w:val="FooterText"/>
            <w:jc w:val="center"/>
          </w:pPr>
          <w:r>
            <w:t>ZH/pf</w:t>
          </w:r>
        </w:p>
      </w:tc>
      <w:tc>
        <w:tcPr>
          <w:tcW w:w="588" w:type="pct"/>
          <w:shd w:val="clear" w:color="auto" w:fill="auto"/>
          <w:tcMar>
            <w:top w:w="0" w:type="dxa"/>
          </w:tcMar>
        </w:tcPr>
        <w:p w:rsidR="007A28BB" w:rsidRPr="00B310DC" w:rsidRDefault="007A28B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A28BB" w:rsidRPr="00D94637" w:rsidTr="007A28BB">
      <w:trPr>
        <w:jc w:val="center"/>
      </w:trPr>
      <w:tc>
        <w:tcPr>
          <w:tcW w:w="1774" w:type="pct"/>
          <w:shd w:val="clear" w:color="auto" w:fill="auto"/>
        </w:tcPr>
        <w:p w:rsidR="007A28BB" w:rsidRPr="00AD7BF2" w:rsidRDefault="007A28BB" w:rsidP="00D94637">
          <w:pPr>
            <w:pStyle w:val="FooterText"/>
            <w:spacing w:before="40"/>
          </w:pPr>
        </w:p>
      </w:tc>
      <w:tc>
        <w:tcPr>
          <w:tcW w:w="1455" w:type="pct"/>
          <w:gridSpan w:val="3"/>
          <w:shd w:val="clear" w:color="auto" w:fill="auto"/>
        </w:tcPr>
        <w:p w:rsidR="007A28BB" w:rsidRPr="00AD7BF2" w:rsidRDefault="007A28BB" w:rsidP="00D204D6">
          <w:pPr>
            <w:pStyle w:val="FooterText"/>
            <w:spacing w:before="40"/>
            <w:jc w:val="center"/>
          </w:pPr>
          <w:r>
            <w:t>DGD 1B</w:t>
          </w:r>
        </w:p>
      </w:tc>
      <w:tc>
        <w:tcPr>
          <w:tcW w:w="1147" w:type="pct"/>
          <w:shd w:val="clear" w:color="auto" w:fill="auto"/>
        </w:tcPr>
        <w:p w:rsidR="007A28BB" w:rsidRPr="00D94637" w:rsidRDefault="007A28BB" w:rsidP="00D94637">
          <w:pPr>
            <w:pStyle w:val="FooterText"/>
            <w:jc w:val="right"/>
            <w:rPr>
              <w:b/>
              <w:position w:val="-4"/>
              <w:sz w:val="36"/>
            </w:rPr>
          </w:pPr>
        </w:p>
      </w:tc>
      <w:tc>
        <w:tcPr>
          <w:tcW w:w="625" w:type="pct"/>
          <w:gridSpan w:val="2"/>
          <w:shd w:val="clear" w:color="auto" w:fill="auto"/>
        </w:tcPr>
        <w:p w:rsidR="007A28BB" w:rsidRPr="00D94637" w:rsidRDefault="007A28BB" w:rsidP="00D94637">
          <w:pPr>
            <w:pStyle w:val="FooterText"/>
            <w:jc w:val="right"/>
            <w:rPr>
              <w:sz w:val="16"/>
            </w:rPr>
          </w:pPr>
          <w:r>
            <w:rPr>
              <w:b/>
              <w:position w:val="-4"/>
              <w:sz w:val="36"/>
            </w:rPr>
            <w:t>EN/CS</w:t>
          </w:r>
        </w:p>
      </w:tc>
    </w:tr>
    <w:bookmarkEnd w:id="2"/>
  </w:tbl>
  <w:p w:rsidR="00AC6F99" w:rsidRPr="007A28BB" w:rsidRDefault="00AC6F99" w:rsidP="007A28B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28BB" w:rsidRPr="00D94637" w:rsidTr="007A28BB">
      <w:trPr>
        <w:jc w:val="center"/>
      </w:trPr>
      <w:tc>
        <w:tcPr>
          <w:tcW w:w="5000" w:type="pct"/>
          <w:gridSpan w:val="7"/>
          <w:shd w:val="clear" w:color="auto" w:fill="auto"/>
          <w:tcMar>
            <w:top w:w="57" w:type="dxa"/>
          </w:tcMar>
        </w:tcPr>
        <w:p w:rsidR="007A28BB" w:rsidRPr="00D94637" w:rsidRDefault="007A28BB" w:rsidP="00D94637">
          <w:pPr>
            <w:pStyle w:val="FooterText"/>
            <w:pBdr>
              <w:top w:val="single" w:sz="4" w:space="1" w:color="auto"/>
            </w:pBdr>
            <w:spacing w:before="200"/>
            <w:rPr>
              <w:sz w:val="2"/>
              <w:szCs w:val="2"/>
            </w:rPr>
          </w:pPr>
        </w:p>
      </w:tc>
    </w:tr>
    <w:tr w:rsidR="007A28BB" w:rsidRPr="00B310DC" w:rsidTr="007A28BB">
      <w:trPr>
        <w:jc w:val="center"/>
      </w:trPr>
      <w:tc>
        <w:tcPr>
          <w:tcW w:w="2500" w:type="pct"/>
          <w:gridSpan w:val="2"/>
          <w:shd w:val="clear" w:color="auto" w:fill="auto"/>
          <w:tcMar>
            <w:top w:w="0" w:type="dxa"/>
          </w:tcMar>
        </w:tcPr>
        <w:p w:rsidR="007A28BB" w:rsidRPr="00AD7BF2" w:rsidRDefault="007A28BB" w:rsidP="004F54B2">
          <w:pPr>
            <w:pStyle w:val="FooterText"/>
          </w:pPr>
          <w:r>
            <w:t>14615/15</w:t>
          </w:r>
          <w:r w:rsidRPr="002511D8">
            <w:t xml:space="preserve"> </w:t>
          </w:r>
        </w:p>
      </w:tc>
      <w:tc>
        <w:tcPr>
          <w:tcW w:w="625" w:type="pct"/>
          <w:shd w:val="clear" w:color="auto" w:fill="auto"/>
          <w:tcMar>
            <w:top w:w="0" w:type="dxa"/>
          </w:tcMar>
        </w:tcPr>
        <w:p w:rsidR="007A28BB" w:rsidRPr="00AD7BF2" w:rsidRDefault="007A28BB" w:rsidP="00D94637">
          <w:pPr>
            <w:pStyle w:val="FooterText"/>
            <w:jc w:val="center"/>
          </w:pPr>
        </w:p>
      </w:tc>
      <w:tc>
        <w:tcPr>
          <w:tcW w:w="1287" w:type="pct"/>
          <w:gridSpan w:val="3"/>
          <w:shd w:val="clear" w:color="auto" w:fill="auto"/>
          <w:tcMar>
            <w:top w:w="0" w:type="dxa"/>
          </w:tcMar>
        </w:tcPr>
        <w:p w:rsidR="007A28BB" w:rsidRPr="002511D8" w:rsidRDefault="007A28BB" w:rsidP="00D94637">
          <w:pPr>
            <w:pStyle w:val="FooterText"/>
            <w:jc w:val="center"/>
          </w:pPr>
          <w:r>
            <w:t>ZH/pf</w:t>
          </w:r>
        </w:p>
      </w:tc>
      <w:tc>
        <w:tcPr>
          <w:tcW w:w="588" w:type="pct"/>
          <w:shd w:val="clear" w:color="auto" w:fill="auto"/>
          <w:tcMar>
            <w:top w:w="0" w:type="dxa"/>
          </w:tcMar>
        </w:tcPr>
        <w:p w:rsidR="007A28BB" w:rsidRPr="00B310DC" w:rsidRDefault="007A28BB" w:rsidP="00D94637">
          <w:pPr>
            <w:pStyle w:val="FooterText"/>
            <w:jc w:val="right"/>
          </w:pPr>
        </w:p>
      </w:tc>
    </w:tr>
    <w:tr w:rsidR="007A28BB" w:rsidRPr="00D94637" w:rsidTr="007A28BB">
      <w:trPr>
        <w:jc w:val="center"/>
      </w:trPr>
      <w:tc>
        <w:tcPr>
          <w:tcW w:w="1774" w:type="pct"/>
          <w:shd w:val="clear" w:color="auto" w:fill="auto"/>
        </w:tcPr>
        <w:p w:rsidR="007A28BB" w:rsidRPr="00AD7BF2" w:rsidRDefault="007A28BB" w:rsidP="00D94637">
          <w:pPr>
            <w:pStyle w:val="FooterText"/>
            <w:spacing w:before="40"/>
          </w:pPr>
        </w:p>
      </w:tc>
      <w:tc>
        <w:tcPr>
          <w:tcW w:w="1455" w:type="pct"/>
          <w:gridSpan w:val="3"/>
          <w:shd w:val="clear" w:color="auto" w:fill="auto"/>
        </w:tcPr>
        <w:p w:rsidR="007A28BB" w:rsidRPr="00AD7BF2" w:rsidRDefault="007A28BB" w:rsidP="00D204D6">
          <w:pPr>
            <w:pStyle w:val="FooterText"/>
            <w:spacing w:before="40"/>
            <w:jc w:val="center"/>
          </w:pPr>
          <w:r>
            <w:t>DGD 1B</w:t>
          </w:r>
        </w:p>
      </w:tc>
      <w:tc>
        <w:tcPr>
          <w:tcW w:w="1147" w:type="pct"/>
          <w:shd w:val="clear" w:color="auto" w:fill="auto"/>
        </w:tcPr>
        <w:p w:rsidR="007A28BB" w:rsidRPr="00D94637" w:rsidRDefault="007A28BB" w:rsidP="00D94637">
          <w:pPr>
            <w:pStyle w:val="FooterText"/>
            <w:jc w:val="right"/>
            <w:rPr>
              <w:b/>
              <w:position w:val="-4"/>
              <w:sz w:val="36"/>
            </w:rPr>
          </w:pPr>
        </w:p>
      </w:tc>
      <w:tc>
        <w:tcPr>
          <w:tcW w:w="625" w:type="pct"/>
          <w:gridSpan w:val="2"/>
          <w:shd w:val="clear" w:color="auto" w:fill="auto"/>
        </w:tcPr>
        <w:p w:rsidR="007A28BB" w:rsidRPr="00D94637" w:rsidRDefault="007A28BB" w:rsidP="00D94637">
          <w:pPr>
            <w:pStyle w:val="FooterText"/>
            <w:jc w:val="right"/>
            <w:rPr>
              <w:sz w:val="16"/>
            </w:rPr>
          </w:pPr>
          <w:r>
            <w:rPr>
              <w:b/>
              <w:position w:val="-4"/>
              <w:sz w:val="36"/>
            </w:rPr>
            <w:t>EN/CS</w:t>
          </w:r>
        </w:p>
      </w:tc>
    </w:tr>
  </w:tbl>
  <w:p w:rsidR="00AC6F99" w:rsidRPr="007A28BB" w:rsidRDefault="00AC6F99" w:rsidP="007A28B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1B" w:rsidRDefault="0022711B">
      <w:pPr>
        <w:pStyle w:val="FootnoteText"/>
      </w:pPr>
      <w:r>
        <w:separator/>
      </w:r>
    </w:p>
  </w:footnote>
  <w:footnote w:type="continuationSeparator" w:id="0">
    <w:p w:rsidR="0022711B" w:rsidRDefault="0022711B">
      <w:pPr>
        <w:pStyle w:val="FootnoteText"/>
      </w:pPr>
      <w:r>
        <w:separator/>
      </w:r>
    </w:p>
  </w:footnote>
  <w:footnote w:id="1">
    <w:p w:rsidR="007A28BB" w:rsidRDefault="007A28BB">
      <w:pPr>
        <w:pStyle w:val="FootnoteText"/>
      </w:pPr>
      <w:r>
        <w:rPr>
          <w:rStyle w:val="FootnoteReference"/>
        </w:rPr>
        <w:footnoteRef/>
      </w:r>
      <w:r>
        <w:tab/>
      </w:r>
      <w:r w:rsidRPr="007A28BB">
        <w:t xml:space="preserve">Translation(s) of the opinion may be available on the </w:t>
      </w:r>
      <w:proofErr w:type="spellStart"/>
      <w:r w:rsidRPr="007A28BB">
        <w:t>Interparliamentary</w:t>
      </w:r>
      <w:proofErr w:type="spellEnd"/>
      <w:r w:rsidRPr="007A28BB">
        <w:t xml:space="preserve"> EU Information Exchange website (IPEX) at the following address: http://www.ipex.eu/IPEXL-WEB/search.do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BB" w:rsidRPr="007A28BB" w:rsidRDefault="007A28BB" w:rsidP="007A2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BB" w:rsidRPr="007A28BB" w:rsidRDefault="007A28BB" w:rsidP="007A28B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BB" w:rsidRPr="007A28BB" w:rsidRDefault="007A28BB" w:rsidP="007A28B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7A28BB" w:rsidRDefault="001C248D" w:rsidP="007A28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7A28BB" w:rsidRDefault="001C248D" w:rsidP="007A2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A65EAC"/>
    <w:lvl w:ilvl="0">
      <w:start w:val="1"/>
      <w:numFmt w:val="decimal"/>
      <w:lvlText w:val="%1."/>
      <w:lvlJc w:val="left"/>
      <w:pPr>
        <w:tabs>
          <w:tab w:val="num" w:pos="1492"/>
        </w:tabs>
        <w:ind w:left="1492" w:hanging="360"/>
      </w:pPr>
    </w:lvl>
  </w:abstractNum>
  <w:abstractNum w:abstractNumId="1">
    <w:nsid w:val="FFFFFF7D"/>
    <w:multiLevelType w:val="singleLevel"/>
    <w:tmpl w:val="41BAD9A6"/>
    <w:lvl w:ilvl="0">
      <w:start w:val="1"/>
      <w:numFmt w:val="decimal"/>
      <w:lvlText w:val="%1."/>
      <w:lvlJc w:val="left"/>
      <w:pPr>
        <w:tabs>
          <w:tab w:val="num" w:pos="1209"/>
        </w:tabs>
        <w:ind w:left="1209" w:hanging="360"/>
      </w:pPr>
    </w:lvl>
  </w:abstractNum>
  <w:abstractNum w:abstractNumId="2">
    <w:nsid w:val="FFFFFF7E"/>
    <w:multiLevelType w:val="singleLevel"/>
    <w:tmpl w:val="8D92894A"/>
    <w:lvl w:ilvl="0">
      <w:start w:val="1"/>
      <w:numFmt w:val="decimal"/>
      <w:lvlText w:val="%1."/>
      <w:lvlJc w:val="left"/>
      <w:pPr>
        <w:tabs>
          <w:tab w:val="num" w:pos="926"/>
        </w:tabs>
        <w:ind w:left="926" w:hanging="360"/>
      </w:pPr>
    </w:lvl>
  </w:abstractNum>
  <w:abstractNum w:abstractNumId="3">
    <w:nsid w:val="FFFFFF7F"/>
    <w:multiLevelType w:val="singleLevel"/>
    <w:tmpl w:val="D20E0B9A"/>
    <w:lvl w:ilvl="0">
      <w:start w:val="1"/>
      <w:numFmt w:val="decimal"/>
      <w:lvlText w:val="%1."/>
      <w:lvlJc w:val="left"/>
      <w:pPr>
        <w:tabs>
          <w:tab w:val="num" w:pos="643"/>
        </w:tabs>
        <w:ind w:left="643" w:hanging="360"/>
      </w:pPr>
    </w:lvl>
  </w:abstractNum>
  <w:abstractNum w:abstractNumId="4">
    <w:nsid w:val="FFFFFF80"/>
    <w:multiLevelType w:val="singleLevel"/>
    <w:tmpl w:val="50C4D8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34C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0B5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D8C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32BC4A"/>
    <w:lvl w:ilvl="0">
      <w:start w:val="1"/>
      <w:numFmt w:val="decimal"/>
      <w:lvlText w:val="%1."/>
      <w:lvlJc w:val="left"/>
      <w:pPr>
        <w:tabs>
          <w:tab w:val="num" w:pos="360"/>
        </w:tabs>
        <w:ind w:left="360" w:hanging="360"/>
      </w:pPr>
    </w:lvl>
  </w:abstractNum>
  <w:abstractNum w:abstractNumId="9">
    <w:nsid w:val="FFFFFF89"/>
    <w:multiLevelType w:val="singleLevel"/>
    <w:tmpl w:val="B4780726"/>
    <w:lvl w:ilvl="0">
      <w:start w:val="1"/>
      <w:numFmt w:val="bullet"/>
      <w:lvlText w:val=""/>
      <w:lvlJc w:val="left"/>
      <w:pPr>
        <w:tabs>
          <w:tab w:val="num" w:pos="360"/>
        </w:tabs>
        <w:ind w:left="360" w:hanging="360"/>
      </w:pPr>
      <w:rPr>
        <w:rFonts w:ascii="Symbol" w:hAnsi="Symbol" w:hint="default"/>
      </w:rPr>
    </w:lvl>
  </w:abstractNum>
  <w:abstractNum w:abstractNumId="1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nsid w:val="15CF6958"/>
    <w:multiLevelType w:val="singleLevel"/>
    <w:tmpl w:val="9F10BEC0"/>
    <w:lvl w:ilvl="0">
      <w:start w:val="9"/>
      <w:numFmt w:val="bullet"/>
      <w:lvlText w:val="-"/>
      <w:lvlJc w:val="left"/>
      <w:pPr>
        <w:tabs>
          <w:tab w:val="num" w:pos="360"/>
        </w:tabs>
        <w:ind w:left="360" w:hanging="360"/>
      </w:pPr>
      <w:rPr>
        <w:rFonts w:hint="default"/>
      </w:rPr>
    </w:lvl>
  </w:abstractNum>
  <w:abstractNum w:abstractNumId="12">
    <w:nsid w:val="162111DC"/>
    <w:multiLevelType w:val="singleLevel"/>
    <w:tmpl w:val="0E927894"/>
    <w:lvl w:ilvl="0">
      <w:start w:val="1"/>
      <w:numFmt w:val="bullet"/>
      <w:lvlText w:val="-"/>
      <w:lvlJc w:val="left"/>
      <w:pPr>
        <w:tabs>
          <w:tab w:val="num" w:pos="1211"/>
        </w:tabs>
        <w:ind w:left="1211" w:hanging="360"/>
      </w:pPr>
      <w:rPr>
        <w:rFonts w:hint="default"/>
      </w:rPr>
    </w:lvl>
  </w:abstractNum>
  <w:abstractNum w:abstractNumId="13">
    <w:nsid w:val="1C8378F0"/>
    <w:multiLevelType w:val="hybridMultilevel"/>
    <w:tmpl w:val="38348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84525"/>
    <w:multiLevelType w:val="singleLevel"/>
    <w:tmpl w:val="6792BDB4"/>
    <w:lvl w:ilvl="0">
      <w:start w:val="1"/>
      <w:numFmt w:val="decimal"/>
      <w:lvlText w:val="%1)"/>
      <w:lvlJc w:val="left"/>
      <w:pPr>
        <w:tabs>
          <w:tab w:val="num" w:pos="397"/>
        </w:tabs>
        <w:ind w:left="397" w:hanging="39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50C41B4"/>
    <w:multiLevelType w:val="hybridMultilevel"/>
    <w:tmpl w:val="AF886954"/>
    <w:lvl w:ilvl="0" w:tplc="118EE558">
      <w:start w:val="2"/>
      <w:numFmt w:val="bullet"/>
      <w:lvlText w:val="-"/>
      <w:lvlJc w:val="left"/>
      <w:pPr>
        <w:tabs>
          <w:tab w:val="num" w:pos="1601"/>
        </w:tabs>
        <w:ind w:left="1601" w:hanging="360"/>
      </w:pPr>
      <w:rPr>
        <w:rFonts w:ascii="Candara" w:eastAsia="Times New Roman" w:hAnsi="Candara" w:cs="Times New Roman" w:hint="default"/>
      </w:rPr>
    </w:lvl>
    <w:lvl w:ilvl="1" w:tplc="04150003" w:tentative="1">
      <w:start w:val="1"/>
      <w:numFmt w:val="bullet"/>
      <w:lvlText w:val="o"/>
      <w:lvlJc w:val="left"/>
      <w:pPr>
        <w:tabs>
          <w:tab w:val="num" w:pos="2636"/>
        </w:tabs>
        <w:ind w:left="2636" w:hanging="360"/>
      </w:pPr>
      <w:rPr>
        <w:rFonts w:ascii="Courier New" w:hAnsi="Courier New" w:cs="Courier New" w:hint="default"/>
      </w:rPr>
    </w:lvl>
    <w:lvl w:ilvl="2" w:tplc="04150005" w:tentative="1">
      <w:start w:val="1"/>
      <w:numFmt w:val="bullet"/>
      <w:lvlText w:val=""/>
      <w:lvlJc w:val="left"/>
      <w:pPr>
        <w:tabs>
          <w:tab w:val="num" w:pos="3356"/>
        </w:tabs>
        <w:ind w:left="3356" w:hanging="360"/>
      </w:pPr>
      <w:rPr>
        <w:rFonts w:ascii="Wingdings" w:hAnsi="Wingdings" w:hint="default"/>
      </w:rPr>
    </w:lvl>
    <w:lvl w:ilvl="3" w:tplc="04150001" w:tentative="1">
      <w:start w:val="1"/>
      <w:numFmt w:val="bullet"/>
      <w:lvlText w:val=""/>
      <w:lvlJc w:val="left"/>
      <w:pPr>
        <w:tabs>
          <w:tab w:val="num" w:pos="4076"/>
        </w:tabs>
        <w:ind w:left="4076" w:hanging="360"/>
      </w:pPr>
      <w:rPr>
        <w:rFonts w:ascii="Symbol" w:hAnsi="Symbol" w:hint="default"/>
      </w:rPr>
    </w:lvl>
    <w:lvl w:ilvl="4" w:tplc="04150003" w:tentative="1">
      <w:start w:val="1"/>
      <w:numFmt w:val="bullet"/>
      <w:lvlText w:val="o"/>
      <w:lvlJc w:val="left"/>
      <w:pPr>
        <w:tabs>
          <w:tab w:val="num" w:pos="4796"/>
        </w:tabs>
        <w:ind w:left="4796" w:hanging="360"/>
      </w:pPr>
      <w:rPr>
        <w:rFonts w:ascii="Courier New" w:hAnsi="Courier New" w:cs="Courier New" w:hint="default"/>
      </w:rPr>
    </w:lvl>
    <w:lvl w:ilvl="5" w:tplc="04150005" w:tentative="1">
      <w:start w:val="1"/>
      <w:numFmt w:val="bullet"/>
      <w:lvlText w:val=""/>
      <w:lvlJc w:val="left"/>
      <w:pPr>
        <w:tabs>
          <w:tab w:val="num" w:pos="5516"/>
        </w:tabs>
        <w:ind w:left="5516" w:hanging="360"/>
      </w:pPr>
      <w:rPr>
        <w:rFonts w:ascii="Wingdings" w:hAnsi="Wingdings" w:hint="default"/>
      </w:rPr>
    </w:lvl>
    <w:lvl w:ilvl="6" w:tplc="04150001" w:tentative="1">
      <w:start w:val="1"/>
      <w:numFmt w:val="bullet"/>
      <w:lvlText w:val=""/>
      <w:lvlJc w:val="left"/>
      <w:pPr>
        <w:tabs>
          <w:tab w:val="num" w:pos="6236"/>
        </w:tabs>
        <w:ind w:left="6236" w:hanging="360"/>
      </w:pPr>
      <w:rPr>
        <w:rFonts w:ascii="Symbol" w:hAnsi="Symbol" w:hint="default"/>
      </w:rPr>
    </w:lvl>
    <w:lvl w:ilvl="7" w:tplc="04150003" w:tentative="1">
      <w:start w:val="1"/>
      <w:numFmt w:val="bullet"/>
      <w:lvlText w:val="o"/>
      <w:lvlJc w:val="left"/>
      <w:pPr>
        <w:tabs>
          <w:tab w:val="num" w:pos="6956"/>
        </w:tabs>
        <w:ind w:left="6956" w:hanging="360"/>
      </w:pPr>
      <w:rPr>
        <w:rFonts w:ascii="Courier New" w:hAnsi="Courier New" w:cs="Courier New" w:hint="default"/>
      </w:rPr>
    </w:lvl>
    <w:lvl w:ilvl="8" w:tplc="04150005" w:tentative="1">
      <w:start w:val="1"/>
      <w:numFmt w:val="bullet"/>
      <w:lvlText w:val=""/>
      <w:lvlJc w:val="left"/>
      <w:pPr>
        <w:tabs>
          <w:tab w:val="num" w:pos="7676"/>
        </w:tabs>
        <w:ind w:left="7676" w:hanging="360"/>
      </w:pPr>
      <w:rPr>
        <w:rFonts w:ascii="Wingdings" w:hAnsi="Wingdings" w:hint="default"/>
      </w:r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0C14A4"/>
    <w:multiLevelType w:val="hybridMultilevel"/>
    <w:tmpl w:val="099AC91C"/>
    <w:lvl w:ilvl="0" w:tplc="9FE0D6D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D866491"/>
    <w:multiLevelType w:val="singleLevel"/>
    <w:tmpl w:val="9F10BEC0"/>
    <w:lvl w:ilvl="0">
      <w:start w:val="9"/>
      <w:numFmt w:val="bullet"/>
      <w:lvlText w:val="-"/>
      <w:lvlJc w:val="left"/>
      <w:pPr>
        <w:tabs>
          <w:tab w:val="num" w:pos="360"/>
        </w:tabs>
        <w:ind w:left="360" w:hanging="360"/>
      </w:pPr>
      <w:rPr>
        <w:rFonts w:hint="default"/>
      </w:rPr>
    </w:lvl>
  </w:abstractNum>
  <w:abstractNum w:abstractNumId="26">
    <w:nsid w:val="5B080DE1"/>
    <w:multiLevelType w:val="hybridMultilevel"/>
    <w:tmpl w:val="4816F8A6"/>
    <w:lvl w:ilvl="0" w:tplc="DEDC5D24">
      <w:start w:val="1"/>
      <w:numFmt w:val="decimal"/>
      <w:lvlText w:val="%1."/>
      <w:lvlJc w:val="left"/>
      <w:pPr>
        <w:tabs>
          <w:tab w:val="num" w:pos="1080"/>
        </w:tabs>
        <w:ind w:left="108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3A757D5"/>
    <w:multiLevelType w:val="singleLevel"/>
    <w:tmpl w:val="92B6EFF2"/>
    <w:lvl w:ilvl="0">
      <w:start w:val="1"/>
      <w:numFmt w:val="lowerLetter"/>
      <w:lvlText w:val="%1)"/>
      <w:lvlJc w:val="left"/>
      <w:pPr>
        <w:tabs>
          <w:tab w:val="num" w:pos="786"/>
        </w:tabs>
        <w:ind w:left="786" w:hanging="360"/>
      </w:pPr>
      <w:rPr>
        <w:rFonts w:hint="default"/>
      </w:rPr>
    </w:lvl>
  </w:abstractNum>
  <w:abstractNum w:abstractNumId="28">
    <w:nsid w:val="6D291A39"/>
    <w:multiLevelType w:val="singleLevel"/>
    <w:tmpl w:val="7B76F776"/>
    <w:lvl w:ilvl="0">
      <w:start w:val="1"/>
      <w:numFmt w:val="upperRoman"/>
      <w:lvlText w:val="%1."/>
      <w:lvlJc w:val="left"/>
      <w:pPr>
        <w:tabs>
          <w:tab w:val="num" w:pos="720"/>
        </w:tabs>
        <w:ind w:left="720" w:hanging="720"/>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6E8B166B"/>
    <w:multiLevelType w:val="hybridMultilevel"/>
    <w:tmpl w:val="ED125AF2"/>
    <w:lvl w:ilvl="0" w:tplc="9ACAB45E">
      <w:start w:val="1"/>
      <w:numFmt w:val="bullet"/>
      <w:lvlText w:val="-"/>
      <w:lvlJc w:val="left"/>
      <w:pPr>
        <w:ind w:left="3010" w:hanging="360"/>
      </w:pPr>
      <w:rPr>
        <w:rFonts w:ascii="Times New Roman" w:eastAsia="Times New Roman" w:hAnsi="Times New Roman" w:cs="Times New Roman" w:hint="default"/>
      </w:rPr>
    </w:lvl>
    <w:lvl w:ilvl="1" w:tplc="04150003" w:tentative="1">
      <w:start w:val="1"/>
      <w:numFmt w:val="bullet"/>
      <w:lvlText w:val="o"/>
      <w:lvlJc w:val="left"/>
      <w:pPr>
        <w:ind w:left="3730" w:hanging="360"/>
      </w:pPr>
      <w:rPr>
        <w:rFonts w:ascii="Courier New" w:hAnsi="Courier New" w:cs="Courier New" w:hint="default"/>
      </w:rPr>
    </w:lvl>
    <w:lvl w:ilvl="2" w:tplc="04150005" w:tentative="1">
      <w:start w:val="1"/>
      <w:numFmt w:val="bullet"/>
      <w:lvlText w:val=""/>
      <w:lvlJc w:val="left"/>
      <w:pPr>
        <w:ind w:left="4450" w:hanging="360"/>
      </w:pPr>
      <w:rPr>
        <w:rFonts w:ascii="Wingdings" w:hAnsi="Wingdings" w:hint="default"/>
      </w:rPr>
    </w:lvl>
    <w:lvl w:ilvl="3" w:tplc="04150001" w:tentative="1">
      <w:start w:val="1"/>
      <w:numFmt w:val="bullet"/>
      <w:lvlText w:val=""/>
      <w:lvlJc w:val="left"/>
      <w:pPr>
        <w:ind w:left="5170" w:hanging="360"/>
      </w:pPr>
      <w:rPr>
        <w:rFonts w:ascii="Symbol" w:hAnsi="Symbol" w:hint="default"/>
      </w:rPr>
    </w:lvl>
    <w:lvl w:ilvl="4" w:tplc="04150003" w:tentative="1">
      <w:start w:val="1"/>
      <w:numFmt w:val="bullet"/>
      <w:lvlText w:val="o"/>
      <w:lvlJc w:val="left"/>
      <w:pPr>
        <w:ind w:left="5890" w:hanging="360"/>
      </w:pPr>
      <w:rPr>
        <w:rFonts w:ascii="Courier New" w:hAnsi="Courier New" w:cs="Courier New" w:hint="default"/>
      </w:rPr>
    </w:lvl>
    <w:lvl w:ilvl="5" w:tplc="04150005" w:tentative="1">
      <w:start w:val="1"/>
      <w:numFmt w:val="bullet"/>
      <w:lvlText w:val=""/>
      <w:lvlJc w:val="left"/>
      <w:pPr>
        <w:ind w:left="6610" w:hanging="360"/>
      </w:pPr>
      <w:rPr>
        <w:rFonts w:ascii="Wingdings" w:hAnsi="Wingdings" w:hint="default"/>
      </w:rPr>
    </w:lvl>
    <w:lvl w:ilvl="6" w:tplc="04150001" w:tentative="1">
      <w:start w:val="1"/>
      <w:numFmt w:val="bullet"/>
      <w:lvlText w:val=""/>
      <w:lvlJc w:val="left"/>
      <w:pPr>
        <w:ind w:left="7330" w:hanging="360"/>
      </w:pPr>
      <w:rPr>
        <w:rFonts w:ascii="Symbol" w:hAnsi="Symbol" w:hint="default"/>
      </w:rPr>
    </w:lvl>
    <w:lvl w:ilvl="7" w:tplc="04150003" w:tentative="1">
      <w:start w:val="1"/>
      <w:numFmt w:val="bullet"/>
      <w:lvlText w:val="o"/>
      <w:lvlJc w:val="left"/>
      <w:pPr>
        <w:ind w:left="8050" w:hanging="360"/>
      </w:pPr>
      <w:rPr>
        <w:rFonts w:ascii="Courier New" w:hAnsi="Courier New" w:cs="Courier New" w:hint="default"/>
      </w:rPr>
    </w:lvl>
    <w:lvl w:ilvl="8" w:tplc="04150005" w:tentative="1">
      <w:start w:val="1"/>
      <w:numFmt w:val="bullet"/>
      <w:lvlText w:val=""/>
      <w:lvlJc w:val="left"/>
      <w:pPr>
        <w:ind w:left="8770" w:hanging="360"/>
      </w:pPr>
      <w:rPr>
        <w:rFonts w:ascii="Wingdings" w:hAnsi="Wingdings" w:hint="default"/>
      </w:rPr>
    </w:lvl>
  </w:abstractNum>
  <w:abstractNum w:abstractNumId="31">
    <w:nsid w:val="6EBA2790"/>
    <w:multiLevelType w:val="singleLevel"/>
    <w:tmpl w:val="03E60494"/>
    <w:lvl w:ilvl="0">
      <w:numFmt w:val="bullet"/>
      <w:lvlText w:val="-"/>
      <w:lvlJc w:val="left"/>
      <w:pPr>
        <w:tabs>
          <w:tab w:val="num" w:pos="360"/>
        </w:tabs>
        <w:ind w:left="360" w:hanging="360"/>
      </w:pPr>
      <w:rPr>
        <w:rFonts w:hint="default"/>
      </w:rPr>
    </w:lvl>
  </w:abstractNum>
  <w:abstractNum w:abstractNumId="32">
    <w:nsid w:val="76600E1C"/>
    <w:multiLevelType w:val="singleLevel"/>
    <w:tmpl w:val="917A9C24"/>
    <w:lvl w:ilvl="0">
      <w:start w:val="1"/>
      <w:numFmt w:val="decimal"/>
      <w:lvlText w:val="%1)"/>
      <w:lvlJc w:val="left"/>
      <w:pPr>
        <w:tabs>
          <w:tab w:val="num" w:pos="360"/>
        </w:tabs>
        <w:ind w:left="360" w:hanging="360"/>
      </w:pPr>
      <w:rPr>
        <w:rFonts w:hint="default"/>
      </w:rPr>
    </w:lvl>
  </w:abstractNum>
  <w:abstractNum w:abstractNumId="33">
    <w:nsid w:val="77F37634"/>
    <w:multiLevelType w:val="hybridMultilevel"/>
    <w:tmpl w:val="13FAE342"/>
    <w:lvl w:ilvl="0" w:tplc="DEDC5D24">
      <w:start w:val="1"/>
      <w:numFmt w:val="decimal"/>
      <w:lvlText w:val="%1."/>
      <w:lvlJc w:val="left"/>
      <w:pPr>
        <w:tabs>
          <w:tab w:val="num" w:pos="1080"/>
        </w:tabs>
        <w:ind w:left="108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C952C58"/>
    <w:multiLevelType w:val="hybridMultilevel"/>
    <w:tmpl w:val="C4322580"/>
    <w:lvl w:ilvl="0" w:tplc="150260D8">
      <w:numFmt w:val="bullet"/>
      <w:lvlText w:val="-"/>
      <w:lvlJc w:val="left"/>
      <w:pPr>
        <w:tabs>
          <w:tab w:val="num" w:pos="1068"/>
        </w:tabs>
        <w:ind w:left="1068" w:hanging="360"/>
      </w:pPr>
      <w:rPr>
        <w:rFonts w:ascii="Verdana" w:eastAsia="Times New Roman" w:hAnsi="Verdana"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8"/>
  </w:num>
  <w:num w:numId="2">
    <w:abstractNumId w:val="22"/>
  </w:num>
  <w:num w:numId="3">
    <w:abstractNumId w:val="34"/>
  </w:num>
  <w:num w:numId="4">
    <w:abstractNumId w:val="15"/>
  </w:num>
  <w:num w:numId="5">
    <w:abstractNumId w:val="24"/>
  </w:num>
  <w:num w:numId="6">
    <w:abstractNumId w:val="20"/>
  </w:num>
  <w:num w:numId="7">
    <w:abstractNumId w:val="23"/>
  </w:num>
  <w:num w:numId="8">
    <w:abstractNumId w:val="29"/>
  </w:num>
  <w:num w:numId="9">
    <w:abstractNumId w:val="17"/>
  </w:num>
  <w:num w:numId="10">
    <w:abstractNumId w:val="10"/>
  </w:num>
  <w:num w:numId="11">
    <w:abstractNumId w:val="16"/>
  </w:num>
  <w:num w:numId="12">
    <w:abstractNumId w:val="16"/>
  </w:num>
  <w:num w:numId="13">
    <w:abstractNumId w:val="16"/>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5"/>
  </w:num>
  <w:num w:numId="27">
    <w:abstractNumId w:val="12"/>
  </w:num>
  <w:num w:numId="28">
    <w:abstractNumId w:val="28"/>
  </w:num>
  <w:num w:numId="29">
    <w:abstractNumId w:val="31"/>
  </w:num>
  <w:num w:numId="30">
    <w:abstractNumId w:val="13"/>
  </w:num>
  <w:num w:numId="31">
    <w:abstractNumId w:val="14"/>
  </w:num>
  <w:num w:numId="32">
    <w:abstractNumId w:val="19"/>
  </w:num>
  <w:num w:numId="33">
    <w:abstractNumId w:val="30"/>
  </w:num>
  <w:num w:numId="34">
    <w:abstractNumId w:val="32"/>
  </w:num>
  <w:num w:numId="35">
    <w:abstractNumId w:val="2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Page"/>
    <w:footnote w:id="-1"/>
    <w:footnote w:id="0"/>
  </w:footnotePr>
  <w:endnotePr>
    <w:numFmt w:val="decimal"/>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Council" w:val="true"/>
    <w:docVar w:name="CoverPageOnWordDoc" w:val="true"/>
    <w:docVar w:name="DocuWriteMetaData" w:val="&lt;metadataset docuwriteversion=&quot;3.6.7&quot; technicalblockguid=&quot;d70acb6f-567f-4622-8518-06f7c20780fc&quot;&gt;_x000d__x000a_  &lt;metadata key=&quot;md_DocumentLanguages&quot;&gt;_x000d__x000a_    &lt;basicdatatypelist&gt;_x000d__x000a_      &lt;language key=&quot;EN&quot; text=&quot;EN&quot; /&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language key=&quot;CS&quot; text=&quot;CS&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26&lt;/text&gt;_x000d__x000a_  &lt;/metadata&gt;_x000d__x000a_  &lt;metadata key=&quot;md_Prefix&quot;&gt;_x000d__x000a_    &lt;text&gt;&lt;/text&gt;_x000d__x000a_  &lt;/metadata&gt;_x000d__x000a_  &lt;metadata key=&quot;md_DocumentNumber&quot;&gt;_x000d__x000a_    &lt;text&gt;1461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SIM 158&lt;/text&gt;_x000d__x000a_      &lt;text&gt;CODEC 1596&lt;/text&gt;_x000d__x000a_      &lt;text&gt;INST 421&lt;/text&gt;_x000d__x000a_      &lt;text&gt;PARLNAT 1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208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Czech Senate&quot;&gt;&amp;lt;FlowDocument FontFamily=&quot;Arial Unicode MS&quot; FontSize=&quot;12&quot; PageWidth=&quot;116&quot; PagePadding=&quot;5,0,5,0&quot; AllowDrop=&quot;True&quot; xmlns=&quot;http://schemas.microsoft.com/winfx/2006/xaml/presentation&quot;&amp;gt;&amp;lt;Paragraph&amp;gt;&amp;lt;Run xml:lang=&quot;en-gb&quot;&amp;gt;Czech Senate&amp;lt;/Run&amp;gt;&amp;lt;/Paragraph&amp;gt;&amp;lt;/FlowDocument&amp;gt;&lt;/xaml&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15-10-26&lt;/text&gt;_x000d__x000a_  &lt;/metadata&gt;_x000d__x000a_  &lt;metadata key=&quot;md_FreeDate&quot;&gt;_x000d__x000a_    &lt;textlist /&gt;_x000d__x000a_  &lt;/metadata&gt;_x000d__x000a_  &lt;metadata key=&quot;md_PrecedingDocuments&quot;&gt;_x000d__x000a_    &lt;textlist&gt;_x000d__x000a_      &lt;text&gt;ST 11843/15, COM (2015) 450 final&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doc. ST 11843/15 ASIM 79 CODEC 1167 - COM (2015) 450 final]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amp;lt;/Run&amp;gt;&amp;lt;/Paragraph&amp;gt;&amp;lt;Paragraph FontFamily=&quot;Georgia&quot; FontSize=&quot;16&quot;&amp;gt;&amp;lt;Run FontFamily=&quot;Arial Unicode MS&quot;&amp;gt;[doc. ST 11843/15 ASIM 79 CODEC 1167 - COM (2015) 450 final]&amp;lt;/Run&amp;gt;&amp;lt;/Paragraph&amp;gt;&amp;lt;Paragraph Margin=&quot;0,Auto,Auto,Auto&quot; FontFamily=&quot;Georgia&quot; FontSize=&quot;16&quot;&amp;gt;&amp;lt;Run FontFamily=&quot;Arial Unicode MS&quot; xml:lang=&quot;en-gb&quot; xml:space=&quot;preserve&quot;&amp;gt;- &amp;lt;/Run&amp;gt;&amp;lt;Run FontFamily=&quot;Arial Unicode MS&quot;&amp;gt;Opinion&amp;lt;/Run&amp;gt;&amp;lt;Hyperlink NavigateUri=&quot;{x:Null}&quot; Style=&quot;{x:Null}&quot; Name=&quot;Footnote1&quot; Tag=&quot;{}{fn}Translation(s) of the opinion may be available on the Interparliamentary EU Information Exchange website (IPEX) at the following address: http://www.ipex.eu/IPEXL-WEB/search.do{/fn}&quot; ToolTip=&quot;Translation(s) of the opinion may be available on the Interparliamentary EU Information Exchange website (IPEX) at the following address: http://www.ipex.eu/IPEXL-WEB/search.do&quot;&amp;gt;&amp;lt;Hyperlink.TextDecorations&amp;gt;&amp;lt;TextDecorationCollection /&amp;gt;&amp;lt;/Hyperlink.TextDecorations&amp;gt;&amp;lt;Run BaselineAlignment=&quot;Superscript&quot;&amp;gt;1&amp;lt;/Run&amp;gt;&amp;lt;/Hyperlink&amp;gt;&amp;lt;Run FontFamily=&quot;Arial Unicode MS&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D 1B&lt;/text&gt;_x000d__x000a_  &lt;/metadata&gt;_x000d__x000a_  &lt;metadata key=&quot;md_Initials&quot;&gt;_x000d__x000a_    &lt;text&gt;ZH/p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22711B"/>
    <w:rsid w:val="00007A54"/>
    <w:rsid w:val="000449B4"/>
    <w:rsid w:val="0005086A"/>
    <w:rsid w:val="00054C4B"/>
    <w:rsid w:val="00067F31"/>
    <w:rsid w:val="00075910"/>
    <w:rsid w:val="000764A3"/>
    <w:rsid w:val="00083FBC"/>
    <w:rsid w:val="000867FF"/>
    <w:rsid w:val="00092472"/>
    <w:rsid w:val="00093828"/>
    <w:rsid w:val="0009569C"/>
    <w:rsid w:val="000A3826"/>
    <w:rsid w:val="000D2B33"/>
    <w:rsid w:val="000E1C75"/>
    <w:rsid w:val="000E7CFE"/>
    <w:rsid w:val="0012665C"/>
    <w:rsid w:val="00135426"/>
    <w:rsid w:val="00136658"/>
    <w:rsid w:val="0014406C"/>
    <w:rsid w:val="00156CB3"/>
    <w:rsid w:val="00164E11"/>
    <w:rsid w:val="00166126"/>
    <w:rsid w:val="00171F08"/>
    <w:rsid w:val="0017477F"/>
    <w:rsid w:val="00174E40"/>
    <w:rsid w:val="00174EC6"/>
    <w:rsid w:val="001915AA"/>
    <w:rsid w:val="001C1617"/>
    <w:rsid w:val="001C248D"/>
    <w:rsid w:val="001D60D8"/>
    <w:rsid w:val="001F59C5"/>
    <w:rsid w:val="001F7964"/>
    <w:rsid w:val="0020127F"/>
    <w:rsid w:val="00204F63"/>
    <w:rsid w:val="00220AE0"/>
    <w:rsid w:val="0022170F"/>
    <w:rsid w:val="002221E9"/>
    <w:rsid w:val="0022250D"/>
    <w:rsid w:val="0022711B"/>
    <w:rsid w:val="00234D95"/>
    <w:rsid w:val="00235392"/>
    <w:rsid w:val="0024283F"/>
    <w:rsid w:val="0025703C"/>
    <w:rsid w:val="00260D30"/>
    <w:rsid w:val="00281ED3"/>
    <w:rsid w:val="00282319"/>
    <w:rsid w:val="002A000E"/>
    <w:rsid w:val="002A139C"/>
    <w:rsid w:val="002B28C5"/>
    <w:rsid w:val="002C2564"/>
    <w:rsid w:val="002D0849"/>
    <w:rsid w:val="002D1EFE"/>
    <w:rsid w:val="002D5B64"/>
    <w:rsid w:val="002E46F1"/>
    <w:rsid w:val="002F1116"/>
    <w:rsid w:val="00304C1B"/>
    <w:rsid w:val="00304DEB"/>
    <w:rsid w:val="00316D9A"/>
    <w:rsid w:val="00323DF1"/>
    <w:rsid w:val="0032488F"/>
    <w:rsid w:val="003317EC"/>
    <w:rsid w:val="00335A55"/>
    <w:rsid w:val="00364131"/>
    <w:rsid w:val="00365A1E"/>
    <w:rsid w:val="00376FF1"/>
    <w:rsid w:val="003812B9"/>
    <w:rsid w:val="0039090B"/>
    <w:rsid w:val="00392040"/>
    <w:rsid w:val="003A72A5"/>
    <w:rsid w:val="003B4BBB"/>
    <w:rsid w:val="003D12D6"/>
    <w:rsid w:val="003D272B"/>
    <w:rsid w:val="003D5361"/>
    <w:rsid w:val="003E4766"/>
    <w:rsid w:val="003F010B"/>
    <w:rsid w:val="003F7522"/>
    <w:rsid w:val="00410588"/>
    <w:rsid w:val="00426C28"/>
    <w:rsid w:val="00431293"/>
    <w:rsid w:val="00434BDE"/>
    <w:rsid w:val="00445F2C"/>
    <w:rsid w:val="00446EA1"/>
    <w:rsid w:val="00462C5A"/>
    <w:rsid w:val="00462CBB"/>
    <w:rsid w:val="00465B83"/>
    <w:rsid w:val="00490932"/>
    <w:rsid w:val="00491ACF"/>
    <w:rsid w:val="004D202F"/>
    <w:rsid w:val="004E09B5"/>
    <w:rsid w:val="004E30A8"/>
    <w:rsid w:val="004F1F3A"/>
    <w:rsid w:val="005115B2"/>
    <w:rsid w:val="005176C6"/>
    <w:rsid w:val="00517AFA"/>
    <w:rsid w:val="0053148A"/>
    <w:rsid w:val="00531BBB"/>
    <w:rsid w:val="00541E7B"/>
    <w:rsid w:val="005555EB"/>
    <w:rsid w:val="00573235"/>
    <w:rsid w:val="00591446"/>
    <w:rsid w:val="005C1DE3"/>
    <w:rsid w:val="005C4936"/>
    <w:rsid w:val="005D11D1"/>
    <w:rsid w:val="005D3C88"/>
    <w:rsid w:val="005F45C3"/>
    <w:rsid w:val="005F6F1F"/>
    <w:rsid w:val="005F793E"/>
    <w:rsid w:val="00604699"/>
    <w:rsid w:val="00615C14"/>
    <w:rsid w:val="006160C7"/>
    <w:rsid w:val="006164E1"/>
    <w:rsid w:val="00624C6D"/>
    <w:rsid w:val="00627335"/>
    <w:rsid w:val="0065291B"/>
    <w:rsid w:val="00656EED"/>
    <w:rsid w:val="006609FB"/>
    <w:rsid w:val="00681EB1"/>
    <w:rsid w:val="0069311C"/>
    <w:rsid w:val="006937B9"/>
    <w:rsid w:val="006A0D97"/>
    <w:rsid w:val="006B3FE1"/>
    <w:rsid w:val="006C6C26"/>
    <w:rsid w:val="006D2C19"/>
    <w:rsid w:val="006E5355"/>
    <w:rsid w:val="006E7ACA"/>
    <w:rsid w:val="006F22F6"/>
    <w:rsid w:val="006F3E3F"/>
    <w:rsid w:val="007055D6"/>
    <w:rsid w:val="0075359F"/>
    <w:rsid w:val="00754CB7"/>
    <w:rsid w:val="007651B0"/>
    <w:rsid w:val="007654CE"/>
    <w:rsid w:val="0076794C"/>
    <w:rsid w:val="00773F9B"/>
    <w:rsid w:val="00775244"/>
    <w:rsid w:val="0077561E"/>
    <w:rsid w:val="00781D05"/>
    <w:rsid w:val="007838EE"/>
    <w:rsid w:val="007917CB"/>
    <w:rsid w:val="007A28BB"/>
    <w:rsid w:val="007B0D74"/>
    <w:rsid w:val="007B6E58"/>
    <w:rsid w:val="007D0248"/>
    <w:rsid w:val="007D7C4E"/>
    <w:rsid w:val="007F38E2"/>
    <w:rsid w:val="007F7819"/>
    <w:rsid w:val="00805813"/>
    <w:rsid w:val="0081789E"/>
    <w:rsid w:val="00820D9C"/>
    <w:rsid w:val="0083043C"/>
    <w:rsid w:val="00853B46"/>
    <w:rsid w:val="0088319A"/>
    <w:rsid w:val="00884B5B"/>
    <w:rsid w:val="008A0582"/>
    <w:rsid w:val="008B3E59"/>
    <w:rsid w:val="008D04D2"/>
    <w:rsid w:val="008D3B70"/>
    <w:rsid w:val="008D3F5F"/>
    <w:rsid w:val="008E6CE1"/>
    <w:rsid w:val="008F0F94"/>
    <w:rsid w:val="00901A25"/>
    <w:rsid w:val="00907A87"/>
    <w:rsid w:val="009135EF"/>
    <w:rsid w:val="00925BB6"/>
    <w:rsid w:val="0092796C"/>
    <w:rsid w:val="00950B14"/>
    <w:rsid w:val="00964E3A"/>
    <w:rsid w:val="00966B04"/>
    <w:rsid w:val="009700CD"/>
    <w:rsid w:val="00982C75"/>
    <w:rsid w:val="009846A3"/>
    <w:rsid w:val="00995506"/>
    <w:rsid w:val="009A1D2C"/>
    <w:rsid w:val="009A4B2C"/>
    <w:rsid w:val="009D15C2"/>
    <w:rsid w:val="009D4EEC"/>
    <w:rsid w:val="009E577D"/>
    <w:rsid w:val="009E7878"/>
    <w:rsid w:val="009F0FE5"/>
    <w:rsid w:val="00A00520"/>
    <w:rsid w:val="00A12F9B"/>
    <w:rsid w:val="00A3456F"/>
    <w:rsid w:val="00A44788"/>
    <w:rsid w:val="00A55EB4"/>
    <w:rsid w:val="00A56CF2"/>
    <w:rsid w:val="00A74DE2"/>
    <w:rsid w:val="00A83A74"/>
    <w:rsid w:val="00A8452C"/>
    <w:rsid w:val="00A90826"/>
    <w:rsid w:val="00A9225C"/>
    <w:rsid w:val="00A9613B"/>
    <w:rsid w:val="00AA3A04"/>
    <w:rsid w:val="00AC6F99"/>
    <w:rsid w:val="00AD020C"/>
    <w:rsid w:val="00AD77AF"/>
    <w:rsid w:val="00AE6D64"/>
    <w:rsid w:val="00B01529"/>
    <w:rsid w:val="00B104EA"/>
    <w:rsid w:val="00B112C8"/>
    <w:rsid w:val="00B35205"/>
    <w:rsid w:val="00B40E1C"/>
    <w:rsid w:val="00B55A5E"/>
    <w:rsid w:val="00B722DD"/>
    <w:rsid w:val="00B845E7"/>
    <w:rsid w:val="00B9096D"/>
    <w:rsid w:val="00B97461"/>
    <w:rsid w:val="00BC3FE8"/>
    <w:rsid w:val="00BE0095"/>
    <w:rsid w:val="00BE0D86"/>
    <w:rsid w:val="00BE7C2A"/>
    <w:rsid w:val="00BF1051"/>
    <w:rsid w:val="00C22400"/>
    <w:rsid w:val="00C351CC"/>
    <w:rsid w:val="00C4415B"/>
    <w:rsid w:val="00C502FD"/>
    <w:rsid w:val="00C548E9"/>
    <w:rsid w:val="00C55246"/>
    <w:rsid w:val="00C66DC8"/>
    <w:rsid w:val="00C67AD9"/>
    <w:rsid w:val="00C82663"/>
    <w:rsid w:val="00C83670"/>
    <w:rsid w:val="00C86DDC"/>
    <w:rsid w:val="00C92ABB"/>
    <w:rsid w:val="00CD35C2"/>
    <w:rsid w:val="00CE0701"/>
    <w:rsid w:val="00CE1387"/>
    <w:rsid w:val="00CE3420"/>
    <w:rsid w:val="00CE51DE"/>
    <w:rsid w:val="00CE7335"/>
    <w:rsid w:val="00CF309C"/>
    <w:rsid w:val="00D125DB"/>
    <w:rsid w:val="00D171FB"/>
    <w:rsid w:val="00D25D34"/>
    <w:rsid w:val="00D3163B"/>
    <w:rsid w:val="00D31A71"/>
    <w:rsid w:val="00D34375"/>
    <w:rsid w:val="00D40257"/>
    <w:rsid w:val="00D5388E"/>
    <w:rsid w:val="00D565A6"/>
    <w:rsid w:val="00D605D1"/>
    <w:rsid w:val="00D852EB"/>
    <w:rsid w:val="00D954D7"/>
    <w:rsid w:val="00D96E50"/>
    <w:rsid w:val="00D97143"/>
    <w:rsid w:val="00DA36BB"/>
    <w:rsid w:val="00DB464A"/>
    <w:rsid w:val="00DC015F"/>
    <w:rsid w:val="00DC0246"/>
    <w:rsid w:val="00DD54E0"/>
    <w:rsid w:val="00DE1D55"/>
    <w:rsid w:val="00DE42A7"/>
    <w:rsid w:val="00DF2DF3"/>
    <w:rsid w:val="00E0581F"/>
    <w:rsid w:val="00E3428E"/>
    <w:rsid w:val="00E40BDE"/>
    <w:rsid w:val="00E43EC1"/>
    <w:rsid w:val="00E45613"/>
    <w:rsid w:val="00E5556D"/>
    <w:rsid w:val="00E56089"/>
    <w:rsid w:val="00E933D4"/>
    <w:rsid w:val="00E952B1"/>
    <w:rsid w:val="00EB3FB2"/>
    <w:rsid w:val="00EC0A2A"/>
    <w:rsid w:val="00EE00BA"/>
    <w:rsid w:val="00EE6E72"/>
    <w:rsid w:val="00EF1C84"/>
    <w:rsid w:val="00F030A6"/>
    <w:rsid w:val="00F1732C"/>
    <w:rsid w:val="00F42ECF"/>
    <w:rsid w:val="00F57577"/>
    <w:rsid w:val="00F64303"/>
    <w:rsid w:val="00F75257"/>
    <w:rsid w:val="00F91457"/>
    <w:rsid w:val="00FA264E"/>
    <w:rsid w:val="00FB0E41"/>
    <w:rsid w:val="00FB16BD"/>
    <w:rsid w:val="00FC0FE7"/>
    <w:rsid w:val="00FE7039"/>
    <w:rsid w:val="00FF0BC4"/>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 w:type="character" w:styleId="FollowedHyperlink">
    <w:name w:val="FollowedHyperlink"/>
    <w:basedOn w:val="DefaultParagraphFont"/>
    <w:uiPriority w:val="99"/>
    <w:semiHidden/>
    <w:unhideWhenUsed/>
    <w:rsid w:val="005F6F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 w:type="character" w:styleId="FollowedHyperlink">
    <w:name w:val="FollowedHyperlink"/>
    <w:basedOn w:val="DefaultParagraphFont"/>
    <w:uiPriority w:val="99"/>
    <w:semiHidden/>
    <w:unhideWhenUsed/>
    <w:rsid w:val="005F6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E54D-71EE-4815-ACB1-64B73773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1560</Words>
  <Characters>8237</Characters>
  <Application>Microsoft Office Word</Application>
  <DocSecurity>0</DocSecurity>
  <Lines>183</Lines>
  <Paragraphs>60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RUBIN Sylvia</dc:creator>
  <cp:lastModifiedBy>FILIPKOVA Petra</cp:lastModifiedBy>
  <cp:revision>8</cp:revision>
  <cp:lastPrinted>2015-11-25T15:26:00Z</cp:lastPrinted>
  <dcterms:created xsi:type="dcterms:W3CDTF">2015-11-25T14:15:00Z</dcterms:created>
  <dcterms:modified xsi:type="dcterms:W3CDTF">2015-11-26T12:06:00Z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