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F8" w:rsidRPr="00AB13F5" w:rsidRDefault="002327FB" w:rsidP="00AB13F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5fa6b2-a8b1-4504-932e-5c579e57c95d_0" style="width:573.75pt;height:413.25pt">
            <v:imagedata r:id="rId9" o:title=""/>
          </v:shape>
        </w:pict>
      </w:r>
      <w:bookmarkEnd w:id="0"/>
    </w:p>
    <w:p w:rsidR="004267BC" w:rsidRPr="00E6494F" w:rsidRDefault="004267BC" w:rsidP="004267BC">
      <w:pPr>
        <w:pStyle w:val="TechnicalBlock"/>
        <w:ind w:left="-1134" w:right="-1134"/>
        <w:sectPr w:rsidR="004267BC" w:rsidRPr="00E6494F" w:rsidSect="00AB13F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C91EFB" w:rsidRDefault="00D52DF8" w:rsidP="00D52DF8">
      <w:pPr>
        <w:pStyle w:val="TOCHeading"/>
      </w:pPr>
      <w:r>
        <w:lastRenderedPageBreak/>
        <w:t>CONTENTS</w:t>
      </w:r>
      <w:r w:rsidRPr="00D52DF8">
        <w:rPr>
          <w:vertAlign w:val="superscript"/>
        </w:rPr>
        <w:t>1</w:t>
      </w:r>
    </w:p>
    <w:p w:rsidR="00D52DF8" w:rsidRDefault="00D52DF8" w:rsidP="00D52DF8">
      <w:pPr>
        <w:pStyle w:val="TOC5"/>
      </w:pPr>
      <w:r>
        <w:t>ITEMS DEBATED</w:t>
      </w:r>
    </w:p>
    <w:p w:rsidR="00D52DF8" w:rsidRDefault="00D52DF8" w:rsidP="00D52DF8">
      <w:pPr>
        <w:pStyle w:val="TOC6"/>
        <w:rPr>
          <w:rFonts w:asciiTheme="minorHAnsi" w:eastAsiaTheme="minorEastAsia" w:hAnsiTheme="minorHAnsi" w:cstheme="minorBidi"/>
          <w:noProof/>
          <w:sz w:val="22"/>
          <w:szCs w:val="22"/>
          <w:lang w:eastAsia="en-GB"/>
        </w:rPr>
      </w:pPr>
      <w:r w:rsidRPr="00F82280">
        <w:rPr>
          <w:rFonts w:eastAsia="Calibri"/>
          <w:noProof/>
        </w:rPr>
        <w:t>Review of the EU emissions trading system</w:t>
      </w:r>
      <w:r>
        <w:rPr>
          <w:noProof/>
        </w:rPr>
        <w:tab/>
      </w:r>
      <w:r>
        <w:rPr>
          <w:noProof/>
        </w:rPr>
        <w:fldChar w:fldCharType="begin"/>
      </w:r>
      <w:r>
        <w:rPr>
          <w:noProof/>
        </w:rPr>
        <w:instrText xml:space="preserve"> PAGEREF \h _Toc436654338 \* MERGEFORMAT </w:instrText>
      </w:r>
      <w:r>
        <w:rPr>
          <w:noProof/>
        </w:rPr>
      </w:r>
      <w:r>
        <w:rPr>
          <w:noProof/>
        </w:rPr>
        <w:fldChar w:fldCharType="separate"/>
      </w:r>
      <w:r>
        <w:rPr>
          <w:noProof/>
        </w:rPr>
        <w:t>4</w:t>
      </w:r>
      <w:r>
        <w:rPr>
          <w:noProof/>
        </w:rPr>
        <w:fldChar w:fldCharType="end"/>
      </w:r>
    </w:p>
    <w:p w:rsidR="00D52DF8" w:rsidRDefault="00D52DF8" w:rsidP="00D52DF8">
      <w:pPr>
        <w:pStyle w:val="TOC6"/>
        <w:rPr>
          <w:rFonts w:asciiTheme="minorHAnsi" w:eastAsiaTheme="minorEastAsia" w:hAnsiTheme="minorHAnsi" w:cstheme="minorBidi"/>
          <w:noProof/>
          <w:sz w:val="22"/>
          <w:szCs w:val="22"/>
          <w:lang w:eastAsia="en-GB"/>
        </w:rPr>
      </w:pPr>
      <w:r w:rsidRPr="00F82280">
        <w:rPr>
          <w:rFonts w:eastAsia="Calibri"/>
          <w:noProof/>
        </w:rPr>
        <w:t>Greening the European Semester</w:t>
      </w:r>
      <w:r>
        <w:rPr>
          <w:noProof/>
        </w:rPr>
        <w:tab/>
      </w:r>
      <w:r>
        <w:rPr>
          <w:noProof/>
        </w:rPr>
        <w:fldChar w:fldCharType="begin"/>
      </w:r>
      <w:r>
        <w:rPr>
          <w:noProof/>
        </w:rPr>
        <w:instrText xml:space="preserve"> PAGEREF \h _Toc436654339 \* MERGEFORMAT </w:instrText>
      </w:r>
      <w:r>
        <w:rPr>
          <w:noProof/>
        </w:rPr>
      </w:r>
      <w:r>
        <w:rPr>
          <w:noProof/>
        </w:rPr>
        <w:fldChar w:fldCharType="separate"/>
      </w:r>
      <w:r>
        <w:rPr>
          <w:noProof/>
        </w:rPr>
        <w:t>5</w:t>
      </w:r>
      <w:r>
        <w:rPr>
          <w:noProof/>
        </w:rPr>
        <w:fldChar w:fldCharType="end"/>
      </w:r>
    </w:p>
    <w:p w:rsidR="00D52DF8" w:rsidRDefault="00D52DF8" w:rsidP="00D52DF8">
      <w:pPr>
        <w:pStyle w:val="TOC6"/>
        <w:rPr>
          <w:rFonts w:asciiTheme="minorHAnsi" w:eastAsiaTheme="minorEastAsia" w:hAnsiTheme="minorHAnsi" w:cstheme="minorBidi"/>
          <w:noProof/>
          <w:sz w:val="22"/>
          <w:szCs w:val="22"/>
          <w:lang w:eastAsia="en-GB"/>
        </w:rPr>
      </w:pPr>
      <w:r w:rsidRPr="00F82280">
        <w:rPr>
          <w:rFonts w:eastAsia="Calibri"/>
          <w:noProof/>
        </w:rPr>
        <w:t>2030 Agenda for Sustainable Development</w:t>
      </w:r>
      <w:r>
        <w:rPr>
          <w:noProof/>
        </w:rPr>
        <w:tab/>
      </w:r>
      <w:r>
        <w:rPr>
          <w:noProof/>
        </w:rPr>
        <w:fldChar w:fldCharType="begin"/>
      </w:r>
      <w:r>
        <w:rPr>
          <w:noProof/>
        </w:rPr>
        <w:instrText xml:space="preserve"> PAGEREF \h _Toc436654340 \* MERGEFORMAT </w:instrText>
      </w:r>
      <w:r>
        <w:rPr>
          <w:noProof/>
        </w:rPr>
      </w:r>
      <w:r>
        <w:rPr>
          <w:noProof/>
        </w:rPr>
        <w:fldChar w:fldCharType="separate"/>
      </w:r>
      <w:r>
        <w:rPr>
          <w:noProof/>
        </w:rPr>
        <w:t>6</w:t>
      </w:r>
      <w:r>
        <w:rPr>
          <w:noProof/>
        </w:rPr>
        <w:fldChar w:fldCharType="end"/>
      </w:r>
    </w:p>
    <w:p w:rsidR="00D52DF8" w:rsidRPr="00D52DF8" w:rsidRDefault="00D52DF8" w:rsidP="00D52DF8">
      <w:pPr>
        <w:pStyle w:val="TOC6"/>
      </w:pPr>
      <w:r>
        <w:rPr>
          <w:noProof/>
        </w:rPr>
        <w:t>Any other business</w:t>
      </w:r>
      <w:r>
        <w:rPr>
          <w:noProof/>
        </w:rPr>
        <w:tab/>
      </w:r>
      <w:r>
        <w:rPr>
          <w:noProof/>
        </w:rPr>
        <w:fldChar w:fldCharType="begin"/>
      </w:r>
      <w:r>
        <w:rPr>
          <w:noProof/>
        </w:rPr>
        <w:instrText xml:space="preserve"> PAGEREF \h _Toc436654341 \* MERGEFORMAT </w:instrText>
      </w:r>
      <w:r>
        <w:rPr>
          <w:noProof/>
        </w:rPr>
      </w:r>
      <w:r>
        <w:rPr>
          <w:noProof/>
        </w:rPr>
        <w:fldChar w:fldCharType="separate"/>
      </w:r>
      <w:r>
        <w:rPr>
          <w:noProof/>
        </w:rPr>
        <w:t>6</w:t>
      </w:r>
      <w:r>
        <w:rPr>
          <w:noProof/>
        </w:rPr>
        <w:fldChar w:fldCharType="end"/>
      </w:r>
    </w:p>
    <w:p w:rsidR="00D52DF8" w:rsidRDefault="00D52DF8" w:rsidP="00D52DF8">
      <w:pPr>
        <w:pStyle w:val="TOC5"/>
      </w:pPr>
      <w:r>
        <w:t>OTHER ITEMS APPROVED</w:t>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ENVIRONMENT</w:t>
      </w:r>
    </w:p>
    <w:p w:rsidR="00D52DF8" w:rsidRDefault="00D52DF8" w:rsidP="00D52DF8">
      <w:pPr>
        <w:pStyle w:val="TOC9"/>
        <w:keepNext/>
        <w:numPr>
          <w:ilvl w:val="0"/>
          <w:numId w:val="49"/>
        </w:numPr>
        <w:rPr>
          <w:rFonts w:asciiTheme="minorHAnsi" w:eastAsiaTheme="minorEastAsia" w:hAnsiTheme="minorHAnsi" w:cstheme="minorBidi"/>
          <w:noProof/>
          <w:sz w:val="22"/>
          <w:szCs w:val="22"/>
          <w:lang w:eastAsia="en-GB"/>
        </w:rPr>
      </w:pPr>
      <w:r>
        <w:rPr>
          <w:noProof/>
        </w:rPr>
        <w:t>Persistent organic pollutants</w:t>
      </w:r>
      <w:r>
        <w:rPr>
          <w:noProof/>
        </w:rPr>
        <w:tab/>
      </w:r>
      <w:r>
        <w:rPr>
          <w:noProof/>
        </w:rPr>
        <w:fldChar w:fldCharType="begin"/>
      </w:r>
      <w:r>
        <w:rPr>
          <w:noProof/>
        </w:rPr>
        <w:instrText xml:space="preserve"> PAGEREF \h _Toc436654343 \* MERGEFORMAT </w:instrText>
      </w:r>
      <w:r>
        <w:rPr>
          <w:noProof/>
        </w:rPr>
      </w:r>
      <w:r>
        <w:rPr>
          <w:noProof/>
        </w:rPr>
        <w:fldChar w:fldCharType="separate"/>
      </w:r>
      <w:r>
        <w:rPr>
          <w:noProof/>
        </w:rPr>
        <w:t>8</w:t>
      </w:r>
      <w:r>
        <w:rPr>
          <w:noProof/>
        </w:rPr>
        <w:fldChar w:fldCharType="end"/>
      </w:r>
    </w:p>
    <w:p w:rsidR="00D52DF8" w:rsidRDefault="00D52DF8" w:rsidP="00D52DF8">
      <w:pPr>
        <w:pStyle w:val="TOC9"/>
        <w:rPr>
          <w:rFonts w:asciiTheme="minorHAnsi" w:eastAsiaTheme="minorEastAsia" w:hAnsiTheme="minorHAnsi" w:cstheme="minorBidi"/>
          <w:noProof/>
          <w:sz w:val="22"/>
          <w:szCs w:val="22"/>
          <w:lang w:eastAsia="en-GB"/>
        </w:rPr>
      </w:pPr>
      <w:r>
        <w:rPr>
          <w:noProof/>
        </w:rPr>
        <w:t>Report on the EU emissions trading system (ETS)</w:t>
      </w:r>
      <w:r>
        <w:rPr>
          <w:noProof/>
        </w:rPr>
        <w:tab/>
      </w:r>
      <w:r>
        <w:rPr>
          <w:noProof/>
        </w:rPr>
        <w:fldChar w:fldCharType="begin"/>
      </w:r>
      <w:r>
        <w:rPr>
          <w:noProof/>
        </w:rPr>
        <w:instrText xml:space="preserve"> PAGEREF \h _Toc436654344 \* MERGEFORMAT </w:instrText>
      </w:r>
      <w:r>
        <w:rPr>
          <w:noProof/>
        </w:rPr>
      </w:r>
      <w:r>
        <w:rPr>
          <w:noProof/>
        </w:rPr>
        <w:fldChar w:fldCharType="separate"/>
      </w:r>
      <w:r>
        <w:rPr>
          <w:noProof/>
        </w:rPr>
        <w:t>8</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ECONOMIC AND FINANCIAL AFFAIRS</w:t>
      </w:r>
    </w:p>
    <w:p w:rsidR="00D52DF8" w:rsidRDefault="00D52DF8" w:rsidP="00D52DF8">
      <w:pPr>
        <w:pStyle w:val="TOC9"/>
        <w:rPr>
          <w:rFonts w:asciiTheme="minorHAnsi" w:eastAsiaTheme="minorEastAsia" w:hAnsiTheme="minorHAnsi" w:cstheme="minorBidi"/>
          <w:noProof/>
          <w:sz w:val="22"/>
          <w:szCs w:val="22"/>
          <w:lang w:eastAsia="en-GB"/>
        </w:rPr>
      </w:pPr>
      <w:r>
        <w:rPr>
          <w:noProof/>
        </w:rPr>
        <w:t>OTC derivatives: Clearing obligation</w:t>
      </w:r>
      <w:r>
        <w:rPr>
          <w:noProof/>
        </w:rPr>
        <w:tab/>
      </w:r>
      <w:r>
        <w:rPr>
          <w:noProof/>
        </w:rPr>
        <w:fldChar w:fldCharType="begin"/>
      </w:r>
      <w:r>
        <w:rPr>
          <w:noProof/>
        </w:rPr>
        <w:instrText xml:space="preserve"> PAGEREF \h _Toc436654346 \* MERGEFORMAT </w:instrText>
      </w:r>
      <w:r>
        <w:rPr>
          <w:noProof/>
        </w:rPr>
      </w:r>
      <w:r>
        <w:rPr>
          <w:noProof/>
        </w:rPr>
        <w:fldChar w:fldCharType="separate"/>
      </w:r>
      <w:r>
        <w:rPr>
          <w:noProof/>
        </w:rPr>
        <w:t>9</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TRADE POLICY</w:t>
      </w:r>
    </w:p>
    <w:p w:rsidR="00D52DF8" w:rsidRDefault="00D52DF8" w:rsidP="00D52DF8">
      <w:pPr>
        <w:pStyle w:val="TOC9"/>
        <w:keepNext/>
        <w:rPr>
          <w:rFonts w:asciiTheme="minorHAnsi" w:eastAsiaTheme="minorEastAsia" w:hAnsiTheme="minorHAnsi" w:cstheme="minorBidi"/>
          <w:noProof/>
          <w:sz w:val="22"/>
          <w:szCs w:val="22"/>
          <w:lang w:eastAsia="en-GB"/>
        </w:rPr>
      </w:pPr>
      <w:r>
        <w:rPr>
          <w:noProof/>
        </w:rPr>
        <w:t>WTO waiver: African Growth and Opportunity Act</w:t>
      </w:r>
      <w:r>
        <w:rPr>
          <w:noProof/>
        </w:rPr>
        <w:tab/>
      </w:r>
      <w:r>
        <w:rPr>
          <w:noProof/>
        </w:rPr>
        <w:fldChar w:fldCharType="begin"/>
      </w:r>
      <w:r>
        <w:rPr>
          <w:noProof/>
        </w:rPr>
        <w:instrText xml:space="preserve"> PAGEREF \h _Toc436654348 \* MERGEFORMAT </w:instrText>
      </w:r>
      <w:r>
        <w:rPr>
          <w:noProof/>
        </w:rPr>
      </w:r>
      <w:r>
        <w:rPr>
          <w:noProof/>
        </w:rPr>
        <w:fldChar w:fldCharType="separate"/>
      </w:r>
      <w:r>
        <w:rPr>
          <w:noProof/>
        </w:rPr>
        <w:t>9</w:t>
      </w:r>
      <w:r>
        <w:rPr>
          <w:noProof/>
        </w:rPr>
        <w:fldChar w:fldCharType="end"/>
      </w:r>
    </w:p>
    <w:p w:rsidR="00D52DF8" w:rsidRDefault="00D52DF8" w:rsidP="00D52DF8">
      <w:pPr>
        <w:pStyle w:val="TOC9"/>
        <w:keepNext/>
        <w:rPr>
          <w:rFonts w:asciiTheme="minorHAnsi" w:eastAsiaTheme="minorEastAsia" w:hAnsiTheme="minorHAnsi" w:cstheme="minorBidi"/>
          <w:noProof/>
          <w:sz w:val="22"/>
          <w:szCs w:val="22"/>
          <w:lang w:eastAsia="en-GB"/>
        </w:rPr>
      </w:pPr>
      <w:r>
        <w:rPr>
          <w:noProof/>
        </w:rPr>
        <w:t>Generalised tariff preferences: graduation thresholds</w:t>
      </w:r>
      <w:r>
        <w:rPr>
          <w:noProof/>
        </w:rPr>
        <w:tab/>
      </w:r>
      <w:r>
        <w:rPr>
          <w:noProof/>
        </w:rPr>
        <w:fldChar w:fldCharType="begin"/>
      </w:r>
      <w:r>
        <w:rPr>
          <w:noProof/>
        </w:rPr>
        <w:instrText xml:space="preserve"> PAGEREF \h _Toc436654349 \* MERGEFORMAT </w:instrText>
      </w:r>
      <w:r>
        <w:rPr>
          <w:noProof/>
        </w:rPr>
      </w:r>
      <w:r>
        <w:rPr>
          <w:noProof/>
        </w:rPr>
        <w:fldChar w:fldCharType="separate"/>
      </w:r>
      <w:r>
        <w:rPr>
          <w:noProof/>
        </w:rPr>
        <w:t>9</w:t>
      </w:r>
      <w:r>
        <w:rPr>
          <w:noProof/>
        </w:rPr>
        <w:fldChar w:fldCharType="end"/>
      </w:r>
    </w:p>
    <w:p w:rsidR="00D52DF8" w:rsidRDefault="00D52DF8" w:rsidP="00D52DF8">
      <w:pPr>
        <w:pStyle w:val="TOC9"/>
        <w:rPr>
          <w:rFonts w:asciiTheme="minorHAnsi" w:eastAsiaTheme="minorEastAsia" w:hAnsiTheme="minorHAnsi" w:cstheme="minorBidi"/>
          <w:noProof/>
          <w:sz w:val="22"/>
          <w:szCs w:val="22"/>
          <w:lang w:eastAsia="en-GB"/>
        </w:rPr>
      </w:pPr>
      <w:r>
        <w:rPr>
          <w:noProof/>
        </w:rPr>
        <w:t xml:space="preserve">Generalised tariff preferences: Fiji, Georgia, Iraq, Marshall Islands, </w:t>
      </w:r>
      <w:r w:rsidRPr="00CE5594">
        <w:rPr>
          <w:rFonts w:eastAsia="Calibri"/>
          <w:noProof/>
        </w:rPr>
        <w:t>Samoa</w:t>
      </w:r>
      <w:r>
        <w:rPr>
          <w:noProof/>
        </w:rPr>
        <w:t xml:space="preserve"> and Tonga</w:t>
      </w:r>
      <w:r>
        <w:rPr>
          <w:noProof/>
        </w:rPr>
        <w:tab/>
      </w:r>
      <w:r>
        <w:rPr>
          <w:noProof/>
        </w:rPr>
        <w:fldChar w:fldCharType="begin"/>
      </w:r>
      <w:r>
        <w:rPr>
          <w:noProof/>
        </w:rPr>
        <w:instrText xml:space="preserve"> PAGEREF \h _Toc436654350 \* MERGEFORMAT </w:instrText>
      </w:r>
      <w:r>
        <w:rPr>
          <w:noProof/>
        </w:rPr>
      </w:r>
      <w:r>
        <w:rPr>
          <w:noProof/>
        </w:rPr>
        <w:fldChar w:fldCharType="separate"/>
      </w:r>
      <w:r>
        <w:rPr>
          <w:noProof/>
        </w:rPr>
        <w:t>10</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TAXATION</w:t>
      </w:r>
    </w:p>
    <w:p w:rsidR="00D52DF8" w:rsidRDefault="00D52DF8" w:rsidP="00D52DF8">
      <w:pPr>
        <w:pStyle w:val="TOC9"/>
        <w:rPr>
          <w:rFonts w:asciiTheme="minorHAnsi" w:eastAsiaTheme="minorEastAsia" w:hAnsiTheme="minorHAnsi" w:cstheme="minorBidi"/>
          <w:noProof/>
          <w:sz w:val="22"/>
          <w:szCs w:val="22"/>
          <w:lang w:eastAsia="en-GB"/>
        </w:rPr>
      </w:pPr>
      <w:r>
        <w:rPr>
          <w:noProof/>
        </w:rPr>
        <w:t>Automatic exchange of tax data - Liechtenstein</w:t>
      </w:r>
      <w:r>
        <w:rPr>
          <w:noProof/>
        </w:rPr>
        <w:tab/>
      </w:r>
      <w:r>
        <w:rPr>
          <w:noProof/>
        </w:rPr>
        <w:fldChar w:fldCharType="begin"/>
      </w:r>
      <w:r>
        <w:rPr>
          <w:noProof/>
        </w:rPr>
        <w:instrText xml:space="preserve"> PAGEREF \h _Toc436654352 \* MERGEFORMAT </w:instrText>
      </w:r>
      <w:r>
        <w:rPr>
          <w:noProof/>
        </w:rPr>
      </w:r>
      <w:r>
        <w:rPr>
          <w:noProof/>
        </w:rPr>
        <w:fldChar w:fldCharType="separate"/>
      </w:r>
      <w:r>
        <w:rPr>
          <w:noProof/>
        </w:rPr>
        <w:t>10</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JUSTICE AND HOME AFFAIRS</w:t>
      </w:r>
    </w:p>
    <w:p w:rsidR="00D52DF8" w:rsidRDefault="00D52DF8" w:rsidP="00D52DF8">
      <w:pPr>
        <w:pStyle w:val="TOC9"/>
        <w:keepNext/>
        <w:rPr>
          <w:rFonts w:asciiTheme="minorHAnsi" w:eastAsiaTheme="minorEastAsia" w:hAnsiTheme="minorHAnsi" w:cstheme="minorBidi"/>
          <w:noProof/>
          <w:sz w:val="22"/>
          <w:szCs w:val="22"/>
          <w:lang w:eastAsia="en-GB"/>
        </w:rPr>
      </w:pPr>
      <w:r>
        <w:rPr>
          <w:noProof/>
        </w:rPr>
        <w:t>Visa Information System</w:t>
      </w:r>
      <w:r>
        <w:rPr>
          <w:noProof/>
        </w:rPr>
        <w:tab/>
      </w:r>
      <w:r>
        <w:rPr>
          <w:noProof/>
        </w:rPr>
        <w:fldChar w:fldCharType="begin"/>
      </w:r>
      <w:r>
        <w:rPr>
          <w:noProof/>
        </w:rPr>
        <w:instrText xml:space="preserve"> PAGEREF \h _Toc436654354 \* MERGEFORMAT </w:instrText>
      </w:r>
      <w:r>
        <w:rPr>
          <w:noProof/>
        </w:rPr>
      </w:r>
      <w:r>
        <w:rPr>
          <w:noProof/>
        </w:rPr>
        <w:fldChar w:fldCharType="separate"/>
      </w:r>
      <w:r>
        <w:rPr>
          <w:noProof/>
        </w:rPr>
        <w:t>11</w:t>
      </w:r>
      <w:r>
        <w:rPr>
          <w:noProof/>
        </w:rPr>
        <w:fldChar w:fldCharType="end"/>
      </w:r>
    </w:p>
    <w:p w:rsidR="00D52DF8" w:rsidRDefault="00D52DF8" w:rsidP="00D52DF8">
      <w:pPr>
        <w:pStyle w:val="TOC9"/>
        <w:rPr>
          <w:rFonts w:asciiTheme="minorHAnsi" w:eastAsiaTheme="minorEastAsia" w:hAnsiTheme="minorHAnsi" w:cstheme="minorBidi"/>
          <w:noProof/>
          <w:sz w:val="22"/>
          <w:szCs w:val="22"/>
          <w:lang w:eastAsia="en-GB"/>
        </w:rPr>
      </w:pPr>
      <w:r>
        <w:rPr>
          <w:noProof/>
        </w:rPr>
        <w:t>Visa waiver agreements</w:t>
      </w:r>
      <w:r>
        <w:rPr>
          <w:noProof/>
        </w:rPr>
        <w:tab/>
      </w:r>
      <w:r>
        <w:rPr>
          <w:noProof/>
        </w:rPr>
        <w:fldChar w:fldCharType="begin"/>
      </w:r>
      <w:r>
        <w:rPr>
          <w:noProof/>
        </w:rPr>
        <w:instrText xml:space="preserve"> PAGEREF \h _Toc436654355 \* MERGEFORMAT </w:instrText>
      </w:r>
      <w:r>
        <w:rPr>
          <w:noProof/>
        </w:rPr>
      </w:r>
      <w:r>
        <w:rPr>
          <w:noProof/>
        </w:rPr>
        <w:fldChar w:fldCharType="separate"/>
      </w:r>
      <w:r>
        <w:rPr>
          <w:noProof/>
        </w:rPr>
        <w:t>11</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lastRenderedPageBreak/>
        <w:t>AGRICULTURE</w:t>
      </w:r>
    </w:p>
    <w:p w:rsidR="00D52DF8" w:rsidRDefault="00D52DF8" w:rsidP="00D52DF8">
      <w:pPr>
        <w:pStyle w:val="TOC9"/>
        <w:rPr>
          <w:rFonts w:asciiTheme="minorHAnsi" w:eastAsiaTheme="minorEastAsia" w:hAnsiTheme="minorHAnsi" w:cstheme="minorBidi"/>
          <w:noProof/>
          <w:sz w:val="22"/>
          <w:szCs w:val="22"/>
          <w:lang w:eastAsia="en-GB"/>
        </w:rPr>
      </w:pPr>
      <w:r>
        <w:rPr>
          <w:noProof/>
        </w:rPr>
        <w:t>Official controls in the food chain - Adoption of the Council position</w:t>
      </w:r>
      <w:r>
        <w:rPr>
          <w:noProof/>
        </w:rPr>
        <w:tab/>
      </w:r>
      <w:r>
        <w:rPr>
          <w:noProof/>
        </w:rPr>
        <w:fldChar w:fldCharType="begin"/>
      </w:r>
      <w:r>
        <w:rPr>
          <w:noProof/>
        </w:rPr>
        <w:instrText xml:space="preserve"> PAGEREF \h _Toc436654357 \* MERGEFORMAT </w:instrText>
      </w:r>
      <w:r>
        <w:rPr>
          <w:noProof/>
        </w:rPr>
      </w:r>
      <w:r>
        <w:rPr>
          <w:noProof/>
        </w:rPr>
        <w:fldChar w:fldCharType="separate"/>
      </w:r>
      <w:r>
        <w:rPr>
          <w:noProof/>
        </w:rPr>
        <w:t>11</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FISHERIES</w:t>
      </w:r>
    </w:p>
    <w:p w:rsidR="00D52DF8" w:rsidRDefault="00D52DF8" w:rsidP="00D52DF8">
      <w:pPr>
        <w:pStyle w:val="TOC9"/>
        <w:rPr>
          <w:rFonts w:asciiTheme="minorHAnsi" w:eastAsiaTheme="minorEastAsia" w:hAnsiTheme="minorHAnsi" w:cstheme="minorBidi"/>
          <w:noProof/>
          <w:sz w:val="22"/>
          <w:szCs w:val="22"/>
          <w:lang w:eastAsia="en-GB"/>
        </w:rPr>
      </w:pPr>
      <w:r>
        <w:rPr>
          <w:noProof/>
        </w:rPr>
        <w:t>Amendment to fishing opportunities 2015 - herring, plaice and sprat</w:t>
      </w:r>
      <w:r>
        <w:rPr>
          <w:noProof/>
        </w:rPr>
        <w:tab/>
      </w:r>
      <w:r>
        <w:rPr>
          <w:noProof/>
        </w:rPr>
        <w:fldChar w:fldCharType="begin"/>
      </w:r>
      <w:r>
        <w:rPr>
          <w:noProof/>
        </w:rPr>
        <w:instrText xml:space="preserve"> PAGEREF \h _Toc436654359 \* MERGEFORMAT </w:instrText>
      </w:r>
      <w:r>
        <w:rPr>
          <w:noProof/>
        </w:rPr>
      </w:r>
      <w:r>
        <w:rPr>
          <w:noProof/>
        </w:rPr>
        <w:fldChar w:fldCharType="separate"/>
      </w:r>
      <w:r>
        <w:rPr>
          <w:noProof/>
        </w:rPr>
        <w:t>12</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TELECOMMUNICATIONS</w:t>
      </w:r>
    </w:p>
    <w:p w:rsidR="00D52DF8" w:rsidRDefault="00D52DF8" w:rsidP="00D52DF8">
      <w:pPr>
        <w:pStyle w:val="TOC9"/>
        <w:rPr>
          <w:rFonts w:asciiTheme="minorHAnsi" w:eastAsiaTheme="minorEastAsia" w:hAnsiTheme="minorHAnsi" w:cstheme="minorBidi"/>
          <w:noProof/>
          <w:sz w:val="22"/>
          <w:szCs w:val="22"/>
          <w:lang w:eastAsia="en-GB"/>
        </w:rPr>
      </w:pPr>
      <w:r>
        <w:rPr>
          <w:noProof/>
        </w:rPr>
        <w:t>World Radiocommunication Conference</w:t>
      </w:r>
      <w:r>
        <w:rPr>
          <w:noProof/>
        </w:rPr>
        <w:tab/>
      </w:r>
      <w:r>
        <w:rPr>
          <w:noProof/>
        </w:rPr>
        <w:fldChar w:fldCharType="begin"/>
      </w:r>
      <w:r>
        <w:rPr>
          <w:noProof/>
        </w:rPr>
        <w:instrText xml:space="preserve"> PAGEREF \h _Toc436654361 \* MERGEFORMAT </w:instrText>
      </w:r>
      <w:r>
        <w:rPr>
          <w:noProof/>
        </w:rPr>
      </w:r>
      <w:r>
        <w:rPr>
          <w:noProof/>
        </w:rPr>
        <w:fldChar w:fldCharType="separate"/>
      </w:r>
      <w:r>
        <w:rPr>
          <w:noProof/>
        </w:rPr>
        <w:t>13</w:t>
      </w:r>
      <w:r>
        <w:rPr>
          <w:noProof/>
        </w:rPr>
        <w:fldChar w:fldCharType="end"/>
      </w:r>
    </w:p>
    <w:p w:rsidR="00D52DF8" w:rsidRDefault="00D52DF8" w:rsidP="00D52DF8">
      <w:pPr>
        <w:pStyle w:val="TOC8"/>
        <w:rPr>
          <w:rFonts w:asciiTheme="minorHAnsi" w:eastAsiaTheme="minorEastAsia" w:hAnsiTheme="minorHAnsi" w:cstheme="minorBidi"/>
          <w:i w:val="0"/>
          <w:noProof/>
          <w:sz w:val="22"/>
          <w:szCs w:val="22"/>
          <w:lang w:eastAsia="en-GB"/>
        </w:rPr>
      </w:pPr>
      <w:r>
        <w:rPr>
          <w:noProof/>
        </w:rPr>
        <w:t>TRANSPARENCY</w:t>
      </w:r>
    </w:p>
    <w:p w:rsidR="00D52DF8" w:rsidRDefault="00D52DF8" w:rsidP="00D52DF8">
      <w:pPr>
        <w:pStyle w:val="TOC9"/>
      </w:pPr>
      <w:r>
        <w:rPr>
          <w:noProof/>
        </w:rPr>
        <w:t>Transparency - Public access to documents</w:t>
      </w:r>
      <w:r>
        <w:rPr>
          <w:noProof/>
        </w:rPr>
        <w:tab/>
      </w:r>
      <w:r>
        <w:rPr>
          <w:noProof/>
        </w:rPr>
        <w:fldChar w:fldCharType="begin"/>
      </w:r>
      <w:r>
        <w:rPr>
          <w:noProof/>
        </w:rPr>
        <w:instrText xml:space="preserve"> PAGEREF \h _Toc436654363 \* MERGEFORMAT </w:instrText>
      </w:r>
      <w:r>
        <w:rPr>
          <w:noProof/>
        </w:rPr>
      </w:r>
      <w:r>
        <w:rPr>
          <w:noProof/>
        </w:rPr>
        <w:fldChar w:fldCharType="separate"/>
      </w:r>
      <w:r>
        <w:rPr>
          <w:noProof/>
        </w:rPr>
        <w:t>13</w:t>
      </w:r>
      <w:r>
        <w:rPr>
          <w:noProof/>
        </w:rPr>
        <w:fldChar w:fldCharType="end"/>
      </w:r>
    </w:p>
    <w:p w:rsidR="00D52DF8" w:rsidRPr="00E6494F" w:rsidRDefault="00D52DF8" w:rsidP="004267BC">
      <w:pPr>
        <w:sectPr w:rsidR="00D52DF8" w:rsidRPr="00E6494F" w:rsidSect="00AB13F5">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4267BC" w:rsidRPr="00E6494F" w:rsidRDefault="004267BC" w:rsidP="004267BC">
      <w:pPr>
        <w:pStyle w:val="ItemsDebatedHeading"/>
      </w:pPr>
      <w:r w:rsidRPr="00E6494F">
        <w:lastRenderedPageBreak/>
        <w:t>ITEMS DEBATED</w:t>
      </w:r>
    </w:p>
    <w:p w:rsidR="0026354A" w:rsidRPr="00E6494F" w:rsidRDefault="0056416D" w:rsidP="0026354A">
      <w:pPr>
        <w:pStyle w:val="ItemDebated"/>
        <w:rPr>
          <w:rFonts w:eastAsia="Calibri"/>
        </w:rPr>
      </w:pPr>
      <w:bookmarkStart w:id="5" w:name="_Toc436654338"/>
      <w:r w:rsidRPr="00E6494F">
        <w:rPr>
          <w:rFonts w:eastAsia="Calibri"/>
        </w:rPr>
        <w:t xml:space="preserve">Review of the </w:t>
      </w:r>
      <w:r w:rsidR="0026354A" w:rsidRPr="00E6494F">
        <w:rPr>
          <w:rFonts w:eastAsia="Calibri"/>
        </w:rPr>
        <w:t>EU emissions trading system</w:t>
      </w:r>
      <w:bookmarkEnd w:id="5"/>
    </w:p>
    <w:p w:rsidR="0056416D" w:rsidRPr="00E6494F" w:rsidRDefault="0056416D" w:rsidP="00E6494F">
      <w:r w:rsidRPr="00E6494F">
        <w:t xml:space="preserve">Environment ministers held their first policy debate on the review of the EU emissions trading system (EU ETS) proposed by the Commission. The debate, which was based on three questions suggested by the </w:t>
      </w:r>
      <w:r w:rsidR="00E6494F">
        <w:t>p</w:t>
      </w:r>
      <w:r w:rsidRPr="00E6494F">
        <w:t xml:space="preserve">residency, focused on the level of ambition of the proposal, the issue of climate finance, the rules for free allocation, measures to address the risk of carbon leakage and funding mechanisms for innovation and modernisation. </w:t>
      </w:r>
    </w:p>
    <w:p w:rsidR="0056416D" w:rsidRPr="00E6494F" w:rsidRDefault="0056416D" w:rsidP="00E6494F">
      <w:r w:rsidRPr="00E6494F">
        <w:t>Although many ministers indicated that they did not yet have a firm position on the proposal, delegations broadly welcomed the Commission's proposal as an important step in creating the necessary legislative framework to implement the EU's 2030 greenhouse gas emission</w:t>
      </w:r>
      <w:r w:rsidR="00E6494F">
        <w:t>s</w:t>
      </w:r>
      <w:r w:rsidRPr="00E6494F">
        <w:t xml:space="preserve"> target. The October 2014 European Council agreed on the objective o</w:t>
      </w:r>
      <w:r w:rsidR="00E6494F">
        <w:t>f</w:t>
      </w:r>
      <w:r w:rsidRPr="00E6494F">
        <w:t xml:space="preserve"> reduc</w:t>
      </w:r>
      <w:r w:rsidR="00E6494F">
        <w:t>ing</w:t>
      </w:r>
      <w:r w:rsidRPr="00E6494F">
        <w:t xml:space="preserve"> the EU's emissions domestically by at least 40% by 2030 compared to 1990 levels.</w:t>
      </w:r>
    </w:p>
    <w:p w:rsidR="0056416D" w:rsidRPr="00E6494F" w:rsidRDefault="0056416D" w:rsidP="00E6494F">
      <w:r w:rsidRPr="00E6494F">
        <w:t xml:space="preserve">Some member states were </w:t>
      </w:r>
      <w:r w:rsidR="00E6494F">
        <w:t>in favour of</w:t>
      </w:r>
      <w:r w:rsidRPr="00E6494F">
        <w:t xml:space="preserve"> a clearer signal on the use of auctioning revenue for international climate finance while several others stressed that decisions on the use of revenues should be up to member states.</w:t>
      </w:r>
    </w:p>
    <w:p w:rsidR="0056416D" w:rsidRPr="00E6494F" w:rsidRDefault="00F44A4E" w:rsidP="00E6494F">
      <w:r w:rsidRPr="00E6494F">
        <w:t>Many</w:t>
      </w:r>
      <w:r w:rsidR="0056416D" w:rsidRPr="00E6494F">
        <w:t xml:space="preserve"> ministers agreed on the need to protect the international competitiveness of European energy-intensive industries. Concerning free allocation rules, some </w:t>
      </w:r>
      <w:r w:rsidRPr="00E6494F">
        <w:t>member states</w:t>
      </w:r>
      <w:r w:rsidR="0056416D" w:rsidRPr="00E6494F">
        <w:t xml:space="preserve"> were concerned that the measures to protect industry against carbon leakage may not be sufficient. Several delegations were of the view that free allocation should be more targeted to ensure support </w:t>
      </w:r>
      <w:r w:rsidR="00E6494F">
        <w:t>f</w:t>
      </w:r>
      <w:r w:rsidR="0056416D" w:rsidRPr="00E6494F">
        <w:t>o</w:t>
      </w:r>
      <w:r w:rsidR="00E6494F">
        <w:t>r</w:t>
      </w:r>
      <w:r w:rsidR="0056416D" w:rsidRPr="00E6494F">
        <w:t xml:space="preserve"> the sectors that are most exposed to carbon leakage. Several also highlighted the need to use methodology based on real and the most recent data about technological progress, production and other factors. Some ministers called for more harmonised compensation for indirect costs.</w:t>
      </w:r>
    </w:p>
    <w:p w:rsidR="0056416D" w:rsidRPr="00E6494F" w:rsidRDefault="0056416D" w:rsidP="0056416D">
      <w:r w:rsidRPr="00E6494F">
        <w:t>Delegations welcomed the proposed innovation and modernisation funds and called for further discussion on details. The extension of the scope of the former was seen as positive by several countries. Among the issues raised were, for instance, the need to ensure transparent and efficient management structures and to ensure geographical balance and member state</w:t>
      </w:r>
      <w:r w:rsidR="00F553CE" w:rsidRPr="00E6494F">
        <w:t>s</w:t>
      </w:r>
      <w:r w:rsidRPr="00E6494F">
        <w:t xml:space="preserve"> participation in the selection of projects.</w:t>
      </w:r>
    </w:p>
    <w:p w:rsidR="007D2065" w:rsidRPr="00E6494F" w:rsidRDefault="0056416D" w:rsidP="0056416D">
      <w:r w:rsidRPr="00E6494F">
        <w:t>Moreover, it was pointed out that this file is closely linked to other key elements, such as the UN climate change conference in Paris later this year and the future legislative proposal on emission</w:t>
      </w:r>
      <w:r w:rsidR="00F553CE" w:rsidRPr="00E6494F">
        <w:t>s</w:t>
      </w:r>
      <w:r w:rsidRPr="00E6494F">
        <w:t xml:space="preserve"> reductions in non-ETS sectors.</w:t>
      </w:r>
    </w:p>
    <w:p w:rsidR="0056416D" w:rsidRPr="00E6494F" w:rsidRDefault="007D2065" w:rsidP="0056416D">
      <w:r w:rsidRPr="00E6494F">
        <w:br w:type="page"/>
      </w:r>
      <w:r w:rsidR="0056416D" w:rsidRPr="00E6494F">
        <w:lastRenderedPageBreak/>
        <w:t>Ministers' contributions will serve as political guidance for the Council to take work forward on this file, with a view to setting the Council's position at a later stage.</w:t>
      </w:r>
    </w:p>
    <w:p w:rsidR="0026354A" w:rsidRPr="00E6494F" w:rsidRDefault="002327FB" w:rsidP="0026354A">
      <w:pPr>
        <w:spacing w:after="0"/>
        <w:rPr>
          <w:rFonts w:asciiTheme="majorBidi" w:hAnsiTheme="majorBidi" w:cstheme="majorBidi"/>
        </w:rPr>
      </w:pPr>
      <w:hyperlink r:id="rId19" w:history="1">
        <w:r w:rsidR="0026354A" w:rsidRPr="00E6494F">
          <w:rPr>
            <w:rStyle w:val="Hyperlink"/>
            <w:rFonts w:asciiTheme="majorBidi" w:hAnsiTheme="majorBidi" w:cstheme="majorBidi"/>
          </w:rPr>
          <w:t>European Council (23 and 24 October 2014) - Conclusions</w:t>
        </w:r>
      </w:hyperlink>
    </w:p>
    <w:p w:rsidR="0026354A" w:rsidRPr="00E6494F" w:rsidRDefault="002327FB" w:rsidP="0026354A">
      <w:pPr>
        <w:spacing w:after="0"/>
        <w:rPr>
          <w:rFonts w:asciiTheme="majorBidi" w:hAnsiTheme="majorBidi" w:cstheme="majorBidi"/>
        </w:rPr>
      </w:pPr>
      <w:hyperlink r:id="rId20" w:history="1">
        <w:r w:rsidR="0026354A" w:rsidRPr="00E6494F">
          <w:rPr>
            <w:rStyle w:val="Hyperlink"/>
            <w:rFonts w:asciiTheme="majorBidi" w:hAnsiTheme="majorBidi" w:cstheme="majorBidi"/>
          </w:rPr>
          <w:t>Commission's proposal for a review of the EU ETS</w:t>
        </w:r>
      </w:hyperlink>
    </w:p>
    <w:p w:rsidR="0026354A" w:rsidRPr="00E6494F" w:rsidRDefault="002327FB" w:rsidP="007D2065">
      <w:pPr>
        <w:spacing w:after="120"/>
        <w:rPr>
          <w:rStyle w:val="Hyperlink"/>
        </w:rPr>
      </w:pPr>
      <w:hyperlink r:id="rId21" w:history="1">
        <w:r w:rsidR="0026354A" w:rsidRPr="00E6494F">
          <w:rPr>
            <w:rStyle w:val="Hyperlink"/>
            <w:rFonts w:asciiTheme="majorBidi" w:hAnsiTheme="majorBidi" w:cstheme="majorBidi"/>
          </w:rPr>
          <w:t>Review of th</w:t>
        </w:r>
        <w:r w:rsidR="00437DE8" w:rsidRPr="00E6494F">
          <w:rPr>
            <w:rStyle w:val="Hyperlink"/>
            <w:rFonts w:asciiTheme="majorBidi" w:hAnsiTheme="majorBidi" w:cstheme="majorBidi"/>
          </w:rPr>
          <w:t>e</w:t>
        </w:r>
        <w:r w:rsidR="0026354A" w:rsidRPr="00E6494F">
          <w:rPr>
            <w:rStyle w:val="Hyperlink"/>
            <w:rFonts w:asciiTheme="majorBidi" w:hAnsiTheme="majorBidi" w:cstheme="majorBidi"/>
          </w:rPr>
          <w:t xml:space="preserve"> EU ETS - Orientation debate, October 2015</w:t>
        </w:r>
      </w:hyperlink>
      <w:r w:rsidR="00437DE8" w:rsidRPr="00E6494F">
        <w:rPr>
          <w:rStyle w:val="Hyperlink"/>
          <w:rFonts w:asciiTheme="majorBidi" w:hAnsiTheme="majorBidi" w:cstheme="majorBidi"/>
        </w:rPr>
        <w:t xml:space="preserve"> </w:t>
      </w:r>
      <w:r w:rsidR="0026354A" w:rsidRPr="00E6494F">
        <w:rPr>
          <w:rStyle w:val="Hyperlink"/>
        </w:rPr>
        <w:t>Presidency document</w:t>
      </w:r>
    </w:p>
    <w:p w:rsidR="0026354A" w:rsidRPr="00E6494F" w:rsidRDefault="0026354A" w:rsidP="0026354A">
      <w:pPr>
        <w:pStyle w:val="ItemDebated"/>
        <w:rPr>
          <w:rFonts w:eastAsia="Calibri"/>
        </w:rPr>
      </w:pPr>
      <w:bookmarkStart w:id="6" w:name="_Toc436654339"/>
      <w:r w:rsidRPr="00E6494F">
        <w:rPr>
          <w:rFonts w:eastAsia="Calibri"/>
        </w:rPr>
        <w:t>Greening the European Semester</w:t>
      </w:r>
      <w:bookmarkEnd w:id="6"/>
    </w:p>
    <w:p w:rsidR="00E11E7F" w:rsidRPr="00E6494F" w:rsidRDefault="0026354A" w:rsidP="002650B6">
      <w:r w:rsidRPr="00E6494F">
        <w:t xml:space="preserve">Ministers had an exchange of views on how to ensure that the environmental </w:t>
      </w:r>
      <w:r w:rsidR="002650B6" w:rsidRPr="00E6494F">
        <w:t>aspect</w:t>
      </w:r>
      <w:r w:rsidRPr="00E6494F">
        <w:t xml:space="preserve"> continues to play a full role in the European Semester process. They specifically discussed the phasing out of environmentally</w:t>
      </w:r>
      <w:r w:rsidR="002650B6" w:rsidRPr="00E6494F">
        <w:t xml:space="preserve"> </w:t>
      </w:r>
      <w:r w:rsidRPr="00E6494F">
        <w:t>harmful subsidies and the implementation of environmental policies and legislation.</w:t>
      </w:r>
    </w:p>
    <w:p w:rsidR="00E11E7F" w:rsidRPr="00E6494F" w:rsidRDefault="0026354A" w:rsidP="00820712">
      <w:r w:rsidRPr="00E6494F">
        <w:t xml:space="preserve">During their exchange of views, ministers agreed on the need to </w:t>
      </w:r>
      <w:r w:rsidR="002650B6" w:rsidRPr="00E6494F">
        <w:t xml:space="preserve">phase out </w:t>
      </w:r>
      <w:r w:rsidRPr="00E6494F">
        <w:t xml:space="preserve">environmentally harmful subsidies and </w:t>
      </w:r>
      <w:r w:rsidR="002650B6" w:rsidRPr="00E6494F">
        <w:t>recalled that</w:t>
      </w:r>
      <w:r w:rsidRPr="00E6494F">
        <w:t xml:space="preserve"> the EU ha</w:t>
      </w:r>
      <w:r w:rsidR="002650B6" w:rsidRPr="00E6494F">
        <w:t>d</w:t>
      </w:r>
      <w:r w:rsidRPr="00E6494F">
        <w:t xml:space="preserve"> repeatedly committed itself to this. Subsidies </w:t>
      </w:r>
      <w:r w:rsidR="002650B6" w:rsidRPr="00E6494F">
        <w:t>for</w:t>
      </w:r>
      <w:r w:rsidRPr="00E6494F">
        <w:t xml:space="preserve"> fossil fuels </w:t>
      </w:r>
      <w:r w:rsidR="002650B6" w:rsidRPr="00E6494F">
        <w:t>and</w:t>
      </w:r>
      <w:r w:rsidRPr="00E6494F">
        <w:t xml:space="preserve"> also subsidies in the agriculture and fishing sectors were mentioned. Environmentally</w:t>
      </w:r>
      <w:r w:rsidR="007D7ABC" w:rsidRPr="00E6494F">
        <w:t xml:space="preserve"> </w:t>
      </w:r>
      <w:r w:rsidRPr="00E6494F">
        <w:t xml:space="preserve">harmful subsidies were considered </w:t>
      </w:r>
      <w:r w:rsidR="007D7ABC" w:rsidRPr="00E6494F">
        <w:t xml:space="preserve">a barrier </w:t>
      </w:r>
      <w:r w:rsidRPr="00E6494F">
        <w:t>hinder</w:t>
      </w:r>
      <w:r w:rsidR="007D7ABC" w:rsidRPr="00E6494F">
        <w:t xml:space="preserve">ing the transition </w:t>
      </w:r>
      <w:r w:rsidRPr="00E6494F">
        <w:t xml:space="preserve">to a low-carbon circular economy. However, some ministers stressed the need to take into account the social and economic impact of their elimination and asked for transitional periods </w:t>
      </w:r>
      <w:r w:rsidR="000F103F" w:rsidRPr="00E6494F">
        <w:t>and a balanced approach. Transparency and communication were considered very important in this process</w:t>
      </w:r>
      <w:r w:rsidRPr="00E6494F">
        <w:t>.</w:t>
      </w:r>
    </w:p>
    <w:p w:rsidR="009E324E" w:rsidRPr="00E6494F" w:rsidRDefault="0026354A" w:rsidP="007D2065">
      <w:r w:rsidRPr="00E6494F">
        <w:t>There was also</w:t>
      </w:r>
      <w:r w:rsidR="007D7ABC" w:rsidRPr="00E6494F">
        <w:t xml:space="preserve"> general consensus on the need </w:t>
      </w:r>
      <w:r w:rsidRPr="00E6494F">
        <w:t>f</w:t>
      </w:r>
      <w:r w:rsidR="007D7ABC" w:rsidRPr="00E6494F">
        <w:t>or</w:t>
      </w:r>
      <w:r w:rsidRPr="00E6494F">
        <w:t xml:space="preserve"> better implementation of existing legislation and policies </w:t>
      </w:r>
      <w:r w:rsidR="009E324E" w:rsidRPr="00E6494F">
        <w:t xml:space="preserve">in order to achieve high standards of environmental protection and a level playing field, as well as to preserve credibility. Strategic policy discussions in Council on these issues may help </w:t>
      </w:r>
      <w:r w:rsidR="00820712">
        <w:t xml:space="preserve">to </w:t>
      </w:r>
      <w:r w:rsidR="009E324E" w:rsidRPr="00E6494F">
        <w:t>better identify and address implementation challenges and their causes, as well as possible solutions.</w:t>
      </w:r>
    </w:p>
    <w:p w:rsidR="00E11E7F" w:rsidRPr="00E6494F" w:rsidRDefault="0026354A" w:rsidP="007D2065">
      <w:r w:rsidRPr="00E6494F">
        <w:t>Some ministers asked the Commission to include the recently approved Sustainable Development Goals (which replace the Millen</w:t>
      </w:r>
      <w:r w:rsidR="007D7ABC" w:rsidRPr="00E6494F">
        <w:t>n</w:t>
      </w:r>
      <w:r w:rsidRPr="00E6494F">
        <w:t>ium Development Goals) in the Annual Growth Survey for 2016.</w:t>
      </w:r>
    </w:p>
    <w:p w:rsidR="0026354A" w:rsidRPr="00E6494F" w:rsidRDefault="0026354A" w:rsidP="007D7ABC">
      <w:r w:rsidRPr="00E6494F">
        <w:t>Discussions will be summari</w:t>
      </w:r>
      <w:r w:rsidR="007D7ABC" w:rsidRPr="00E6494F">
        <w:t>s</w:t>
      </w:r>
      <w:r w:rsidRPr="00E6494F">
        <w:t>ed in a report for the General Affair</w:t>
      </w:r>
      <w:r w:rsidR="007D7ABC" w:rsidRPr="00E6494F">
        <w:t>s Council with a view to preparing</w:t>
      </w:r>
      <w:r w:rsidRPr="00E6494F">
        <w:t xml:space="preserve"> the European Council in March 2016.</w:t>
      </w:r>
    </w:p>
    <w:p w:rsidR="0026354A" w:rsidRPr="00E6494F" w:rsidRDefault="002327FB" w:rsidP="0026354A">
      <w:pPr>
        <w:rPr>
          <w:rStyle w:val="Hyperlink"/>
        </w:rPr>
      </w:pPr>
      <w:hyperlink r:id="rId22" w:history="1">
        <w:r w:rsidR="0026354A" w:rsidRPr="00E6494F">
          <w:rPr>
            <w:rStyle w:val="Hyperlink"/>
            <w:rFonts w:asciiTheme="majorBidi" w:hAnsiTheme="majorBidi" w:cstheme="majorBidi"/>
          </w:rPr>
          <w:t>Greening the European Semester - Exchange of views, October 2015</w:t>
        </w:r>
      </w:hyperlink>
      <w:r w:rsidR="0026354A" w:rsidRPr="00E6494F">
        <w:rPr>
          <w:rStyle w:val="Hyperlink"/>
        </w:rPr>
        <w:t xml:space="preserve"> Presidency document, including questions for the debate</w:t>
      </w:r>
    </w:p>
    <w:p w:rsidR="0026354A" w:rsidRPr="00E6494F" w:rsidRDefault="007D2065" w:rsidP="0026354A">
      <w:pPr>
        <w:pStyle w:val="ItemDebated"/>
        <w:rPr>
          <w:rFonts w:eastAsia="Calibri"/>
        </w:rPr>
      </w:pPr>
      <w:r w:rsidRPr="00E6494F">
        <w:rPr>
          <w:rFonts w:eastAsia="Calibri"/>
        </w:rPr>
        <w:br w:type="page"/>
      </w:r>
      <w:bookmarkStart w:id="7" w:name="_Toc436654340"/>
      <w:r w:rsidR="0026354A" w:rsidRPr="00E6494F">
        <w:rPr>
          <w:rFonts w:eastAsia="Calibri"/>
        </w:rPr>
        <w:lastRenderedPageBreak/>
        <w:t>2030 Agenda for Sustainable Development</w:t>
      </w:r>
      <w:bookmarkEnd w:id="7"/>
    </w:p>
    <w:p w:rsidR="0026354A" w:rsidRPr="00E6494F" w:rsidRDefault="0026354A" w:rsidP="0026354A">
      <w:r w:rsidRPr="00E6494F">
        <w:t>The Council had an exchange of views on how to put into practice the recently adopted 2030 Agenda for Sustainable Development "Transforming our world". Ministers highlighted the importance of policy coherence and coordination between different policies.</w:t>
      </w:r>
    </w:p>
    <w:p w:rsidR="009E324E" w:rsidRPr="00E6494F" w:rsidRDefault="0026354A" w:rsidP="00820712">
      <w:r w:rsidRPr="00E6494F">
        <w:t>It was pointed out that EU priori</w:t>
      </w:r>
      <w:r w:rsidR="007D7ABC" w:rsidRPr="00E6494F">
        <w:t>ties are well reflected in the S</w:t>
      </w:r>
      <w:r w:rsidRPr="00E6494F">
        <w:t xml:space="preserve">ustainable </w:t>
      </w:r>
      <w:r w:rsidR="007D7ABC" w:rsidRPr="00E6494F">
        <w:t>Development G</w:t>
      </w:r>
      <w:r w:rsidRPr="00E6494F">
        <w:t xml:space="preserve">oals adopted together with the 2030 agenda. </w:t>
      </w:r>
      <w:r w:rsidR="009E324E" w:rsidRPr="00E6494F">
        <w:t xml:space="preserve">Some ministers </w:t>
      </w:r>
      <w:r w:rsidR="00820712">
        <w:t>stressed</w:t>
      </w:r>
      <w:r w:rsidR="00820712" w:rsidRPr="00E6494F">
        <w:t xml:space="preserve"> </w:t>
      </w:r>
      <w:r w:rsidR="009E324E" w:rsidRPr="00E6494F">
        <w:t>the importance of the participation and involvement of various stakeholders, civil society, citizens and the private sector.</w:t>
      </w:r>
    </w:p>
    <w:p w:rsidR="0026354A" w:rsidRPr="00E6494F" w:rsidRDefault="0026354A" w:rsidP="009E324E">
      <w:r w:rsidRPr="00E6494F">
        <w:t>This debate followed an informal discussion during lunch with ministers responsible for development cooperation, focusing on common challenges and integrate</w:t>
      </w:r>
      <w:r w:rsidR="00437DE8" w:rsidRPr="00E6494F">
        <w:t>d approaches to implementation.</w:t>
      </w:r>
    </w:p>
    <w:p w:rsidR="0026354A" w:rsidRPr="00E6494F" w:rsidRDefault="002327FB" w:rsidP="00437DE8">
      <w:pPr>
        <w:spacing w:after="0"/>
        <w:rPr>
          <w:rStyle w:val="Hyperlink"/>
          <w:rFonts w:asciiTheme="majorBidi" w:hAnsiTheme="majorBidi" w:cstheme="majorBidi"/>
        </w:rPr>
      </w:pPr>
      <w:hyperlink r:id="rId23" w:history="1">
        <w:r w:rsidR="0026354A" w:rsidRPr="00E6494F">
          <w:rPr>
            <w:rStyle w:val="Hyperlink"/>
            <w:rFonts w:asciiTheme="majorBidi" w:hAnsiTheme="majorBidi" w:cstheme="majorBidi"/>
          </w:rPr>
          <w:t>2030 Agenda for Sustainable Development - Exchange of views, October 2015</w:t>
        </w:r>
      </w:hyperlink>
      <w:r w:rsidR="0026354A" w:rsidRPr="00E6494F">
        <w:rPr>
          <w:rStyle w:val="Hyperlink"/>
          <w:rFonts w:asciiTheme="majorBidi" w:hAnsiTheme="majorBidi" w:cstheme="majorBidi"/>
        </w:rPr>
        <w:t xml:space="preserve"> Presidency document, including questions for the debate</w:t>
      </w:r>
    </w:p>
    <w:p w:rsidR="0026354A" w:rsidRPr="00E6494F" w:rsidRDefault="002327FB" w:rsidP="0026354A">
      <w:pPr>
        <w:rPr>
          <w:rStyle w:val="Hyperlink"/>
          <w:rFonts w:asciiTheme="majorBidi" w:hAnsiTheme="majorBidi" w:cstheme="majorBidi"/>
        </w:rPr>
      </w:pPr>
      <w:hyperlink r:id="rId24" w:history="1">
        <w:r w:rsidR="0026354A" w:rsidRPr="00E6494F">
          <w:rPr>
            <w:rStyle w:val="Hyperlink"/>
            <w:rFonts w:asciiTheme="majorBidi" w:hAnsiTheme="majorBidi" w:cstheme="majorBidi"/>
          </w:rPr>
          <w:t>Transforming our world: the 2030 Agenda for Sustainable Development (UN)</w:t>
        </w:r>
      </w:hyperlink>
    </w:p>
    <w:p w:rsidR="00ED0445" w:rsidRPr="00E6494F" w:rsidRDefault="00ED0445" w:rsidP="00BA215E">
      <w:pPr>
        <w:pStyle w:val="ItemDebated"/>
      </w:pPr>
      <w:bookmarkStart w:id="8" w:name="_Toc436654341"/>
      <w:r w:rsidRPr="00E6494F">
        <w:t>Any other business</w:t>
      </w:r>
      <w:bookmarkEnd w:id="8"/>
    </w:p>
    <w:p w:rsidR="00ED0445" w:rsidRPr="00E6494F" w:rsidRDefault="00ED0445" w:rsidP="00ED0445">
      <w:r w:rsidRPr="00E6494F">
        <w:rPr>
          <w:b/>
          <w:bCs/>
        </w:rPr>
        <w:t>Real driving emissions and manipulation of emission control systems in cars</w:t>
      </w:r>
    </w:p>
    <w:p w:rsidR="00ED0445" w:rsidRPr="00E6494F" w:rsidRDefault="00ED0445" w:rsidP="007D7ABC">
      <w:r w:rsidRPr="00E6494F">
        <w:t>The Council took note of the information provided by the Commission and the member states on the latest developments concerning the automobile sector and its emission control</w:t>
      </w:r>
      <w:r w:rsidR="007D7ABC" w:rsidRPr="00E6494F">
        <w:t>s</w:t>
      </w:r>
      <w:r w:rsidRPr="00E6494F">
        <w:t>. Ministers highlighted the urgency of clarifying the issue of manipulation of control devices and of finali</w:t>
      </w:r>
      <w:r w:rsidR="007D7ABC" w:rsidRPr="00E6494F">
        <w:t>s</w:t>
      </w:r>
      <w:r w:rsidRPr="00E6494F">
        <w:t>ing work</w:t>
      </w:r>
      <w:r w:rsidR="007D7ABC" w:rsidRPr="00E6494F">
        <w:t xml:space="preserve"> needed</w:t>
      </w:r>
      <w:r w:rsidRPr="00E6494F">
        <w:t xml:space="preserve"> to implement real driving emission tests.</w:t>
      </w:r>
    </w:p>
    <w:p w:rsidR="00ED0445" w:rsidRPr="00E6494F" w:rsidRDefault="002327FB" w:rsidP="00437DE8">
      <w:pPr>
        <w:spacing w:after="0"/>
      </w:pPr>
      <w:hyperlink r:id="rId25" w:history="1">
        <w:r w:rsidR="00ED0445" w:rsidRPr="00E6494F">
          <w:rPr>
            <w:rStyle w:val="Hyperlink"/>
          </w:rPr>
          <w:t>RDE and manipulation of emission control systems in cars – Information from Belgium</w:t>
        </w:r>
      </w:hyperlink>
    </w:p>
    <w:p w:rsidR="00ED0445" w:rsidRPr="00E6494F" w:rsidRDefault="002327FB" w:rsidP="00ED0445">
      <w:hyperlink r:id="rId26" w:history="1">
        <w:r w:rsidR="00ED0445" w:rsidRPr="00E6494F">
          <w:rPr>
            <w:rStyle w:val="Hyperlink"/>
          </w:rPr>
          <w:t>RDE and manipulation of emission control systems in cars – Information request by Austria and Denmark, supported by the Netherlands, France, Greece, Slovenian and Luxembourg</w:t>
        </w:r>
      </w:hyperlink>
    </w:p>
    <w:p w:rsidR="00ED0445" w:rsidRPr="00E6494F" w:rsidRDefault="007D2065" w:rsidP="00ED0445">
      <w:pPr>
        <w:rPr>
          <w:b/>
          <w:bCs/>
        </w:rPr>
      </w:pPr>
      <w:r w:rsidRPr="00E6494F">
        <w:rPr>
          <w:b/>
          <w:bCs/>
        </w:rPr>
        <w:br w:type="page"/>
      </w:r>
      <w:r w:rsidR="00ED0445" w:rsidRPr="00E6494F">
        <w:rPr>
          <w:b/>
          <w:bCs/>
        </w:rPr>
        <w:lastRenderedPageBreak/>
        <w:t>Climate change: update on recent key informal events</w:t>
      </w:r>
    </w:p>
    <w:p w:rsidR="00ED0445" w:rsidRPr="00E6494F" w:rsidRDefault="00ED0445" w:rsidP="007D7ABC">
      <w:pPr>
        <w:spacing w:after="120"/>
      </w:pPr>
      <w:r w:rsidRPr="00E6494F">
        <w:t xml:space="preserve">The Council took note of the information provided by the </w:t>
      </w:r>
      <w:r w:rsidR="007D7ABC" w:rsidRPr="00E6494F">
        <w:t>p</w:t>
      </w:r>
      <w:r w:rsidRPr="00E6494F">
        <w:t xml:space="preserve">residency and the Commission on recent key events </w:t>
      </w:r>
      <w:r w:rsidR="007D7ABC" w:rsidRPr="00E6494F">
        <w:t>in</w:t>
      </w:r>
      <w:r w:rsidRPr="00E6494F">
        <w:t xml:space="preserve"> the fight against climate change, in the run-up to the UN climate change conference to be held in Paris from 30 November to 11 December.</w:t>
      </w:r>
    </w:p>
    <w:p w:rsidR="00ED0445" w:rsidRPr="00E6494F" w:rsidRDefault="002327FB" w:rsidP="00ED0445">
      <w:hyperlink r:id="rId27" w:history="1">
        <w:r w:rsidR="00ED0445" w:rsidRPr="00E6494F">
          <w:rPr>
            <w:rStyle w:val="Hyperlink"/>
          </w:rPr>
          <w:t>Climate change, update on recent key informal events, October 2015 – Presidency document</w:t>
        </w:r>
      </w:hyperlink>
    </w:p>
    <w:p w:rsidR="00ED0445" w:rsidRPr="00E6494F" w:rsidRDefault="00ED0445" w:rsidP="00ED0445">
      <w:pPr>
        <w:rPr>
          <w:b/>
          <w:bCs/>
        </w:rPr>
      </w:pPr>
      <w:r w:rsidRPr="00E6494F">
        <w:rPr>
          <w:b/>
          <w:bCs/>
        </w:rPr>
        <w:t>“Make it work” initiative</w:t>
      </w:r>
    </w:p>
    <w:p w:rsidR="00ED0445" w:rsidRPr="00E6494F" w:rsidRDefault="00ED0445" w:rsidP="007D7ABC">
      <w:pPr>
        <w:spacing w:after="120"/>
      </w:pPr>
      <w:r w:rsidRPr="00E6494F">
        <w:t xml:space="preserve">The Council took note of the information provided by the delegations of the Netherlands, </w:t>
      </w:r>
      <w:r w:rsidR="00027F49">
        <w:t xml:space="preserve">the </w:t>
      </w:r>
      <w:r w:rsidRPr="00E6494F">
        <w:t>UK and Germany on the “Make it work”</w:t>
      </w:r>
      <w:r w:rsidR="007D7ABC" w:rsidRPr="00E6494F">
        <w:t xml:space="preserve"> initiative</w:t>
      </w:r>
      <w:r w:rsidRPr="00E6494F">
        <w:t xml:space="preserve"> and </w:t>
      </w:r>
      <w:r w:rsidR="007D7ABC" w:rsidRPr="00E6494F">
        <w:t>related</w:t>
      </w:r>
      <w:r w:rsidRPr="00E6494F">
        <w:t xml:space="preserve"> upcoming events.</w:t>
      </w:r>
    </w:p>
    <w:p w:rsidR="00ED0445" w:rsidRPr="00E6494F" w:rsidRDefault="002327FB" w:rsidP="00ED0445">
      <w:pPr>
        <w:sectPr w:rsidR="00ED0445" w:rsidRPr="00E6494F" w:rsidSect="00AB13F5">
          <w:footnotePr>
            <w:numRestart w:val="eachPage"/>
          </w:footnotePr>
          <w:pgSz w:w="11907" w:h="16840" w:code="9"/>
          <w:pgMar w:top="1134" w:right="1134" w:bottom="1134" w:left="1134" w:header="567" w:footer="567" w:gutter="0"/>
          <w:cols w:space="708"/>
          <w:docGrid w:linePitch="360"/>
        </w:sectPr>
      </w:pPr>
      <w:hyperlink r:id="rId28" w:history="1">
        <w:r w:rsidR="00ED0445" w:rsidRPr="00E6494F">
          <w:rPr>
            <w:rStyle w:val="Hyperlink"/>
          </w:rPr>
          <w:t>Initiative “Make it work” - Information note</w:t>
        </w:r>
      </w:hyperlink>
    </w:p>
    <w:p w:rsidR="004267BC" w:rsidRPr="00E6494F" w:rsidRDefault="004267BC" w:rsidP="004267BC">
      <w:pPr>
        <w:pStyle w:val="ItemsApprovedHeading"/>
      </w:pPr>
      <w:r w:rsidRPr="00E6494F">
        <w:lastRenderedPageBreak/>
        <w:t>OTHER ITEMS APPROVED</w:t>
      </w:r>
    </w:p>
    <w:p w:rsidR="00D8087E" w:rsidRPr="00E6494F" w:rsidRDefault="00D8087E" w:rsidP="00D8087E">
      <w:pPr>
        <w:pStyle w:val="ItemApproved"/>
      </w:pPr>
      <w:r w:rsidRPr="00E6494F">
        <w:t>ENVIRONMENT</w:t>
      </w:r>
    </w:p>
    <w:p w:rsidR="00D8087E" w:rsidRPr="00E6494F" w:rsidRDefault="00D8087E" w:rsidP="00D8087E">
      <w:pPr>
        <w:pStyle w:val="Sub-itemApproved"/>
      </w:pPr>
      <w:bookmarkStart w:id="9" w:name="_Toc436654343"/>
      <w:r w:rsidRPr="00E6494F">
        <w:t>Persistent organic pollutants</w:t>
      </w:r>
      <w:bookmarkEnd w:id="9"/>
    </w:p>
    <w:p w:rsidR="004C7315" w:rsidRPr="00E6494F" w:rsidRDefault="004C7315" w:rsidP="00027F49">
      <w:r w:rsidRPr="00E6494F">
        <w:t>The Council decided not to act on the proposal for a Council regulation (</w:t>
      </w:r>
      <w:hyperlink r:id="rId29" w:history="1">
        <w:r w:rsidRPr="00E6494F">
          <w:rPr>
            <w:rStyle w:val="Hyperlink"/>
          </w:rPr>
          <w:t>11591/15 + ADD 1</w:t>
        </w:r>
      </w:hyperlink>
      <w:r w:rsidRPr="00E6494F">
        <w:t>) regarding persistent organic pollutants within the two-month period from the date the proposal was referred to it (</w:t>
      </w:r>
      <w:r w:rsidR="00027F49">
        <w:t>i.e.</w:t>
      </w:r>
      <w:r w:rsidRPr="00E6494F">
        <w:t xml:space="preserve"> by 27 October 2015).</w:t>
      </w:r>
    </w:p>
    <w:p w:rsidR="004C7315" w:rsidRPr="00E6494F" w:rsidRDefault="004C7315" w:rsidP="009539C4">
      <w:pPr>
        <w:rPr>
          <w:szCs w:val="20"/>
          <w:lang w:eastAsia="fr-BE"/>
        </w:rPr>
      </w:pPr>
      <w:r w:rsidRPr="00E6494F">
        <w:t>T</w:t>
      </w:r>
      <w:r w:rsidRPr="00E6494F">
        <w:rPr>
          <w:szCs w:val="20"/>
          <w:lang w:eastAsia="fr-BE"/>
        </w:rPr>
        <w:t xml:space="preserve">he proposed Council regulation concerns the inclusion of the substance </w:t>
      </w:r>
      <w:proofErr w:type="spellStart"/>
      <w:r w:rsidRPr="00E6494F">
        <w:rPr>
          <w:szCs w:val="20"/>
          <w:lang w:eastAsia="fr-BE"/>
        </w:rPr>
        <w:t>hexabromocyclododecane</w:t>
      </w:r>
      <w:proofErr w:type="spellEnd"/>
      <w:r w:rsidRPr="00E6494F">
        <w:rPr>
          <w:szCs w:val="20"/>
          <w:lang w:eastAsia="fr-BE"/>
        </w:rPr>
        <w:t xml:space="preserve"> (HBCDD) in annex I to </w:t>
      </w:r>
      <w:r w:rsidR="009539C4">
        <w:rPr>
          <w:szCs w:val="20"/>
          <w:lang w:eastAsia="fr-BE"/>
        </w:rPr>
        <w:t>r</w:t>
      </w:r>
      <w:r w:rsidRPr="00E6494F">
        <w:rPr>
          <w:szCs w:val="20"/>
          <w:lang w:eastAsia="fr-BE"/>
        </w:rPr>
        <w:t>egulation (EC) No 850/2004 on persistent organic pollutants. Th</w:t>
      </w:r>
      <w:r w:rsidR="009539C4">
        <w:rPr>
          <w:szCs w:val="20"/>
          <w:lang w:eastAsia="fr-BE"/>
        </w:rPr>
        <w:t>at</w:t>
      </w:r>
      <w:r w:rsidRPr="00E6494F">
        <w:rPr>
          <w:szCs w:val="20"/>
          <w:lang w:eastAsia="fr-BE"/>
        </w:rPr>
        <w:t xml:space="preserve"> annex lists the substances subject to prohibitions and </w:t>
      </w:r>
      <w:r w:rsidR="009539C4">
        <w:rPr>
          <w:szCs w:val="20"/>
          <w:lang w:eastAsia="fr-BE"/>
        </w:rPr>
        <w:t>must</w:t>
      </w:r>
      <w:r w:rsidR="009539C4" w:rsidRPr="00E6494F">
        <w:rPr>
          <w:szCs w:val="20"/>
          <w:lang w:eastAsia="fr-BE"/>
        </w:rPr>
        <w:t xml:space="preserve"> </w:t>
      </w:r>
      <w:r w:rsidRPr="00E6494F">
        <w:rPr>
          <w:szCs w:val="20"/>
          <w:lang w:eastAsia="fr-BE"/>
        </w:rPr>
        <w:t>be amended w</w:t>
      </w:r>
      <w:r w:rsidRPr="00E6494F">
        <w:t>henever a</w:t>
      </w:r>
      <w:r w:rsidR="009539C4">
        <w:t>n additional</w:t>
      </w:r>
      <w:r w:rsidRPr="00E6494F">
        <w:t xml:space="preserve"> substance is listed in the </w:t>
      </w:r>
      <w:r w:rsidRPr="00E6494F">
        <w:rPr>
          <w:szCs w:val="20"/>
          <w:lang w:eastAsia="fr-BE"/>
        </w:rPr>
        <w:t>Stockholm Convention on persistent organic pollutants</w:t>
      </w:r>
      <w:r w:rsidR="009539C4">
        <w:rPr>
          <w:szCs w:val="20"/>
          <w:lang w:eastAsia="fr-BE"/>
        </w:rPr>
        <w:t xml:space="preserve">, as is </w:t>
      </w:r>
      <w:r w:rsidRPr="00E6494F">
        <w:rPr>
          <w:szCs w:val="20"/>
          <w:lang w:eastAsia="fr-BE"/>
        </w:rPr>
        <w:t>the case for HBCDD.</w:t>
      </w:r>
    </w:p>
    <w:p w:rsidR="004C7315" w:rsidRPr="00E6494F" w:rsidRDefault="004C7315" w:rsidP="00BF0EC9">
      <w:r w:rsidRPr="00E6494F">
        <w:rPr>
          <w:szCs w:val="20"/>
          <w:lang w:eastAsia="fr-BE"/>
        </w:rPr>
        <w:t>The Commission submitted a draft regulation to the relevant committee for the inclusion of th</w:t>
      </w:r>
      <w:r w:rsidR="00BF0EC9">
        <w:rPr>
          <w:szCs w:val="20"/>
          <w:lang w:eastAsia="fr-BE"/>
        </w:rPr>
        <w:t>at</w:t>
      </w:r>
      <w:r w:rsidRPr="00E6494F">
        <w:rPr>
          <w:szCs w:val="20"/>
          <w:lang w:eastAsia="fr-BE"/>
        </w:rPr>
        <w:t xml:space="preserve"> substance in the annex. As the committee did not deliver an opinion on the draft regulation, the Commission submitted the proposal to the Council. As there </w:t>
      </w:r>
      <w:r w:rsidR="00BF0EC9">
        <w:rPr>
          <w:szCs w:val="20"/>
          <w:lang w:eastAsia="fr-BE"/>
        </w:rPr>
        <w:t>wa</w:t>
      </w:r>
      <w:r w:rsidRPr="00E6494F">
        <w:rPr>
          <w:szCs w:val="20"/>
          <w:lang w:eastAsia="fr-BE"/>
        </w:rPr>
        <w:t>s no qualified majority</w:t>
      </w:r>
      <w:r w:rsidR="00BF0EC9">
        <w:rPr>
          <w:szCs w:val="20"/>
          <w:lang w:eastAsia="fr-BE"/>
        </w:rPr>
        <w:t xml:space="preserve"> in favour of</w:t>
      </w:r>
      <w:r w:rsidRPr="00E6494F">
        <w:rPr>
          <w:szCs w:val="20"/>
          <w:lang w:eastAsia="fr-BE"/>
        </w:rPr>
        <w:t xml:space="preserve"> either adopt</w:t>
      </w:r>
      <w:r w:rsidR="00BF0EC9">
        <w:rPr>
          <w:szCs w:val="20"/>
          <w:lang w:eastAsia="fr-BE"/>
        </w:rPr>
        <w:t>ing</w:t>
      </w:r>
      <w:r w:rsidRPr="00E6494F">
        <w:rPr>
          <w:szCs w:val="20"/>
          <w:lang w:eastAsia="fr-BE"/>
        </w:rPr>
        <w:t xml:space="preserve"> or oppos</w:t>
      </w:r>
      <w:r w:rsidR="00BF0EC9">
        <w:rPr>
          <w:szCs w:val="20"/>
          <w:lang w:eastAsia="fr-BE"/>
        </w:rPr>
        <w:t>ing</w:t>
      </w:r>
      <w:r w:rsidRPr="00E6494F">
        <w:rPr>
          <w:szCs w:val="20"/>
          <w:lang w:eastAsia="fr-BE"/>
        </w:rPr>
        <w:t xml:space="preserve"> the proposed Council regulation, the Council </w:t>
      </w:r>
      <w:r w:rsidRPr="00E6494F">
        <w:t>decided not to act within the two-month period from the date the proposal was referred to it.</w:t>
      </w:r>
    </w:p>
    <w:p w:rsidR="004C7315" w:rsidRPr="00E6494F" w:rsidRDefault="004C7315" w:rsidP="008F3235">
      <w:pPr>
        <w:rPr>
          <w:szCs w:val="20"/>
          <w:lang w:eastAsia="fr-BE"/>
        </w:rPr>
      </w:pPr>
      <w:r w:rsidRPr="00E6494F">
        <w:t xml:space="preserve">Now the Commission will submit these measures to the European Parliament for scrutiny. If the Parliament does not </w:t>
      </w:r>
      <w:r w:rsidR="008F3235">
        <w:t>object</w:t>
      </w:r>
      <w:r w:rsidRPr="00E6494F">
        <w:t>, the Commission shall adopt the proposed measures.</w:t>
      </w:r>
    </w:p>
    <w:p w:rsidR="001C4977" w:rsidRPr="00E6494F" w:rsidRDefault="001C4977" w:rsidP="001C4977">
      <w:pPr>
        <w:pStyle w:val="Sub-itemApproved"/>
      </w:pPr>
      <w:bookmarkStart w:id="10" w:name="_Toc436654344"/>
      <w:r w:rsidRPr="00E6494F">
        <w:t>Report on the EU emissions trading system (ETS)</w:t>
      </w:r>
      <w:bookmarkEnd w:id="10"/>
    </w:p>
    <w:p w:rsidR="001C4977" w:rsidRPr="00E6494F" w:rsidRDefault="001C4977" w:rsidP="001C4977">
      <w:r w:rsidRPr="00E6494F">
        <w:t>The Council adopted conclusions on the special report from the European Court of Auditors entitled "The integrity and implementation of the EU ETS", which was published on 3 July 2015.</w:t>
      </w:r>
    </w:p>
    <w:p w:rsidR="001C4977" w:rsidRPr="00E6494F" w:rsidRDefault="002327FB" w:rsidP="000A679C">
      <w:pPr>
        <w:spacing w:before="0" w:after="0"/>
      </w:pPr>
      <w:hyperlink r:id="rId30" w:history="1">
        <w:r w:rsidR="001C4977" w:rsidRPr="00E6494F">
          <w:rPr>
            <w:rStyle w:val="Hyperlink"/>
          </w:rPr>
          <w:t>Council conclusions on ECA report "The integrity and implementation of the EU ETS"</w:t>
        </w:r>
      </w:hyperlink>
    </w:p>
    <w:p w:rsidR="001C4977" w:rsidRPr="00E6494F" w:rsidRDefault="002327FB" w:rsidP="001C4977">
      <w:pPr>
        <w:rPr>
          <w:rStyle w:val="Hyperlink"/>
        </w:rPr>
      </w:pPr>
      <w:hyperlink r:id="rId31" w:history="1">
        <w:r w:rsidR="001C4977" w:rsidRPr="00E6494F">
          <w:rPr>
            <w:rStyle w:val="Hyperlink"/>
          </w:rPr>
          <w:t>Special report "The integrity and implementation of the EU ETS" (ECA)</w:t>
        </w:r>
      </w:hyperlink>
    </w:p>
    <w:p w:rsidR="001C4977" w:rsidRPr="00E6494F" w:rsidRDefault="00AB13F5" w:rsidP="001C4977">
      <w:pPr>
        <w:pStyle w:val="ItemApproved"/>
      </w:pPr>
      <w:r>
        <w:br w:type="page"/>
      </w:r>
      <w:r w:rsidR="001C4977" w:rsidRPr="00E6494F">
        <w:lastRenderedPageBreak/>
        <w:t>ECONOMIC AND FINANCIAL AFFAIRS</w:t>
      </w:r>
    </w:p>
    <w:p w:rsidR="001C4977" w:rsidRPr="00E6494F" w:rsidRDefault="001C4977" w:rsidP="001C4977">
      <w:pPr>
        <w:pStyle w:val="Sub-itemApproved"/>
      </w:pPr>
      <w:bookmarkStart w:id="11" w:name="_Toc436654346"/>
      <w:r w:rsidRPr="00E6494F">
        <w:t>OTC derivatives: Clearing obligation</w:t>
      </w:r>
      <w:bookmarkEnd w:id="11"/>
    </w:p>
    <w:p w:rsidR="001C4977" w:rsidRPr="00E6494F" w:rsidRDefault="001C4977" w:rsidP="001C4977">
      <w:r w:rsidRPr="00E6494F">
        <w:t xml:space="preserve">The Council decided not to object to the adoption by the Commission of a regulation supplementing regulation </w:t>
      </w:r>
      <w:r w:rsidR="00BF0EC9">
        <w:t xml:space="preserve">No </w:t>
      </w:r>
      <w:r w:rsidRPr="00E6494F">
        <w:t>648/2012 on OTC derivatives, central counterparties and trade repositories ("EMIR") with regard to regulatory technical standards on the clearing obligation.</w:t>
      </w:r>
    </w:p>
    <w:p w:rsidR="001C4977" w:rsidRPr="00E6494F" w:rsidRDefault="001C4977" w:rsidP="00BF0EC9">
      <w:pPr>
        <w:autoSpaceDE w:val="0"/>
        <w:autoSpaceDN w:val="0"/>
        <w:adjustRightInd w:val="0"/>
        <w:rPr>
          <w:noProof/>
          <w:lang w:eastAsia="en-GB"/>
        </w:rPr>
      </w:pPr>
      <w:r w:rsidRPr="00E6494F">
        <w:rPr>
          <w:noProof/>
          <w:lang w:eastAsia="en-GB"/>
        </w:rPr>
        <w:t>The regulation lays down the classes of OTC derivative contracts that are subject to the clearing obligation and four different categories of counterparties for which different phase-in periods apply.</w:t>
      </w:r>
    </w:p>
    <w:p w:rsidR="001C4977" w:rsidRPr="00E6494F" w:rsidRDefault="001C4977" w:rsidP="001C4977">
      <w:r w:rsidRPr="00E6494F">
        <w:t>The regulation is a delegated act pursuant to article 290 of the Treaty on the Functioning of the EU. It can now enter into force, unless the European Parliament objects.</w:t>
      </w:r>
    </w:p>
    <w:p w:rsidR="006811E5" w:rsidRPr="00E6494F" w:rsidRDefault="006811E5" w:rsidP="006811E5">
      <w:pPr>
        <w:pStyle w:val="ItemApproved"/>
      </w:pPr>
      <w:bookmarkStart w:id="12" w:name="AC"/>
      <w:r w:rsidRPr="00E6494F">
        <w:t>TRADE POLICY</w:t>
      </w:r>
    </w:p>
    <w:p w:rsidR="006811E5" w:rsidRPr="00E6494F" w:rsidRDefault="006811E5" w:rsidP="006811E5">
      <w:pPr>
        <w:pStyle w:val="Sub-itemApproved"/>
      </w:pPr>
      <w:bookmarkStart w:id="13" w:name="_Toc436654348"/>
      <w:bookmarkEnd w:id="12"/>
      <w:r w:rsidRPr="00E6494F">
        <w:t>WTO waiver: African Growth and Opportunity Act</w:t>
      </w:r>
      <w:bookmarkEnd w:id="13"/>
    </w:p>
    <w:p w:rsidR="006811E5" w:rsidRPr="00E6494F" w:rsidRDefault="006811E5" w:rsidP="00BF0EC9">
      <w:r w:rsidRPr="00E6494F">
        <w:t>The Council adopted a decision establishing the EU's position within the General Council of the WTO as supporting the United States’ request to waive until 30 September 2025 some of its obligations under the General Agreement on Tariffs and Trade so as to be able to continue providing duty</w:t>
      </w:r>
      <w:r w:rsidR="00BF0EC9">
        <w:t>-</w:t>
      </w:r>
      <w:r w:rsidRPr="00E6494F">
        <w:t>free treatment to eligible products originating in beneficiary sub</w:t>
      </w:r>
      <w:r w:rsidR="00BF0EC9">
        <w:t>-</w:t>
      </w:r>
      <w:r w:rsidRPr="00E6494F">
        <w:t>Saharan African countries designated pursuant to the African Growth and Opportunity Act.</w:t>
      </w:r>
    </w:p>
    <w:p w:rsidR="006811E5" w:rsidRPr="00E6494F" w:rsidRDefault="006811E5" w:rsidP="006811E5">
      <w:pPr>
        <w:pStyle w:val="Sub-itemApproved"/>
      </w:pPr>
      <w:bookmarkStart w:id="14" w:name="_Toc436654349"/>
      <w:r w:rsidRPr="00E6494F">
        <w:t>Generalised tariff preferences: graduation thresholds</w:t>
      </w:r>
      <w:bookmarkEnd w:id="14"/>
    </w:p>
    <w:p w:rsidR="006811E5" w:rsidRPr="00E6494F" w:rsidRDefault="006811E5" w:rsidP="006811E5">
      <w:r w:rsidRPr="00E6494F">
        <w:t xml:space="preserve">The Council decided not to object to a Commission regulation amending the graduation thresholds for tariff preferences of the </w:t>
      </w:r>
      <w:r w:rsidRPr="00E6494F">
        <w:rPr>
          <w:noProof/>
        </w:rPr>
        <w:t>generalised scheme of tariff preferences</w:t>
      </w:r>
      <w:r w:rsidRPr="00E6494F">
        <w:t xml:space="preserve"> (GSP) as of 1 January 2015, when China, Thailand, the Maldives and Ecuador were removed from the list of GSP beneficiaries.</w:t>
      </w:r>
    </w:p>
    <w:p w:rsidR="006811E5" w:rsidRPr="00E6494F" w:rsidRDefault="006811E5" w:rsidP="00BF0EC9">
      <w:r w:rsidRPr="00E6494F">
        <w:rPr>
          <w:rFonts w:eastAsia="EUAlbertina-Regular-Identity-H"/>
        </w:rPr>
        <w:t xml:space="preserve">Under article 8(1) of </w:t>
      </w:r>
      <w:r w:rsidRPr="00E6494F">
        <w:t xml:space="preserve">regulation </w:t>
      </w:r>
      <w:r w:rsidR="00BF0EC9">
        <w:t xml:space="preserve">No </w:t>
      </w:r>
      <w:r w:rsidRPr="00E6494F">
        <w:t xml:space="preserve">978/2012 applying a GSP, the tariff preferences </w:t>
      </w:r>
      <w:r w:rsidR="00BF0EC9">
        <w:t>must</w:t>
      </w:r>
      <w:r w:rsidR="00BF0EC9" w:rsidRPr="00E6494F">
        <w:t xml:space="preserve"> </w:t>
      </w:r>
      <w:r w:rsidRPr="00E6494F">
        <w:t xml:space="preserve">be suspended, in respect of products of a GSP section originating in a GSP beneficiary country, when the average value of EU imports of such products over three consecutive years from that GSP beneficiary country exceeds the thresholds listed in </w:t>
      </w:r>
      <w:r w:rsidR="00BF0EC9">
        <w:t>a</w:t>
      </w:r>
      <w:r w:rsidRPr="00E6494F">
        <w:t>nnex VI. The regulation empowers the Commission to adjust the thresholds when the list of GSP beneficiaries is amended.</w:t>
      </w:r>
    </w:p>
    <w:p w:rsidR="006811E5" w:rsidRPr="00E6494F" w:rsidRDefault="00AB13F5" w:rsidP="006811E5">
      <w:r>
        <w:br w:type="page"/>
      </w:r>
      <w:r w:rsidR="006811E5" w:rsidRPr="00E6494F">
        <w:lastRenderedPageBreak/>
        <w:t>The regulation is a delegated act pursuant to article 290 of the Treaty on the Functioning of the EU. This means that now that the Council has given its consent, the act can enter into force, unless the European Parliament objects to it.</w:t>
      </w:r>
    </w:p>
    <w:p w:rsidR="006811E5" w:rsidRPr="00E6494F" w:rsidRDefault="006811E5" w:rsidP="006811E5">
      <w:pPr>
        <w:pStyle w:val="Sub-itemApproved"/>
      </w:pPr>
      <w:bookmarkStart w:id="15" w:name="_Toc436654350"/>
      <w:r w:rsidRPr="00E6494F">
        <w:t xml:space="preserve">Generalised tariff preferences: Fiji, Georgia, Iraq, Marshall Islands, </w:t>
      </w:r>
      <w:r w:rsidRPr="00E6494F">
        <w:rPr>
          <w:rFonts w:eastAsia="Calibri"/>
        </w:rPr>
        <w:t>Samoa</w:t>
      </w:r>
      <w:r w:rsidRPr="00E6494F">
        <w:t xml:space="preserve"> and Tonga</w:t>
      </w:r>
      <w:bookmarkEnd w:id="15"/>
    </w:p>
    <w:p w:rsidR="006811E5" w:rsidRPr="00E6494F" w:rsidRDefault="006811E5" w:rsidP="006811E5">
      <w:pPr>
        <w:rPr>
          <w:noProof/>
        </w:rPr>
      </w:pPr>
      <w:r w:rsidRPr="00E6494F">
        <w:t xml:space="preserve">The Council decided not to object to a Commission regulation removing Fiji, Iraq, Marshall Islands, and Tonga from the list of beneficiary countries of the GSP as of </w:t>
      </w:r>
      <w:r w:rsidRPr="00E6494F">
        <w:rPr>
          <w:noProof/>
        </w:rPr>
        <w:t>1 January 2017.</w:t>
      </w:r>
    </w:p>
    <w:p w:rsidR="006811E5" w:rsidRPr="00E6494F" w:rsidRDefault="00855F97" w:rsidP="00855F97">
      <w:pPr>
        <w:rPr>
          <w:rFonts w:eastAsia="Calibri"/>
        </w:rPr>
      </w:pPr>
      <w:r>
        <w:rPr>
          <w:noProof/>
        </w:rPr>
        <w:t>The regulation</w:t>
      </w:r>
      <w:r w:rsidR="006811E5" w:rsidRPr="00E6494F">
        <w:rPr>
          <w:noProof/>
        </w:rPr>
        <w:t xml:space="preserve"> also removes Georgia from the list of </w:t>
      </w:r>
      <w:r w:rsidR="006811E5" w:rsidRPr="00E6494F">
        <w:t>beneficiary countries of the</w:t>
      </w:r>
      <w:r w:rsidR="006811E5" w:rsidRPr="00E6494F">
        <w:rPr>
          <w:noProof/>
        </w:rPr>
        <w:t xml:space="preserve"> GSP+ as of 1 January 2017 and </w:t>
      </w:r>
      <w:r w:rsidR="006811E5" w:rsidRPr="00E6494F">
        <w:rPr>
          <w:rFonts w:eastAsia="Calibri"/>
        </w:rPr>
        <w:t xml:space="preserve">Samoa from the list of </w:t>
      </w:r>
      <w:r w:rsidR="006811E5" w:rsidRPr="00E6494F">
        <w:rPr>
          <w:noProof/>
        </w:rPr>
        <w:t xml:space="preserve">EBA beneficiary countries </w:t>
      </w:r>
      <w:r w:rsidR="006811E5" w:rsidRPr="00E6494F">
        <w:rPr>
          <w:rFonts w:eastAsia="Calibri"/>
        </w:rPr>
        <w:t xml:space="preserve">as of </w:t>
      </w:r>
      <w:r w:rsidR="006811E5" w:rsidRPr="00E6494F">
        <w:rPr>
          <w:noProof/>
        </w:rPr>
        <w:t>1 January 2019</w:t>
      </w:r>
      <w:r w:rsidR="006811E5" w:rsidRPr="00E6494F">
        <w:t>.</w:t>
      </w:r>
    </w:p>
    <w:p w:rsidR="006811E5" w:rsidRPr="00E6494F" w:rsidRDefault="006811E5" w:rsidP="00855F97">
      <w:pPr>
        <w:rPr>
          <w:szCs w:val="20"/>
        </w:rPr>
      </w:pPr>
      <w:r w:rsidRPr="00E6494F">
        <w:rPr>
          <w:szCs w:val="20"/>
        </w:rPr>
        <w:t xml:space="preserve">This amends </w:t>
      </w:r>
      <w:r w:rsidR="00855F97">
        <w:rPr>
          <w:szCs w:val="20"/>
        </w:rPr>
        <w:t>a</w:t>
      </w:r>
      <w:r w:rsidRPr="00E6494F">
        <w:rPr>
          <w:szCs w:val="20"/>
        </w:rPr>
        <w:t xml:space="preserve">nnexes II, III and IV of regulation </w:t>
      </w:r>
      <w:r w:rsidR="00855F97">
        <w:rPr>
          <w:szCs w:val="20"/>
        </w:rPr>
        <w:t xml:space="preserve">No </w:t>
      </w:r>
      <w:r w:rsidRPr="00E6494F">
        <w:rPr>
          <w:szCs w:val="20"/>
        </w:rPr>
        <w:t>978/2012 applying a scheme of generalised tariff preferences.</w:t>
      </w:r>
    </w:p>
    <w:p w:rsidR="006811E5" w:rsidRPr="00E6494F" w:rsidRDefault="006811E5" w:rsidP="006811E5">
      <w:pPr>
        <w:rPr>
          <w:rFonts w:ascii="Arial" w:hAnsi="Arial" w:cs="Arial"/>
          <w:sz w:val="20"/>
          <w:szCs w:val="20"/>
        </w:rPr>
      </w:pPr>
      <w:r w:rsidRPr="00E6494F">
        <w:t>The regulation is a delegated act pursuant to article 290 of the Treaty on the Functioning of the EU. The act can now enter into force, unless the European Parliament objects.</w:t>
      </w:r>
    </w:p>
    <w:p w:rsidR="006811E5" w:rsidRPr="00E6494F" w:rsidRDefault="006811E5" w:rsidP="006811E5">
      <w:pPr>
        <w:pStyle w:val="ItemApproved"/>
      </w:pPr>
      <w:r w:rsidRPr="00E6494F">
        <w:t>TAXATION</w:t>
      </w:r>
    </w:p>
    <w:p w:rsidR="006811E5" w:rsidRPr="00E6494F" w:rsidRDefault="006811E5" w:rsidP="006811E5">
      <w:pPr>
        <w:pStyle w:val="Sub-itemApproved"/>
      </w:pPr>
      <w:bookmarkStart w:id="16" w:name="_Toc436654352"/>
      <w:r w:rsidRPr="00E6494F">
        <w:t>Automatic exchange of tax data - Liechtenstein</w:t>
      </w:r>
      <w:bookmarkEnd w:id="16"/>
    </w:p>
    <w:p w:rsidR="006811E5" w:rsidRPr="00E6494F" w:rsidRDefault="006811E5" w:rsidP="006811E5">
      <w:r w:rsidRPr="00E6494F">
        <w:t xml:space="preserve">The Council adopted a decision authorising the signing of an agreement with </w:t>
      </w:r>
      <w:r w:rsidRPr="00E6494F">
        <w:rPr>
          <w:noProof/>
        </w:rPr>
        <w:t>Liechtenstein</w:t>
      </w:r>
      <w:r w:rsidRPr="00E6494F">
        <w:t xml:space="preserve"> on the automatic exchange of financial account information starting in 2017.</w:t>
      </w:r>
    </w:p>
    <w:p w:rsidR="006811E5" w:rsidRPr="00E6494F" w:rsidRDefault="006811E5" w:rsidP="006811E5">
      <w:r w:rsidRPr="00E6494F">
        <w:t xml:space="preserve">It upgrades a 2004 agreement that ensured that </w:t>
      </w:r>
      <w:r w:rsidRPr="00E6494F">
        <w:rPr>
          <w:noProof/>
        </w:rPr>
        <w:t>Liechtenstein</w:t>
      </w:r>
      <w:r w:rsidRPr="00E6494F">
        <w:t xml:space="preserve"> applied measures equivalent to those in an EU directive on the taxation of savings income </w:t>
      </w:r>
      <w:r w:rsidRPr="00E6494F">
        <w:rPr>
          <w:noProof/>
        </w:rPr>
        <w:t>in the form of interest payments</w:t>
      </w:r>
      <w:r w:rsidRPr="00E6494F">
        <w:t>.</w:t>
      </w:r>
    </w:p>
    <w:p w:rsidR="006811E5" w:rsidRPr="00E6494F" w:rsidRDefault="006811E5" w:rsidP="006811E5">
      <w:r w:rsidRPr="00E6494F">
        <w:t>The Council also included a statement in an annex to the minutes of the meeting.</w:t>
      </w:r>
    </w:p>
    <w:p w:rsidR="006811E5" w:rsidRPr="00E6494F" w:rsidRDefault="006811E5" w:rsidP="006811E5">
      <w:r w:rsidRPr="00E6494F">
        <w:rPr>
          <w:i/>
          <w:iCs/>
        </w:rPr>
        <w:t>EU-</w:t>
      </w:r>
      <w:r w:rsidRPr="00E6494F">
        <w:rPr>
          <w:i/>
          <w:iCs/>
          <w:noProof/>
        </w:rPr>
        <w:t xml:space="preserve"> Liechtenstein</w:t>
      </w:r>
      <w:r w:rsidRPr="00E6494F">
        <w:rPr>
          <w:i/>
          <w:iCs/>
        </w:rPr>
        <w:t xml:space="preserve"> agreement on the automatic exchange of financial account information</w:t>
      </w:r>
      <w:r w:rsidRPr="00E6494F">
        <w:t xml:space="preserve"> (</w:t>
      </w:r>
      <w:hyperlink r:id="rId32" w:tooltip="http://data.consilium.europa.eu/doc/document/ST-11798-2015-INIT/en/pdf" w:history="1">
        <w:r w:rsidR="00AE25F0" w:rsidRPr="00E6494F">
          <w:rPr>
            <w:rStyle w:val="Hyperlink"/>
            <w:i/>
            <w:iCs/>
          </w:rPr>
          <w:t>11798/15</w:t>
        </w:r>
      </w:hyperlink>
      <w:r w:rsidRPr="00E6494F">
        <w:t>)</w:t>
      </w:r>
    </w:p>
    <w:p w:rsidR="006811E5" w:rsidRPr="00E6494F" w:rsidRDefault="006811E5" w:rsidP="006811E5">
      <w:r w:rsidRPr="00E6494F">
        <w:rPr>
          <w:i/>
          <w:iCs/>
        </w:rPr>
        <w:t>Statement by member states relating to the EU-</w:t>
      </w:r>
      <w:r w:rsidRPr="00E6494F">
        <w:rPr>
          <w:i/>
          <w:iCs/>
          <w:noProof/>
        </w:rPr>
        <w:t>Liechtenstein</w:t>
      </w:r>
      <w:r w:rsidRPr="00E6494F">
        <w:rPr>
          <w:i/>
          <w:iCs/>
        </w:rPr>
        <w:t xml:space="preserve"> agreement</w:t>
      </w:r>
      <w:r w:rsidRPr="00E6494F">
        <w:t xml:space="preserve"> (</w:t>
      </w:r>
      <w:hyperlink r:id="rId33" w:tooltip="http://data.consilium.europa.eu/doc/document/ST-13245-2015-INIT/en/pdf" w:history="1">
        <w:r w:rsidR="00AE25F0" w:rsidRPr="00E6494F">
          <w:rPr>
            <w:rStyle w:val="Hyperlink"/>
            <w:i/>
            <w:iCs/>
          </w:rPr>
          <w:t>13245/15</w:t>
        </w:r>
      </w:hyperlink>
      <w:r w:rsidRPr="00E6494F">
        <w:t>)</w:t>
      </w:r>
    </w:p>
    <w:p w:rsidR="001C4977" w:rsidRPr="00E6494F" w:rsidRDefault="00AB13F5" w:rsidP="001C4977">
      <w:pPr>
        <w:pStyle w:val="ItemApproved"/>
      </w:pPr>
      <w:r>
        <w:br w:type="page"/>
      </w:r>
      <w:r w:rsidR="001C4977" w:rsidRPr="00E6494F">
        <w:lastRenderedPageBreak/>
        <w:t>JUSTICE AND HOME AFFAIRS</w:t>
      </w:r>
    </w:p>
    <w:p w:rsidR="001C4977" w:rsidRPr="00E6494F" w:rsidRDefault="001C4977" w:rsidP="001C4977">
      <w:pPr>
        <w:pStyle w:val="Sub-itemApproved"/>
      </w:pPr>
      <w:bookmarkStart w:id="17" w:name="_Toc436654354"/>
      <w:r w:rsidRPr="00E6494F">
        <w:t>Visa Information System</w:t>
      </w:r>
      <w:bookmarkEnd w:id="17"/>
    </w:p>
    <w:p w:rsidR="001C4977" w:rsidRPr="00E6494F" w:rsidRDefault="001C4977" w:rsidP="00855F97">
      <w:r w:rsidRPr="00E6494F">
        <w:t>The Council adopted an implementing decision (</w:t>
      </w:r>
      <w:hyperlink r:id="rId34" w:history="1">
        <w:r w:rsidRPr="00E6494F">
          <w:rPr>
            <w:rStyle w:val="Hyperlink"/>
            <w:i/>
            <w:iCs/>
          </w:rPr>
          <w:t>10506/15</w:t>
        </w:r>
      </w:hyperlink>
      <w:r w:rsidRPr="00E6494F">
        <w:t xml:space="preserve">) fixing the date of effect of </w:t>
      </w:r>
      <w:r w:rsidR="00855F97">
        <w:t>d</w:t>
      </w:r>
      <w:r w:rsidRPr="00E6494F">
        <w:t>ecision 2008/633/JHA concerning access for consultation of the Visa Information System (VIS) by designated authorities of member states and by Europol for the purposes of the prevention, detection and investigation of terrorist offences and of other serious criminal offences.</w:t>
      </w:r>
    </w:p>
    <w:p w:rsidR="001C4977" w:rsidRPr="00E6494F" w:rsidRDefault="001C4977" w:rsidP="001C4977">
      <w:pPr>
        <w:pStyle w:val="Sub-itemApproved"/>
      </w:pPr>
      <w:bookmarkStart w:id="18" w:name="_Toc436654355"/>
      <w:r w:rsidRPr="00E6494F">
        <w:t>Visa waiver agreements</w:t>
      </w:r>
      <w:bookmarkEnd w:id="18"/>
    </w:p>
    <w:p w:rsidR="001C4977" w:rsidRPr="00E6494F" w:rsidRDefault="001C4977" w:rsidP="00F21544">
      <w:r w:rsidRPr="00E6494F">
        <w:t>The Council adopted a decision on the signing and provisional application of the agreements between the European Union and the Republic of Palau, the Kingdom of Tonga, the Republic of Kiribati and the Republic of Colombia on the short-stay visa waiver. According to the decision</w:t>
      </w:r>
      <w:r w:rsidR="00855F97">
        <w:t>,</w:t>
      </w:r>
      <w:r w:rsidRPr="00E6494F">
        <w:t xml:space="preserve"> the agreements will be provisionally applicable from </w:t>
      </w:r>
      <w:r w:rsidR="00F21544">
        <w:t>its scheduled</w:t>
      </w:r>
      <w:r w:rsidR="00F21544" w:rsidRPr="00E6494F">
        <w:t xml:space="preserve"> </w:t>
      </w:r>
      <w:r w:rsidRPr="00E6494F">
        <w:t xml:space="preserve">date </w:t>
      </w:r>
      <w:r w:rsidR="00F21544">
        <w:t>o</w:t>
      </w:r>
      <w:r w:rsidRPr="00E6494F">
        <w:t>f signature.</w:t>
      </w:r>
    </w:p>
    <w:p w:rsidR="001C4977" w:rsidRPr="00E6494F" w:rsidRDefault="001C4977" w:rsidP="001C4977">
      <w:r w:rsidRPr="00E6494F">
        <w:t>The Council also decided to forward the draft decision on the conclusion of the agreements to the European Parliament for its consent once the agreement has been duly signed.</w:t>
      </w:r>
    </w:p>
    <w:p w:rsidR="001C4977" w:rsidRPr="00E6494F" w:rsidRDefault="001C4977" w:rsidP="001C4977">
      <w:pPr>
        <w:pStyle w:val="ItemApproved"/>
      </w:pPr>
      <w:r w:rsidRPr="00E6494F">
        <w:t>AGRICULTURE</w:t>
      </w:r>
    </w:p>
    <w:p w:rsidR="001C4977" w:rsidRPr="00E6494F" w:rsidRDefault="001C4977" w:rsidP="001C4977">
      <w:pPr>
        <w:pStyle w:val="Sub-itemApproved"/>
      </w:pPr>
      <w:bookmarkStart w:id="19" w:name="_Toc436654357"/>
      <w:r w:rsidRPr="00E6494F">
        <w:t>Official control</w:t>
      </w:r>
      <w:r w:rsidR="00855F97">
        <w:t>s</w:t>
      </w:r>
      <w:r w:rsidRPr="00E6494F">
        <w:t xml:space="preserve"> in the food chain - Adoption of the Council position</w:t>
      </w:r>
      <w:bookmarkEnd w:id="19"/>
    </w:p>
    <w:p w:rsidR="001C4977" w:rsidRPr="00E6494F" w:rsidRDefault="001C4977" w:rsidP="00F21544">
      <w:r w:rsidRPr="00E6494F">
        <w:t>The Council confirmed an agreement reached in the Permanent Representatives Committee (</w:t>
      </w:r>
      <w:proofErr w:type="spellStart"/>
      <w:r w:rsidRPr="00E6494F">
        <w:t>Coreper</w:t>
      </w:r>
      <w:proofErr w:type="spellEnd"/>
      <w:r w:rsidRPr="00E6494F">
        <w:t>) on a general approach at first reading on a proposal for a regulation on official controls and other official activities performed to ensure the application of food and feed law, rules on animal health and welfare, plant health, plant reproductive material, plant protection products (</w:t>
      </w:r>
      <w:r w:rsidR="00F21544">
        <w:t>o</w:t>
      </w:r>
      <w:r w:rsidRPr="00E6494F">
        <w:t>fficial controls regulation) (</w:t>
      </w:r>
      <w:hyperlink r:id="rId35" w:tooltip="http://data.consilium.europa.eu/doc/document/ST-13209-2015-INIT/en/pdf" w:history="1">
        <w:r w:rsidR="00AE25F0" w:rsidRPr="00E6494F">
          <w:rPr>
            <w:rStyle w:val="Hyperlink"/>
            <w:i/>
            <w:iCs/>
          </w:rPr>
          <w:t>13209/15</w:t>
        </w:r>
      </w:hyperlink>
      <w:r w:rsidRPr="00E6494F">
        <w:t>).</w:t>
      </w:r>
    </w:p>
    <w:p w:rsidR="001C4977" w:rsidRPr="00E6494F" w:rsidRDefault="001C4977" w:rsidP="001C4977">
      <w:r w:rsidRPr="00E6494F">
        <w:t>The aim of the proposal is to simplify and streamline the existing legal framework on official controls (regulation No 882/2004) and to establish a unique set of rules applicable to all sectors in order to improve the efficiency of official controls performed by the member states along the food chain while minimising the burden for operators.</w:t>
      </w:r>
    </w:p>
    <w:p w:rsidR="001C4977" w:rsidRPr="00E6494F" w:rsidRDefault="00AB13F5" w:rsidP="00F21544">
      <w:r>
        <w:br w:type="page"/>
      </w:r>
      <w:r w:rsidR="001C4977" w:rsidRPr="00E6494F">
        <w:lastRenderedPageBreak/>
        <w:t xml:space="preserve">A general approach is a political agreement on the position of the Council on a proposal for a regulation in the framework of the ordinary legislative procedure (co-decision). The agreement on </w:t>
      </w:r>
      <w:r w:rsidR="00F21544">
        <w:t xml:space="preserve">the </w:t>
      </w:r>
      <w:r w:rsidR="001C4977" w:rsidRPr="00E6494F">
        <w:t>official controls regulation will make it possible to launch negotiations between the Parliament and the Council with a view to reaching a political agreement between the EU institutions. The European Parliament approved its position on 15 A</w:t>
      </w:r>
      <w:r w:rsidR="00F21544">
        <w:t>p</w:t>
      </w:r>
      <w:r w:rsidR="001C4977" w:rsidRPr="00E6494F">
        <w:t>ril 2015.</w:t>
      </w:r>
    </w:p>
    <w:p w:rsidR="00F45236" w:rsidRPr="00E6494F" w:rsidRDefault="00F45236" w:rsidP="00A847FF">
      <w:pPr>
        <w:pStyle w:val="ItemApproved"/>
      </w:pPr>
      <w:r w:rsidRPr="00E6494F">
        <w:t>FISHERIES</w:t>
      </w:r>
    </w:p>
    <w:p w:rsidR="00F45236" w:rsidRPr="00E6494F" w:rsidRDefault="00F45236" w:rsidP="00A847FF">
      <w:pPr>
        <w:pStyle w:val="Sub-itemApproved"/>
      </w:pPr>
      <w:bookmarkStart w:id="20" w:name="_Toc436654359"/>
      <w:r w:rsidRPr="00E6494F">
        <w:t>Amendment to fishing opportunities 2015 - herring, plaice and sprat</w:t>
      </w:r>
      <w:bookmarkEnd w:id="20"/>
    </w:p>
    <w:p w:rsidR="00F45236" w:rsidRPr="00E6494F" w:rsidRDefault="00F45236" w:rsidP="00F45236">
      <w:r w:rsidRPr="00E6494F">
        <w:t xml:space="preserve">The Council adopted an amendment to regulation </w:t>
      </w:r>
      <w:r w:rsidR="00E000C7">
        <w:t xml:space="preserve">No </w:t>
      </w:r>
      <w:r w:rsidRPr="00E6494F">
        <w:t>2015/104 as regards certain fishing opportunities for 2015 (</w:t>
      </w:r>
      <w:hyperlink r:id="rId36" w:tooltip="http://data.consilium.europa.eu/doc/document/ST-12878-2015-INIT/en/pdf" w:history="1">
        <w:r w:rsidR="00AE25F0" w:rsidRPr="00E6494F">
          <w:rPr>
            <w:rStyle w:val="Hyperlink"/>
            <w:i/>
            <w:iCs/>
          </w:rPr>
          <w:t>12878/15</w:t>
        </w:r>
      </w:hyperlink>
      <w:r w:rsidRPr="00E6494F">
        <w:t>).</w:t>
      </w:r>
    </w:p>
    <w:p w:rsidR="00F45236" w:rsidRPr="00E6494F" w:rsidRDefault="00F45236" w:rsidP="00E000C7">
      <w:r w:rsidRPr="00E6494F">
        <w:t xml:space="preserve">Regulation </w:t>
      </w:r>
      <w:r w:rsidR="00E000C7">
        <w:t xml:space="preserve">No </w:t>
      </w:r>
      <w:r w:rsidRPr="00E6494F">
        <w:t xml:space="preserve">2015/104 fixes for 2015 </w:t>
      </w:r>
      <w:r w:rsidR="00E000C7">
        <w:t xml:space="preserve">the </w:t>
      </w:r>
      <w:r w:rsidRPr="00E6494F">
        <w:t xml:space="preserve">fishing opportunities for certain fish stocks </w:t>
      </w:r>
      <w:r w:rsidR="00E000C7">
        <w:t>f</w:t>
      </w:r>
      <w:r w:rsidRPr="00E6494F">
        <w:t>o</w:t>
      </w:r>
      <w:r w:rsidR="00E000C7">
        <w:t>r</w:t>
      </w:r>
      <w:r w:rsidRPr="00E6494F">
        <w:t xml:space="preserve"> EU vessels in Union </w:t>
      </w:r>
      <w:r w:rsidR="00E000C7">
        <w:t xml:space="preserve">waters </w:t>
      </w:r>
      <w:r w:rsidRPr="00E6494F">
        <w:t xml:space="preserve">and certain non-Union waters. On the basis of the most </w:t>
      </w:r>
      <w:r w:rsidR="002E0422">
        <w:t xml:space="preserve">recent </w:t>
      </w:r>
      <w:r w:rsidRPr="00E6494F">
        <w:t xml:space="preserve">scientific advice from </w:t>
      </w:r>
      <w:r w:rsidR="00E000C7">
        <w:t xml:space="preserve">the </w:t>
      </w:r>
      <w:r w:rsidRPr="00E6494F">
        <w:rPr>
          <w:noProof/>
        </w:rPr>
        <w:t>International Council for the Exploration of the Sea (ICES)</w:t>
      </w:r>
      <w:r w:rsidR="008F3235">
        <w:rPr>
          <w:noProof/>
        </w:rPr>
        <w:t>,</w:t>
      </w:r>
      <w:r w:rsidRPr="00E6494F">
        <w:t xml:space="preserve"> the amendment establishes:</w:t>
      </w:r>
    </w:p>
    <w:p w:rsidR="00F45236" w:rsidRPr="00E6494F" w:rsidRDefault="00F45236" w:rsidP="00A847FF">
      <w:pPr>
        <w:pStyle w:val="Tiret0"/>
        <w:numPr>
          <w:ilvl w:val="0"/>
          <w:numId w:val="33"/>
        </w:numPr>
      </w:pPr>
      <w:r w:rsidRPr="00E6494F">
        <w:t xml:space="preserve">a derogation from the obligation to count catches against the relevant quotas for herring in ICES division </w:t>
      </w:r>
      <w:proofErr w:type="spellStart"/>
      <w:r w:rsidRPr="00E6494F">
        <w:t>IIIa</w:t>
      </w:r>
      <w:proofErr w:type="spellEnd"/>
      <w:r w:rsidRPr="00E6494F">
        <w:t xml:space="preserve"> considering that this stock is within safe biological limits;</w:t>
      </w:r>
    </w:p>
    <w:p w:rsidR="000A679C" w:rsidRPr="00E6494F" w:rsidRDefault="00F45236" w:rsidP="00A847FF">
      <w:pPr>
        <w:pStyle w:val="Tiret0"/>
      </w:pPr>
      <w:r w:rsidRPr="00E6494F">
        <w:t xml:space="preserve">a limited increase of the 2015 total allowable catch (TAC) for herring in ICES divisions </w:t>
      </w:r>
      <w:proofErr w:type="spellStart"/>
      <w:r w:rsidRPr="00E6494F">
        <w:t>VIIg</w:t>
      </w:r>
      <w:proofErr w:type="spellEnd"/>
      <w:r w:rsidRPr="00E6494F">
        <w:t xml:space="preserve">, </w:t>
      </w:r>
      <w:proofErr w:type="spellStart"/>
      <w:r w:rsidRPr="00E6494F">
        <w:t>VIIh</w:t>
      </w:r>
      <w:proofErr w:type="spellEnd"/>
      <w:r w:rsidRPr="00E6494F">
        <w:t xml:space="preserve">, </w:t>
      </w:r>
      <w:proofErr w:type="spellStart"/>
      <w:r w:rsidRPr="00E6494F">
        <w:t>VIIj</w:t>
      </w:r>
      <w:proofErr w:type="spellEnd"/>
      <w:r w:rsidRPr="00E6494F">
        <w:t xml:space="preserve"> and </w:t>
      </w:r>
      <w:proofErr w:type="spellStart"/>
      <w:r w:rsidRPr="00E6494F">
        <w:t>VIIk</w:t>
      </w:r>
      <w:proofErr w:type="spellEnd"/>
      <w:r w:rsidRPr="00E6494F">
        <w:t>;</w:t>
      </w:r>
    </w:p>
    <w:p w:rsidR="00F45236" w:rsidRPr="00E6494F" w:rsidRDefault="00F45236" w:rsidP="00E000C7">
      <w:pPr>
        <w:pStyle w:val="Tiret0"/>
      </w:pPr>
      <w:r w:rsidRPr="00E6494F">
        <w:t xml:space="preserve">an increase </w:t>
      </w:r>
      <w:r w:rsidR="00E000C7">
        <w:t>in</w:t>
      </w:r>
      <w:r w:rsidRPr="00E6494F">
        <w:t xml:space="preserve"> the TAC for plaice in ICES division </w:t>
      </w:r>
      <w:proofErr w:type="spellStart"/>
      <w:r w:rsidRPr="00E6494F">
        <w:t>VIId</w:t>
      </w:r>
      <w:proofErr w:type="spellEnd"/>
      <w:r w:rsidR="00E000C7">
        <w:t>, which</w:t>
      </w:r>
      <w:r w:rsidRPr="00E6494F">
        <w:t xml:space="preserve"> would reduce discards;</w:t>
      </w:r>
    </w:p>
    <w:p w:rsidR="00F45236" w:rsidRPr="00E6494F" w:rsidRDefault="00F45236" w:rsidP="00E000C7">
      <w:pPr>
        <w:pStyle w:val="Tiret0"/>
      </w:pPr>
      <w:r w:rsidRPr="00E6494F">
        <w:t xml:space="preserve">an increase </w:t>
      </w:r>
      <w:r w:rsidR="00E000C7">
        <w:t>in</w:t>
      </w:r>
      <w:r w:rsidRPr="00E6494F">
        <w:t xml:space="preserve"> the TAC for sprat in Union waters of ICES division </w:t>
      </w:r>
      <w:proofErr w:type="spellStart"/>
      <w:r w:rsidRPr="00E6494F">
        <w:t>IIa</w:t>
      </w:r>
      <w:proofErr w:type="spellEnd"/>
      <w:r w:rsidRPr="00E6494F">
        <w:t xml:space="preserve"> and ICES subarea IV to optimise harvesting of that stock;</w:t>
      </w:r>
    </w:p>
    <w:p w:rsidR="00F45236" w:rsidRPr="00E6494F" w:rsidRDefault="00F45236" w:rsidP="00E000C7">
      <w:pPr>
        <w:pStyle w:val="Tiret0"/>
      </w:pPr>
      <w:r w:rsidRPr="00E6494F">
        <w:t xml:space="preserve">an extension of the current TAC for Norway pout in ICES division </w:t>
      </w:r>
      <w:proofErr w:type="spellStart"/>
      <w:r w:rsidRPr="00E6494F">
        <w:t>IIIa</w:t>
      </w:r>
      <w:proofErr w:type="spellEnd"/>
      <w:r w:rsidRPr="00E6494F">
        <w:t xml:space="preserve"> and Union waters of division </w:t>
      </w:r>
      <w:proofErr w:type="spellStart"/>
      <w:r w:rsidRPr="00E6494F">
        <w:t>IIa</w:t>
      </w:r>
      <w:proofErr w:type="spellEnd"/>
      <w:r w:rsidRPr="00E6494F">
        <w:t xml:space="preserve"> and subarea IV pending ICES advice on this stock;</w:t>
      </w:r>
    </w:p>
    <w:p w:rsidR="004267BC" w:rsidRPr="00E6494F" w:rsidRDefault="00F45236" w:rsidP="00E000C7">
      <w:pPr>
        <w:pStyle w:val="Tiret0"/>
      </w:pPr>
      <w:r w:rsidRPr="00E6494F">
        <w:t xml:space="preserve">an increase </w:t>
      </w:r>
      <w:r w:rsidR="00E000C7">
        <w:t>in</w:t>
      </w:r>
      <w:r w:rsidR="00E000C7" w:rsidRPr="00E6494F">
        <w:t xml:space="preserve"> </w:t>
      </w:r>
      <w:r w:rsidRPr="00E6494F">
        <w:t>the fishing of redfish in Norwegian waters of ICES subareas I and II following a transfer from Norway.</w:t>
      </w:r>
    </w:p>
    <w:p w:rsidR="00F45236" w:rsidRPr="00E6494F" w:rsidRDefault="00AB13F5" w:rsidP="00A847FF">
      <w:pPr>
        <w:pStyle w:val="ItemApproved"/>
      </w:pPr>
      <w:r>
        <w:br w:type="page"/>
      </w:r>
      <w:r w:rsidR="00F45236" w:rsidRPr="00E6494F">
        <w:lastRenderedPageBreak/>
        <w:t>TELECOMMUNICATIONS</w:t>
      </w:r>
    </w:p>
    <w:p w:rsidR="00F45236" w:rsidRPr="00E6494F" w:rsidRDefault="00F45236" w:rsidP="00A847FF">
      <w:pPr>
        <w:pStyle w:val="Sub-itemApproved"/>
      </w:pPr>
      <w:bookmarkStart w:id="21" w:name="_Toc436654361"/>
      <w:r w:rsidRPr="00E6494F">
        <w:t xml:space="preserve">World </w:t>
      </w:r>
      <w:proofErr w:type="spellStart"/>
      <w:r w:rsidRPr="00E6494F">
        <w:t>Radiocommunication</w:t>
      </w:r>
      <w:proofErr w:type="spellEnd"/>
      <w:r w:rsidRPr="00E6494F">
        <w:t xml:space="preserve"> Conference</w:t>
      </w:r>
      <w:bookmarkEnd w:id="21"/>
    </w:p>
    <w:p w:rsidR="00F45236" w:rsidRPr="00E6494F" w:rsidRDefault="00F45236" w:rsidP="00F45236">
      <w:r w:rsidRPr="00E6494F">
        <w:t xml:space="preserve">The Council adopted conclusions on the World </w:t>
      </w:r>
      <w:proofErr w:type="spellStart"/>
      <w:r w:rsidRPr="00E6494F">
        <w:t>Radiocommunication</w:t>
      </w:r>
      <w:proofErr w:type="spellEnd"/>
      <w:r w:rsidRPr="00E6494F">
        <w:t xml:space="preserve"> Conference 2015 (WRC-15) of the International Telecommunication Union (ITU). The conclusions set out common policy objectives to be pursued by the member states at the conference.</w:t>
      </w:r>
    </w:p>
    <w:p w:rsidR="00F45236" w:rsidRPr="00E6494F" w:rsidRDefault="00F45236" w:rsidP="00E000C7">
      <w:r w:rsidRPr="00E6494F">
        <w:t xml:space="preserve">The WRC-15 will be held </w:t>
      </w:r>
      <w:r w:rsidR="00E000C7">
        <w:t xml:space="preserve">in Geneva from </w:t>
      </w:r>
      <w:r w:rsidRPr="00E6494F">
        <w:t>2</w:t>
      </w:r>
      <w:r w:rsidR="00E000C7">
        <w:t xml:space="preserve"> to </w:t>
      </w:r>
      <w:r w:rsidRPr="00E6494F">
        <w:t>27 November 2015.</w:t>
      </w:r>
    </w:p>
    <w:p w:rsidR="00101339" w:rsidRPr="00E6494F" w:rsidRDefault="00101339" w:rsidP="00A847FF">
      <w:pPr>
        <w:pStyle w:val="ItemApproved"/>
      </w:pPr>
      <w:r w:rsidRPr="00E6494F">
        <w:t>TRANSPARENCY</w:t>
      </w:r>
    </w:p>
    <w:p w:rsidR="00101339" w:rsidRPr="00E6494F" w:rsidRDefault="00101339" w:rsidP="00A847FF">
      <w:pPr>
        <w:pStyle w:val="Sub-itemApproved"/>
      </w:pPr>
      <w:bookmarkStart w:id="22" w:name="_Toc436654363"/>
      <w:r w:rsidRPr="00E6494F">
        <w:t>Transparency - Public access to documents</w:t>
      </w:r>
      <w:bookmarkEnd w:id="22"/>
    </w:p>
    <w:p w:rsidR="00101339" w:rsidRPr="00E6494F" w:rsidRDefault="00101339" w:rsidP="00101339">
      <w:pPr>
        <w:pStyle w:val="EndnoteText"/>
        <w:suppressAutoHyphens/>
        <w:rPr>
          <w:lang w:val="en-GB"/>
        </w:rPr>
      </w:pPr>
      <w:r w:rsidRPr="00E6494F">
        <w:rPr>
          <w:lang w:val="en-GB"/>
        </w:rPr>
        <w:t>On 26 October</w:t>
      </w:r>
      <w:r w:rsidRPr="00E6494F">
        <w:rPr>
          <w:b/>
          <w:lang w:val="en-GB"/>
        </w:rPr>
        <w:t xml:space="preserve"> </w:t>
      </w:r>
      <w:r w:rsidRPr="00E6494F">
        <w:rPr>
          <w:lang w:val="en-GB"/>
        </w:rPr>
        <w:t>2015, the Council approved:</w:t>
      </w:r>
    </w:p>
    <w:p w:rsidR="00101339" w:rsidRPr="00E6494F" w:rsidRDefault="00101339" w:rsidP="004F7CF7">
      <w:pPr>
        <w:pStyle w:val="Tiret0"/>
      </w:pPr>
      <w:r w:rsidRPr="00E6494F">
        <w:t>the reply to confirmatory application No 21/c/01/15 (</w:t>
      </w:r>
      <w:hyperlink r:id="rId37" w:tooltip="http://data.consilium.europa.eu/doc/document/ST-12221-2015-INIT/en/pdf" w:history="1">
        <w:r w:rsidR="00AB13F5">
          <w:rPr>
            <w:rStyle w:val="Hyperlink"/>
            <w:i/>
            <w:iCs/>
          </w:rPr>
          <w:t>12221/15</w:t>
        </w:r>
      </w:hyperlink>
      <w:r w:rsidRPr="00E6494F">
        <w:t>).</w:t>
      </w:r>
    </w:p>
    <w:p w:rsidR="00895676" w:rsidRPr="00E6494F" w:rsidRDefault="00895676" w:rsidP="00CA4EB2">
      <w:pPr>
        <w:pStyle w:val="FinalLine"/>
        <w:jc w:val="left"/>
      </w:pPr>
      <w:bookmarkStart w:id="23" w:name="_GoBack"/>
      <w:bookmarkEnd w:id="23"/>
    </w:p>
    <w:sectPr w:rsidR="00895676" w:rsidRPr="00E6494F" w:rsidSect="00AB13F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BC" w:rsidRDefault="004267BC">
      <w:pPr>
        <w:spacing w:before="0" w:after="0"/>
      </w:pPr>
      <w:r>
        <w:separator/>
      </w:r>
    </w:p>
  </w:endnote>
  <w:endnote w:type="continuationSeparator" w:id="0">
    <w:p w:rsidR="004267BC" w:rsidRDefault="004267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B" w:rsidRDefault="00232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B13F5" w:rsidRPr="007410E8" w:rsidTr="00AB13F5">
      <w:trPr>
        <w:jc w:val="center"/>
      </w:trPr>
      <w:tc>
        <w:tcPr>
          <w:tcW w:w="2604" w:type="pct"/>
          <w:shd w:val="clear" w:color="auto" w:fill="auto"/>
        </w:tcPr>
        <w:p w:rsidR="00AB13F5" w:rsidRPr="007410E8" w:rsidRDefault="00AB13F5" w:rsidP="0035025C">
          <w:pPr>
            <w:pStyle w:val="FooterText"/>
            <w:rPr>
              <w:sz w:val="16"/>
              <w:szCs w:val="16"/>
            </w:rPr>
          </w:pPr>
          <w:bookmarkStart w:id="1" w:name="FOOTER_PR_STANDARD"/>
        </w:p>
      </w:tc>
      <w:tc>
        <w:tcPr>
          <w:tcW w:w="1319" w:type="pct"/>
          <w:shd w:val="clear" w:color="auto" w:fill="auto"/>
        </w:tcPr>
        <w:p w:rsidR="00AB13F5" w:rsidRPr="007410E8" w:rsidRDefault="00AB13F5" w:rsidP="0035025C">
          <w:pPr>
            <w:pStyle w:val="FooterText"/>
            <w:rPr>
              <w:sz w:val="16"/>
              <w:szCs w:val="16"/>
            </w:rPr>
          </w:pPr>
        </w:p>
      </w:tc>
      <w:tc>
        <w:tcPr>
          <w:tcW w:w="1077" w:type="pct"/>
          <w:shd w:val="clear" w:color="auto" w:fill="auto"/>
        </w:tcPr>
        <w:p w:rsidR="00AB13F5" w:rsidRPr="007410E8" w:rsidRDefault="00AB13F5" w:rsidP="0035025C">
          <w:pPr>
            <w:pStyle w:val="FooterText"/>
            <w:jc w:val="right"/>
            <w:rPr>
              <w:sz w:val="16"/>
              <w:szCs w:val="16"/>
            </w:rPr>
          </w:pPr>
        </w:p>
      </w:tc>
    </w:tr>
    <w:tr w:rsidR="00AB13F5" w:rsidRPr="007410E8" w:rsidTr="00AB13F5">
      <w:trPr>
        <w:jc w:val="center"/>
      </w:trPr>
      <w:tc>
        <w:tcPr>
          <w:tcW w:w="2604" w:type="pct"/>
          <w:shd w:val="clear" w:color="auto" w:fill="auto"/>
        </w:tcPr>
        <w:p w:rsidR="00AB13F5" w:rsidRPr="007410E8" w:rsidRDefault="00AB13F5" w:rsidP="0035025C">
          <w:pPr>
            <w:pStyle w:val="FooterText"/>
            <w:rPr>
              <w:sz w:val="16"/>
            </w:rPr>
          </w:pPr>
          <w:r>
            <w:t>13357/15</w:t>
          </w:r>
          <w:r w:rsidRPr="002511D8">
            <w:t xml:space="preserve"> </w:t>
          </w:r>
        </w:p>
      </w:tc>
      <w:tc>
        <w:tcPr>
          <w:tcW w:w="1319" w:type="pct"/>
          <w:shd w:val="clear" w:color="auto" w:fill="auto"/>
        </w:tcPr>
        <w:p w:rsidR="00AB13F5" w:rsidRPr="007410E8" w:rsidRDefault="00AB13F5" w:rsidP="0035025C">
          <w:pPr>
            <w:pStyle w:val="FooterText"/>
            <w:rPr>
              <w:sz w:val="16"/>
            </w:rPr>
          </w:pPr>
        </w:p>
      </w:tc>
      <w:tc>
        <w:tcPr>
          <w:tcW w:w="1077" w:type="pct"/>
          <w:shd w:val="clear" w:color="auto" w:fill="auto"/>
        </w:tcPr>
        <w:p w:rsidR="00AB13F5" w:rsidRPr="007410E8" w:rsidRDefault="00AB13F5" w:rsidP="0035025C">
          <w:pPr>
            <w:pStyle w:val="FooterText"/>
            <w:jc w:val="right"/>
            <w:rPr>
              <w:sz w:val="16"/>
            </w:rPr>
          </w:pPr>
          <w:r>
            <w:fldChar w:fldCharType="begin"/>
          </w:r>
          <w:r>
            <w:instrText xml:space="preserve"> PAGE  \* MERGEFORMAT </w:instrText>
          </w:r>
          <w:r>
            <w:fldChar w:fldCharType="separate"/>
          </w:r>
          <w:r w:rsidR="002327FB">
            <w:rPr>
              <w:noProof/>
            </w:rPr>
            <w:t>13</w:t>
          </w:r>
          <w:r>
            <w:fldChar w:fldCharType="end"/>
          </w:r>
        </w:p>
      </w:tc>
    </w:tr>
    <w:tr w:rsidR="00AB13F5" w:rsidRPr="007410E8" w:rsidTr="00AB13F5">
      <w:trPr>
        <w:jc w:val="center"/>
      </w:trPr>
      <w:tc>
        <w:tcPr>
          <w:tcW w:w="2604" w:type="pct"/>
          <w:shd w:val="clear" w:color="auto" w:fill="auto"/>
        </w:tcPr>
        <w:p w:rsidR="00AB13F5" w:rsidRPr="007410E8" w:rsidRDefault="00AB13F5" w:rsidP="0035025C">
          <w:pPr>
            <w:pStyle w:val="FooterText"/>
            <w:rPr>
              <w:sz w:val="16"/>
            </w:rPr>
          </w:pPr>
        </w:p>
      </w:tc>
      <w:tc>
        <w:tcPr>
          <w:tcW w:w="1319" w:type="pct"/>
          <w:shd w:val="clear" w:color="auto" w:fill="auto"/>
        </w:tcPr>
        <w:p w:rsidR="00AB13F5" w:rsidRPr="007410E8" w:rsidRDefault="00AB13F5" w:rsidP="0035025C">
          <w:pPr>
            <w:pStyle w:val="FooterText"/>
            <w:rPr>
              <w:sz w:val="16"/>
            </w:rPr>
          </w:pPr>
        </w:p>
      </w:tc>
      <w:tc>
        <w:tcPr>
          <w:tcW w:w="1077" w:type="pct"/>
          <w:shd w:val="clear" w:color="auto" w:fill="auto"/>
        </w:tcPr>
        <w:p w:rsidR="00AB13F5" w:rsidRPr="007410E8" w:rsidRDefault="00AB13F5" w:rsidP="0035025C">
          <w:pPr>
            <w:pStyle w:val="FooterText"/>
            <w:jc w:val="right"/>
            <w:rPr>
              <w:sz w:val="16"/>
            </w:rPr>
          </w:pPr>
          <w:r>
            <w:rPr>
              <w:b/>
              <w:position w:val="-4"/>
              <w:sz w:val="36"/>
            </w:rPr>
            <w:t>EN</w:t>
          </w:r>
        </w:p>
      </w:tc>
    </w:tr>
    <w:bookmarkEnd w:id="1"/>
  </w:tbl>
  <w:p w:rsidR="00926EAF" w:rsidRPr="00AB13F5" w:rsidRDefault="00926EAF" w:rsidP="00AB13F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B13F5" w:rsidRPr="009C2FB3" w:rsidTr="00AB13F5">
      <w:trPr>
        <w:jc w:val="center"/>
      </w:trPr>
      <w:tc>
        <w:tcPr>
          <w:tcW w:w="569" w:type="pct"/>
          <w:shd w:val="clear" w:color="auto" w:fill="auto"/>
        </w:tcPr>
        <w:p w:rsidR="00AB13F5" w:rsidRPr="009C2FB3" w:rsidRDefault="00AB13F5" w:rsidP="0035025C">
          <w:pPr>
            <w:pStyle w:val="FooterText"/>
          </w:pPr>
          <w:bookmarkStart w:id="2" w:name="FOOTER_PR_COVERPAGE"/>
        </w:p>
      </w:tc>
      <w:tc>
        <w:tcPr>
          <w:tcW w:w="3760" w:type="pct"/>
          <w:gridSpan w:val="3"/>
          <w:shd w:val="clear" w:color="auto" w:fill="auto"/>
          <w:noWrap/>
        </w:tcPr>
        <w:p w:rsidR="00AB13F5" w:rsidRPr="00F37CD6" w:rsidRDefault="00AB13F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B13F5" w:rsidRPr="009C2FB3" w:rsidRDefault="00AB13F5" w:rsidP="0035025C">
          <w:pPr>
            <w:pStyle w:val="FooterText"/>
          </w:pPr>
        </w:p>
      </w:tc>
    </w:tr>
    <w:tr w:rsidR="00AB13F5" w:rsidRPr="002327FB" w:rsidTr="00AB13F5">
      <w:trPr>
        <w:jc w:val="center"/>
      </w:trPr>
      <w:tc>
        <w:tcPr>
          <w:tcW w:w="5000" w:type="pct"/>
          <w:gridSpan w:val="5"/>
          <w:shd w:val="clear" w:color="auto" w:fill="auto"/>
        </w:tcPr>
        <w:p w:rsidR="00AB13F5" w:rsidRPr="00AB13F5" w:rsidRDefault="00AB13F5" w:rsidP="0035025C">
          <w:pPr>
            <w:pStyle w:val="FooterAddressText"/>
            <w:rPr>
              <w:lang w:val="fr-BE"/>
            </w:rPr>
          </w:pPr>
        </w:p>
        <w:p w:rsidR="00AB13F5" w:rsidRPr="00AB13F5" w:rsidRDefault="00AB13F5" w:rsidP="0035025C">
          <w:pPr>
            <w:pStyle w:val="FooterAddressText"/>
            <w:rPr>
              <w:lang w:val="fr-BE"/>
            </w:rPr>
          </w:pPr>
          <w:r w:rsidRPr="00AB13F5">
            <w:rPr>
              <w:lang w:val="fr-BE"/>
            </w:rPr>
            <w:t>Rue de la Loi 175  B – 1048 BRUSSELS  Tel.: +32 (0)2 281 6319 / 6319  Fax: +32 (0)2 281 8026</w:t>
          </w:r>
        </w:p>
      </w:tc>
    </w:tr>
    <w:tr w:rsidR="00AB13F5" w:rsidRPr="002327FB" w:rsidTr="00AB13F5">
      <w:trPr>
        <w:jc w:val="center"/>
      </w:trPr>
      <w:tc>
        <w:tcPr>
          <w:tcW w:w="5000" w:type="pct"/>
          <w:gridSpan w:val="5"/>
          <w:shd w:val="clear" w:color="auto" w:fill="auto"/>
        </w:tcPr>
        <w:p w:rsidR="00AB13F5" w:rsidRPr="00AB13F5" w:rsidRDefault="002327FB" w:rsidP="0035025C">
          <w:pPr>
            <w:pStyle w:val="FooterText"/>
            <w:jc w:val="center"/>
            <w:rPr>
              <w:sz w:val="20"/>
              <w:szCs w:val="20"/>
              <w:lang w:val="fr-BE"/>
            </w:rPr>
          </w:pPr>
          <w:hyperlink r:id="rId1" w:history="1">
            <w:r w:rsidR="00AB13F5" w:rsidRPr="00AB13F5">
              <w:rPr>
                <w:rStyle w:val="Hyperlink"/>
                <w:sz w:val="20"/>
                <w:lang w:val="fr-BE"/>
              </w:rPr>
              <w:t>press.office@consilium.europa.eu</w:t>
            </w:r>
          </w:hyperlink>
          <w:r w:rsidR="00AB13F5" w:rsidRPr="00AB13F5">
            <w:rPr>
              <w:sz w:val="20"/>
              <w:szCs w:val="20"/>
              <w:lang w:val="fr-BE"/>
            </w:rPr>
            <w:t xml:space="preserve">  </w:t>
          </w:r>
          <w:hyperlink r:id="rId2" w:history="1">
            <w:r w:rsidR="00AB13F5" w:rsidRPr="00AB13F5">
              <w:rPr>
                <w:rStyle w:val="Hyperlink"/>
                <w:sz w:val="20"/>
                <w:lang w:val="fr-BE"/>
              </w:rPr>
              <w:t>http://www.consilium.europa.eu/press</w:t>
            </w:r>
          </w:hyperlink>
        </w:p>
      </w:tc>
    </w:tr>
    <w:tr w:rsidR="00AB13F5" w:rsidRPr="007410E8" w:rsidTr="00AB13F5">
      <w:trPr>
        <w:jc w:val="center"/>
      </w:trPr>
      <w:tc>
        <w:tcPr>
          <w:tcW w:w="2604" w:type="pct"/>
          <w:gridSpan w:val="2"/>
          <w:shd w:val="clear" w:color="auto" w:fill="auto"/>
        </w:tcPr>
        <w:p w:rsidR="00AB13F5" w:rsidRPr="007410E8" w:rsidRDefault="00AB13F5" w:rsidP="0035025C">
          <w:pPr>
            <w:pStyle w:val="FooterText"/>
            <w:spacing w:before="60"/>
            <w:rPr>
              <w:sz w:val="16"/>
            </w:rPr>
          </w:pPr>
          <w:r>
            <w:t>13357/15</w:t>
          </w:r>
          <w:r w:rsidRPr="002511D8">
            <w:t xml:space="preserve"> </w:t>
          </w:r>
        </w:p>
      </w:tc>
      <w:tc>
        <w:tcPr>
          <w:tcW w:w="1319" w:type="pct"/>
          <w:shd w:val="clear" w:color="auto" w:fill="auto"/>
        </w:tcPr>
        <w:p w:rsidR="00AB13F5" w:rsidRPr="007410E8" w:rsidRDefault="00AB13F5" w:rsidP="0035025C">
          <w:pPr>
            <w:pStyle w:val="FooterText"/>
            <w:spacing w:before="120"/>
            <w:rPr>
              <w:sz w:val="16"/>
            </w:rPr>
          </w:pPr>
        </w:p>
      </w:tc>
      <w:tc>
        <w:tcPr>
          <w:tcW w:w="1077" w:type="pct"/>
          <w:gridSpan w:val="2"/>
          <w:shd w:val="clear" w:color="auto" w:fill="auto"/>
        </w:tcPr>
        <w:p w:rsidR="00AB13F5" w:rsidRPr="007410E8" w:rsidRDefault="00AB13F5" w:rsidP="0035025C">
          <w:pPr>
            <w:pStyle w:val="FooterText"/>
            <w:spacing w:before="60"/>
            <w:jc w:val="right"/>
            <w:rPr>
              <w:sz w:val="16"/>
            </w:rPr>
          </w:pPr>
          <w:r>
            <w:fldChar w:fldCharType="begin"/>
          </w:r>
          <w:r>
            <w:instrText xml:space="preserve"> PAGE  \* MERGEFORMAT </w:instrText>
          </w:r>
          <w:r>
            <w:fldChar w:fldCharType="separate"/>
          </w:r>
          <w:r w:rsidR="002327FB">
            <w:rPr>
              <w:noProof/>
            </w:rPr>
            <w:t>1</w:t>
          </w:r>
          <w:r>
            <w:fldChar w:fldCharType="end"/>
          </w:r>
        </w:p>
      </w:tc>
    </w:tr>
    <w:tr w:rsidR="00AB13F5" w:rsidRPr="007410E8" w:rsidTr="00AB13F5">
      <w:trPr>
        <w:jc w:val="center"/>
      </w:trPr>
      <w:tc>
        <w:tcPr>
          <w:tcW w:w="2604" w:type="pct"/>
          <w:gridSpan w:val="2"/>
          <w:shd w:val="clear" w:color="auto" w:fill="auto"/>
        </w:tcPr>
        <w:p w:rsidR="00AB13F5" w:rsidRPr="007410E8" w:rsidRDefault="00AB13F5" w:rsidP="0035025C">
          <w:pPr>
            <w:pStyle w:val="FooterText"/>
            <w:rPr>
              <w:sz w:val="16"/>
            </w:rPr>
          </w:pPr>
        </w:p>
      </w:tc>
      <w:tc>
        <w:tcPr>
          <w:tcW w:w="1319" w:type="pct"/>
          <w:shd w:val="clear" w:color="auto" w:fill="auto"/>
        </w:tcPr>
        <w:p w:rsidR="00AB13F5" w:rsidRPr="007410E8" w:rsidRDefault="00AB13F5" w:rsidP="0035025C">
          <w:pPr>
            <w:pStyle w:val="FooterText"/>
            <w:rPr>
              <w:sz w:val="16"/>
            </w:rPr>
          </w:pPr>
        </w:p>
      </w:tc>
      <w:tc>
        <w:tcPr>
          <w:tcW w:w="1077" w:type="pct"/>
          <w:gridSpan w:val="2"/>
          <w:shd w:val="clear" w:color="auto" w:fill="auto"/>
        </w:tcPr>
        <w:p w:rsidR="00AB13F5" w:rsidRPr="007410E8" w:rsidRDefault="00AB13F5" w:rsidP="0035025C">
          <w:pPr>
            <w:pStyle w:val="FooterText"/>
            <w:jc w:val="right"/>
            <w:rPr>
              <w:sz w:val="16"/>
            </w:rPr>
          </w:pPr>
          <w:r>
            <w:rPr>
              <w:b/>
              <w:position w:val="-4"/>
              <w:sz w:val="36"/>
            </w:rPr>
            <w:t>EN</w:t>
          </w:r>
        </w:p>
      </w:tc>
    </w:tr>
    <w:bookmarkEnd w:id="2"/>
  </w:tbl>
  <w:p w:rsidR="00926EAF" w:rsidRPr="00AB13F5" w:rsidRDefault="00926EAF" w:rsidP="00AB13F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B13F5" w:rsidRPr="007410E8" w:rsidTr="00AB13F5">
      <w:trPr>
        <w:jc w:val="center"/>
      </w:trPr>
      <w:tc>
        <w:tcPr>
          <w:tcW w:w="5000" w:type="pct"/>
          <w:gridSpan w:val="3"/>
          <w:shd w:val="clear" w:color="auto" w:fill="auto"/>
        </w:tcPr>
        <w:p w:rsidR="00AB13F5" w:rsidRPr="007410E8" w:rsidRDefault="00AB13F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B13F5" w:rsidRPr="007410E8" w:rsidRDefault="00AB13F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B13F5" w:rsidRPr="007410E8" w:rsidRDefault="00AB13F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B13F5" w:rsidRPr="007410E8" w:rsidRDefault="00AB13F5" w:rsidP="0035025C">
          <w:pPr>
            <w:pStyle w:val="FooterText"/>
            <w:tabs>
              <w:tab w:val="left" w:pos="285"/>
              <w:tab w:val="left" w:pos="585"/>
            </w:tabs>
            <w:rPr>
              <w:sz w:val="21"/>
              <w:szCs w:val="21"/>
            </w:rPr>
          </w:pPr>
        </w:p>
      </w:tc>
    </w:tr>
    <w:tr w:rsidR="00AB13F5" w:rsidRPr="007410E8" w:rsidTr="00AB13F5">
      <w:trPr>
        <w:jc w:val="center"/>
      </w:trPr>
      <w:tc>
        <w:tcPr>
          <w:tcW w:w="2604" w:type="pct"/>
          <w:shd w:val="clear" w:color="auto" w:fill="auto"/>
        </w:tcPr>
        <w:p w:rsidR="00AB13F5" w:rsidRPr="007410E8" w:rsidRDefault="00AB13F5" w:rsidP="0035025C">
          <w:pPr>
            <w:pStyle w:val="FooterText"/>
            <w:rPr>
              <w:sz w:val="16"/>
            </w:rPr>
          </w:pPr>
          <w:r>
            <w:t>13357/15</w:t>
          </w:r>
          <w:r w:rsidRPr="002511D8">
            <w:t xml:space="preserve"> </w:t>
          </w:r>
        </w:p>
      </w:tc>
      <w:tc>
        <w:tcPr>
          <w:tcW w:w="1319" w:type="pct"/>
          <w:shd w:val="clear" w:color="auto" w:fill="auto"/>
        </w:tcPr>
        <w:p w:rsidR="00AB13F5" w:rsidRPr="007410E8" w:rsidRDefault="00AB13F5" w:rsidP="0035025C">
          <w:pPr>
            <w:pStyle w:val="FooterText"/>
            <w:rPr>
              <w:sz w:val="16"/>
            </w:rPr>
          </w:pPr>
        </w:p>
      </w:tc>
      <w:tc>
        <w:tcPr>
          <w:tcW w:w="1077" w:type="pct"/>
          <w:shd w:val="clear" w:color="auto" w:fill="auto"/>
        </w:tcPr>
        <w:p w:rsidR="00AB13F5" w:rsidRPr="007410E8" w:rsidRDefault="00AB13F5" w:rsidP="0035025C">
          <w:pPr>
            <w:pStyle w:val="FooterText"/>
            <w:jc w:val="right"/>
            <w:rPr>
              <w:sz w:val="16"/>
            </w:rPr>
          </w:pPr>
          <w:r>
            <w:fldChar w:fldCharType="begin"/>
          </w:r>
          <w:r>
            <w:instrText xml:space="preserve"> PAGE  \* MERGEFORMAT </w:instrText>
          </w:r>
          <w:r>
            <w:fldChar w:fldCharType="separate"/>
          </w:r>
          <w:r w:rsidR="002327FB">
            <w:rPr>
              <w:noProof/>
            </w:rPr>
            <w:t>2</w:t>
          </w:r>
          <w:r>
            <w:fldChar w:fldCharType="end"/>
          </w:r>
        </w:p>
      </w:tc>
    </w:tr>
    <w:tr w:rsidR="00AB13F5" w:rsidRPr="007410E8" w:rsidTr="00AB13F5">
      <w:trPr>
        <w:jc w:val="center"/>
      </w:trPr>
      <w:tc>
        <w:tcPr>
          <w:tcW w:w="2604" w:type="pct"/>
          <w:shd w:val="clear" w:color="auto" w:fill="auto"/>
        </w:tcPr>
        <w:p w:rsidR="00AB13F5" w:rsidRPr="007410E8" w:rsidRDefault="00AB13F5" w:rsidP="0035025C">
          <w:pPr>
            <w:pStyle w:val="FooterText"/>
            <w:rPr>
              <w:sz w:val="16"/>
            </w:rPr>
          </w:pPr>
        </w:p>
      </w:tc>
      <w:tc>
        <w:tcPr>
          <w:tcW w:w="1319" w:type="pct"/>
          <w:shd w:val="clear" w:color="auto" w:fill="auto"/>
        </w:tcPr>
        <w:p w:rsidR="00AB13F5" w:rsidRPr="007410E8" w:rsidRDefault="00AB13F5" w:rsidP="0035025C">
          <w:pPr>
            <w:pStyle w:val="FooterText"/>
            <w:rPr>
              <w:sz w:val="16"/>
            </w:rPr>
          </w:pPr>
        </w:p>
      </w:tc>
      <w:tc>
        <w:tcPr>
          <w:tcW w:w="1077" w:type="pct"/>
          <w:shd w:val="clear" w:color="auto" w:fill="auto"/>
        </w:tcPr>
        <w:p w:rsidR="00AB13F5" w:rsidRPr="007410E8" w:rsidRDefault="00AB13F5" w:rsidP="0035025C">
          <w:pPr>
            <w:pStyle w:val="FooterText"/>
            <w:jc w:val="right"/>
            <w:rPr>
              <w:sz w:val="16"/>
            </w:rPr>
          </w:pPr>
          <w:r>
            <w:rPr>
              <w:b/>
              <w:position w:val="-4"/>
              <w:sz w:val="36"/>
            </w:rPr>
            <w:t>EN</w:t>
          </w:r>
        </w:p>
      </w:tc>
    </w:tr>
    <w:bookmarkEnd w:id="4"/>
  </w:tbl>
  <w:p w:rsidR="004267BC" w:rsidRPr="00AB13F5" w:rsidRDefault="004267BC" w:rsidP="00AB13F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BC" w:rsidRDefault="004267BC">
      <w:pPr>
        <w:spacing w:before="0" w:after="0"/>
      </w:pPr>
      <w:r>
        <w:separator/>
      </w:r>
    </w:p>
  </w:footnote>
  <w:footnote w:type="continuationSeparator" w:id="0">
    <w:p w:rsidR="004267BC" w:rsidRDefault="004267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B" w:rsidRDefault="00232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B" w:rsidRDefault="00232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B" w:rsidRDefault="002327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B13F5" w:rsidRPr="007410E8" w:rsidTr="00AB13F5">
      <w:trPr>
        <w:jc w:val="center"/>
      </w:trPr>
      <w:tc>
        <w:tcPr>
          <w:tcW w:w="2500" w:type="pct"/>
          <w:shd w:val="clear" w:color="auto" w:fill="auto"/>
        </w:tcPr>
        <w:p w:rsidR="00AB13F5" w:rsidRPr="007410E8" w:rsidRDefault="00AB13F5" w:rsidP="0035025C">
          <w:pPr>
            <w:pStyle w:val="HeaderText"/>
            <w:rPr>
              <w:b/>
              <w:i/>
              <w:sz w:val="16"/>
              <w:u w:val="single"/>
            </w:rPr>
          </w:pPr>
          <w:bookmarkStart w:id="3" w:name="HEADER_PRMEET"/>
        </w:p>
      </w:tc>
      <w:tc>
        <w:tcPr>
          <w:tcW w:w="2500" w:type="pct"/>
          <w:shd w:val="clear" w:color="auto" w:fill="auto"/>
        </w:tcPr>
        <w:p w:rsidR="00AB13F5" w:rsidRPr="007410E8" w:rsidRDefault="00AB13F5" w:rsidP="00AB13F5">
          <w:pPr>
            <w:pStyle w:val="HeaderText"/>
            <w:jc w:val="right"/>
            <w:rPr>
              <w:sz w:val="16"/>
            </w:rPr>
          </w:pPr>
          <w:r w:rsidRPr="00AB13F5">
            <w:t>26 October 2015</w:t>
          </w:r>
        </w:p>
      </w:tc>
    </w:tr>
    <w:bookmarkEnd w:id="3"/>
  </w:tbl>
  <w:p w:rsidR="004267BC" w:rsidRPr="00AB13F5" w:rsidRDefault="004267BC" w:rsidP="00AB13F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B13F5" w:rsidRPr="007410E8" w:rsidTr="00AB13F5">
      <w:trPr>
        <w:jc w:val="center"/>
      </w:trPr>
      <w:tc>
        <w:tcPr>
          <w:tcW w:w="2500" w:type="pct"/>
          <w:shd w:val="clear" w:color="auto" w:fill="auto"/>
        </w:tcPr>
        <w:p w:rsidR="00AB13F5" w:rsidRPr="007410E8" w:rsidRDefault="00AB13F5" w:rsidP="0035025C">
          <w:pPr>
            <w:pStyle w:val="HeaderText"/>
            <w:rPr>
              <w:b/>
              <w:i/>
              <w:sz w:val="16"/>
              <w:u w:val="single"/>
            </w:rPr>
          </w:pPr>
        </w:p>
      </w:tc>
      <w:tc>
        <w:tcPr>
          <w:tcW w:w="2500" w:type="pct"/>
          <w:shd w:val="clear" w:color="auto" w:fill="auto"/>
        </w:tcPr>
        <w:p w:rsidR="00AB13F5" w:rsidRPr="007410E8" w:rsidRDefault="00AB13F5" w:rsidP="00AB13F5">
          <w:pPr>
            <w:pStyle w:val="HeaderText"/>
            <w:jc w:val="right"/>
            <w:rPr>
              <w:sz w:val="16"/>
            </w:rPr>
          </w:pPr>
          <w:r w:rsidRPr="00AB13F5">
            <w:t>26 October 2015</w:t>
          </w:r>
        </w:p>
      </w:tc>
    </w:tr>
  </w:tbl>
  <w:p w:rsidR="004267BC" w:rsidRPr="00AB13F5" w:rsidRDefault="004267BC" w:rsidP="00AB13F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4"/>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 w:numId="33">
    <w:abstractNumId w:val="4"/>
    <w:lvlOverride w:ilvl="0">
      <w:startOverride w:val="1"/>
    </w:lvlOverride>
  </w:num>
  <w:num w:numId="34">
    <w:abstractNumId w:val="4"/>
  </w:num>
  <w:num w:numId="35">
    <w:abstractNumId w:val="12"/>
  </w:num>
  <w:num w:numId="36">
    <w:abstractNumId w:val="6"/>
  </w:num>
  <w:num w:numId="37">
    <w:abstractNumId w:val="5"/>
  </w:num>
  <w:num w:numId="38">
    <w:abstractNumId w:val="1"/>
  </w:num>
  <w:num w:numId="39">
    <w:abstractNumId w:val="13"/>
  </w:num>
  <w:num w:numId="40">
    <w:abstractNumId w:val="2"/>
  </w:num>
  <w:num w:numId="41">
    <w:abstractNumId w:val="3"/>
  </w:num>
  <w:num w:numId="42">
    <w:abstractNumId w:val="11"/>
  </w:num>
  <w:num w:numId="43">
    <w:abstractNumId w:val="8"/>
  </w:num>
  <w:num w:numId="44">
    <w:abstractNumId w:val="0"/>
  </w:num>
  <w:num w:numId="45">
    <w:abstractNumId w:val="14"/>
  </w:num>
  <w:num w:numId="46">
    <w:abstractNumId w:val="10"/>
  </w:num>
  <w:num w:numId="47">
    <w:abstractNumId w:val="9"/>
  </w:num>
  <w:num w:numId="48">
    <w:abstractNumId w:val="7"/>
  </w:num>
  <w:num w:numId="4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955fa6b2-a8b1-4504-932e-5c579e57c95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35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3&lt;/text&gt;_x000d__x000a_      &lt;text&gt;PR CO 5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Luxembourg Minister for the Environment&quot; name=&quot;Carole Dieschbourg&quot; text=&quot;Carole Dieschbourg, Luxembourg Minister for the Environment&quot; genderKeyBds=&quot;gend_02&quot; /&gt;_x000d__x000a_    &lt;/presidents&gt;_x000d__x000a_  &lt;/metadata&gt;_x000d__x000a_  &lt;metadata key=&quot;md_MeetingNumber&quot;&gt;_x000d__x000a_    &lt;text&gt;3419th meeting&lt;/text&gt;_x000d__x000a_  &lt;/metadata&gt;_x000d__x000a_  &lt;metadata key=&quot;md_CouncilConfiguration&quot;&gt;_x000d__x000a_    &lt;basicdatatype&gt;_x000d__x000a_      &lt;configuration key=&quot;cc_09&quot; text=&quot;Environment&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267BC"/>
    <w:rsid w:val="00014690"/>
    <w:rsid w:val="00027F49"/>
    <w:rsid w:val="00035E1C"/>
    <w:rsid w:val="00053F2E"/>
    <w:rsid w:val="000809DA"/>
    <w:rsid w:val="00091275"/>
    <w:rsid w:val="000A63B0"/>
    <w:rsid w:val="000A679C"/>
    <w:rsid w:val="000F103F"/>
    <w:rsid w:val="00101339"/>
    <w:rsid w:val="00171588"/>
    <w:rsid w:val="00177A64"/>
    <w:rsid w:val="001C4977"/>
    <w:rsid w:val="002327FB"/>
    <w:rsid w:val="00243214"/>
    <w:rsid w:val="0026354A"/>
    <w:rsid w:val="002650B6"/>
    <w:rsid w:val="00285213"/>
    <w:rsid w:val="002C522D"/>
    <w:rsid w:val="002E0422"/>
    <w:rsid w:val="002F1CD9"/>
    <w:rsid w:val="003946C8"/>
    <w:rsid w:val="004267BC"/>
    <w:rsid w:val="00437DE8"/>
    <w:rsid w:val="00444113"/>
    <w:rsid w:val="004C7315"/>
    <w:rsid w:val="004F7CF7"/>
    <w:rsid w:val="00546259"/>
    <w:rsid w:val="005532D6"/>
    <w:rsid w:val="0056416D"/>
    <w:rsid w:val="005B20A4"/>
    <w:rsid w:val="006516EE"/>
    <w:rsid w:val="006811E5"/>
    <w:rsid w:val="006A56D8"/>
    <w:rsid w:val="006E26B9"/>
    <w:rsid w:val="006E2F9D"/>
    <w:rsid w:val="006F4E9F"/>
    <w:rsid w:val="00760808"/>
    <w:rsid w:val="007D2065"/>
    <w:rsid w:val="007D7ABC"/>
    <w:rsid w:val="00820712"/>
    <w:rsid w:val="00855F97"/>
    <w:rsid w:val="008774FD"/>
    <w:rsid w:val="00895676"/>
    <w:rsid w:val="008F3235"/>
    <w:rsid w:val="00926EAF"/>
    <w:rsid w:val="009539C4"/>
    <w:rsid w:val="009E324E"/>
    <w:rsid w:val="00A0338B"/>
    <w:rsid w:val="00A33747"/>
    <w:rsid w:val="00A36655"/>
    <w:rsid w:val="00A67613"/>
    <w:rsid w:val="00A76CDC"/>
    <w:rsid w:val="00A847FF"/>
    <w:rsid w:val="00AB13F5"/>
    <w:rsid w:val="00AE25F0"/>
    <w:rsid w:val="00AF5043"/>
    <w:rsid w:val="00B03546"/>
    <w:rsid w:val="00B34272"/>
    <w:rsid w:val="00BA215E"/>
    <w:rsid w:val="00BB4AA0"/>
    <w:rsid w:val="00BD54A3"/>
    <w:rsid w:val="00BE2CA6"/>
    <w:rsid w:val="00BF0EC9"/>
    <w:rsid w:val="00BF7608"/>
    <w:rsid w:val="00C57AAC"/>
    <w:rsid w:val="00C76419"/>
    <w:rsid w:val="00C91EFB"/>
    <w:rsid w:val="00C964C8"/>
    <w:rsid w:val="00CA0D26"/>
    <w:rsid w:val="00CA4EB2"/>
    <w:rsid w:val="00CB62A7"/>
    <w:rsid w:val="00CC065B"/>
    <w:rsid w:val="00D017F8"/>
    <w:rsid w:val="00D234D0"/>
    <w:rsid w:val="00D45C7C"/>
    <w:rsid w:val="00D52DF8"/>
    <w:rsid w:val="00D779E2"/>
    <w:rsid w:val="00D8087E"/>
    <w:rsid w:val="00DF1713"/>
    <w:rsid w:val="00E000C7"/>
    <w:rsid w:val="00E11E7F"/>
    <w:rsid w:val="00E34C91"/>
    <w:rsid w:val="00E47A42"/>
    <w:rsid w:val="00E6494F"/>
    <w:rsid w:val="00E737DC"/>
    <w:rsid w:val="00ED0445"/>
    <w:rsid w:val="00F17DE5"/>
    <w:rsid w:val="00F21544"/>
    <w:rsid w:val="00F3147B"/>
    <w:rsid w:val="00F44A4E"/>
    <w:rsid w:val="00F45236"/>
    <w:rsid w:val="00F553CE"/>
    <w:rsid w:val="00FC7382"/>
    <w:rsid w:val="00FE5FD7"/>
    <w:rsid w:val="00FE6D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267BC"/>
    <w:pPr>
      <w:spacing w:before="0" w:after="440"/>
      <w:ind w:left="-1134" w:right="-1134"/>
    </w:pPr>
    <w:rPr>
      <w:sz w:val="2"/>
    </w:rPr>
  </w:style>
  <w:style w:type="character" w:customStyle="1" w:styleId="TechnicalBlockChar">
    <w:name w:val="Technical Block Char"/>
    <w:basedOn w:val="DefaultParagraphFont"/>
    <w:rsid w:val="004267BC"/>
    <w:rPr>
      <w:sz w:val="24"/>
      <w:szCs w:val="24"/>
      <w:lang w:val="en-GB" w:eastAsia="en-US"/>
    </w:rPr>
  </w:style>
  <w:style w:type="character" w:customStyle="1" w:styleId="HeaderCouncilLargeChar">
    <w:name w:val="Header Council Large Char"/>
    <w:basedOn w:val="TechnicalBlockChar"/>
    <w:link w:val="HeaderCouncilLarge"/>
    <w:rsid w:val="004267BC"/>
    <w:rPr>
      <w:sz w:val="2"/>
      <w:szCs w:val="24"/>
      <w:lang w:val="en-GB" w:eastAsia="en-US"/>
    </w:rPr>
  </w:style>
  <w:style w:type="paragraph" w:customStyle="1" w:styleId="FooterText">
    <w:name w:val="Footer Text"/>
    <w:basedOn w:val="Normal"/>
    <w:rsid w:val="004267BC"/>
    <w:pPr>
      <w:spacing w:before="0" w:after="0"/>
    </w:pPr>
  </w:style>
  <w:style w:type="paragraph" w:customStyle="1" w:styleId="FooterAddressText">
    <w:name w:val="Footer Address Text"/>
    <w:basedOn w:val="FooterText"/>
    <w:qFormat/>
    <w:rsid w:val="004267BC"/>
    <w:pPr>
      <w:jc w:val="center"/>
    </w:pPr>
    <w:rPr>
      <w:spacing w:val="10"/>
      <w:sz w:val="16"/>
      <w:szCs w:val="16"/>
    </w:rPr>
  </w:style>
  <w:style w:type="character" w:styleId="Hyperlink">
    <w:name w:val="Hyperlink"/>
    <w:basedOn w:val="DefaultParagraphFont"/>
    <w:uiPriority w:val="99"/>
    <w:unhideWhenUsed/>
    <w:rsid w:val="004267BC"/>
    <w:rPr>
      <w:color w:val="0000FF" w:themeColor="hyperlink"/>
      <w:u w:val="single"/>
    </w:rPr>
  </w:style>
  <w:style w:type="paragraph" w:customStyle="1" w:styleId="HeaderText">
    <w:name w:val="Header Text"/>
    <w:basedOn w:val="Normal"/>
    <w:rsid w:val="004267BC"/>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F45236"/>
    <w:pPr>
      <w:spacing w:before="0" w:after="0"/>
    </w:pPr>
    <w:rPr>
      <w:lang w:val="pl-PL" w:eastAsia="pl-PL"/>
    </w:rPr>
  </w:style>
  <w:style w:type="paragraph" w:styleId="EndnoteText">
    <w:name w:val="endnote text"/>
    <w:basedOn w:val="Normal"/>
    <w:link w:val="EndnoteTextChar"/>
    <w:semiHidden/>
    <w:rsid w:val="00101339"/>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101339"/>
    <w:rPr>
      <w:snapToGrid w:val="0"/>
      <w:sz w:val="24"/>
      <w:lang w:val="en-US" w:eastAsia="en-US"/>
    </w:rPr>
  </w:style>
  <w:style w:type="paragraph" w:customStyle="1" w:styleId="CharChar1CharCharCharCharCharCharCharCharCharCharCharCharChar">
    <w:name w:val="Char Char1 Char Char Char Char Char Char Char Char Char Char Char Char Char"/>
    <w:basedOn w:val="Normal"/>
    <w:rsid w:val="00CA4EB2"/>
    <w:pPr>
      <w:spacing w:before="0" w:after="160" w:line="240" w:lineRule="exact"/>
    </w:pPr>
    <w:rPr>
      <w:rFonts w:ascii="Verdana" w:hAnsi="Verdana"/>
      <w:sz w:val="20"/>
      <w:szCs w:val="20"/>
      <w:lang w:val="en-US"/>
    </w:rPr>
  </w:style>
  <w:style w:type="character" w:customStyle="1" w:styleId="PointManualChar">
    <w:name w:val="Point Manual Char"/>
    <w:link w:val="PointManual"/>
    <w:locked/>
    <w:rsid w:val="00CA4EB2"/>
  </w:style>
  <w:style w:type="paragraph" w:customStyle="1" w:styleId="PointManual">
    <w:name w:val="Point Manual"/>
    <w:basedOn w:val="Normal"/>
    <w:link w:val="PointManualChar"/>
    <w:rsid w:val="00CA4EB2"/>
    <w:pPr>
      <w:spacing w:before="200" w:after="0"/>
      <w:ind w:left="567" w:hanging="567"/>
    </w:pPr>
    <w:rPr>
      <w:sz w:val="20"/>
      <w:szCs w:val="20"/>
      <w:lang w:val="de-DE" w:eastAsia="de-DE"/>
    </w:rPr>
  </w:style>
  <w:style w:type="paragraph" w:customStyle="1" w:styleId="entemet">
    <w:name w:val="entemet"/>
    <w:basedOn w:val="Normal"/>
    <w:rsid w:val="00243214"/>
    <w:pPr>
      <w:spacing w:before="100" w:beforeAutospacing="1" w:after="100" w:afterAutospacing="1"/>
    </w:pPr>
    <w:rPr>
      <w:rFonts w:eastAsia="Calibri"/>
      <w:lang w:eastAsia="en-GB"/>
    </w:rPr>
  </w:style>
  <w:style w:type="paragraph" w:customStyle="1" w:styleId="CarcterCarcterCharCarcterCarcterCharCarcterCarcterCharCharCarcterCarcter0">
    <w:name w:val="Carácter Carácter Char Carácter Carácter Char Carácter Carácter Char Char Carácter Carácter"/>
    <w:basedOn w:val="Normal"/>
    <w:rsid w:val="00444113"/>
    <w:pPr>
      <w:spacing w:before="0" w:after="0"/>
    </w:pPr>
    <w:rPr>
      <w:lang w:val="pl-PL" w:eastAsia="pl-PL"/>
    </w:rPr>
  </w:style>
  <w:style w:type="character" w:styleId="FollowedHyperlink">
    <w:name w:val="FollowedHyperlink"/>
    <w:basedOn w:val="DefaultParagraphFont"/>
    <w:uiPriority w:val="99"/>
    <w:semiHidden/>
    <w:unhideWhenUsed/>
    <w:rsid w:val="00C76419"/>
    <w:rPr>
      <w:color w:val="800080" w:themeColor="followedHyperlink"/>
      <w:u w:val="single"/>
    </w:rPr>
  </w:style>
  <w:style w:type="paragraph" w:styleId="NormalWeb">
    <w:name w:val="Normal (Web)"/>
    <w:basedOn w:val="Normal"/>
    <w:uiPriority w:val="99"/>
    <w:semiHidden/>
    <w:unhideWhenUsed/>
    <w:rsid w:val="0026354A"/>
    <w:pPr>
      <w:spacing w:before="100" w:beforeAutospacing="1" w:after="144" w:line="288" w:lineRule="auto"/>
    </w:pPr>
    <w:rPr>
      <w:rFonts w:eastAsiaTheme="minorHAnsi"/>
      <w:color w:val="000000"/>
      <w:lang w:eastAsia="en-GB"/>
    </w:rPr>
  </w:style>
  <w:style w:type="character" w:styleId="CommentReference">
    <w:name w:val="annotation reference"/>
    <w:basedOn w:val="DefaultParagraphFont"/>
    <w:uiPriority w:val="99"/>
    <w:semiHidden/>
    <w:unhideWhenUsed/>
    <w:rsid w:val="00E11E7F"/>
    <w:rPr>
      <w:sz w:val="16"/>
      <w:szCs w:val="16"/>
    </w:rPr>
  </w:style>
  <w:style w:type="paragraph" w:styleId="CommentText">
    <w:name w:val="annotation text"/>
    <w:basedOn w:val="Normal"/>
    <w:link w:val="CommentTextChar"/>
    <w:uiPriority w:val="99"/>
    <w:semiHidden/>
    <w:unhideWhenUsed/>
    <w:rsid w:val="00E11E7F"/>
    <w:rPr>
      <w:sz w:val="20"/>
      <w:szCs w:val="20"/>
    </w:rPr>
  </w:style>
  <w:style w:type="character" w:customStyle="1" w:styleId="CommentTextChar">
    <w:name w:val="Comment Text Char"/>
    <w:basedOn w:val="DefaultParagraphFont"/>
    <w:link w:val="CommentText"/>
    <w:uiPriority w:val="99"/>
    <w:semiHidden/>
    <w:rsid w:val="00E11E7F"/>
    <w:rPr>
      <w:lang w:val="en-GB" w:eastAsia="en-US"/>
    </w:rPr>
  </w:style>
  <w:style w:type="paragraph" w:styleId="CommentSubject">
    <w:name w:val="annotation subject"/>
    <w:basedOn w:val="CommentText"/>
    <w:next w:val="CommentText"/>
    <w:link w:val="CommentSubjectChar"/>
    <w:uiPriority w:val="99"/>
    <w:semiHidden/>
    <w:unhideWhenUsed/>
    <w:rsid w:val="00E11E7F"/>
    <w:rPr>
      <w:b/>
      <w:bCs/>
    </w:rPr>
  </w:style>
  <w:style w:type="character" w:customStyle="1" w:styleId="CommentSubjectChar">
    <w:name w:val="Comment Subject Char"/>
    <w:basedOn w:val="CommentTextChar"/>
    <w:link w:val="CommentSubject"/>
    <w:uiPriority w:val="99"/>
    <w:semiHidden/>
    <w:rsid w:val="00E11E7F"/>
    <w:rPr>
      <w:b/>
      <w:bCs/>
      <w:lang w:val="en-GB" w:eastAsia="en-US"/>
    </w:rPr>
  </w:style>
  <w:style w:type="paragraph" w:styleId="BalloonText">
    <w:name w:val="Balloon Text"/>
    <w:basedOn w:val="Normal"/>
    <w:link w:val="BalloonTextChar"/>
    <w:uiPriority w:val="99"/>
    <w:semiHidden/>
    <w:unhideWhenUsed/>
    <w:rsid w:val="00E649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4F"/>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267BC"/>
    <w:pPr>
      <w:spacing w:before="0" w:after="440"/>
      <w:ind w:left="-1134" w:right="-1134"/>
    </w:pPr>
    <w:rPr>
      <w:sz w:val="2"/>
    </w:rPr>
  </w:style>
  <w:style w:type="character" w:customStyle="1" w:styleId="TechnicalBlockChar">
    <w:name w:val="Technical Block Char"/>
    <w:basedOn w:val="DefaultParagraphFont"/>
    <w:rsid w:val="004267BC"/>
    <w:rPr>
      <w:sz w:val="24"/>
      <w:szCs w:val="24"/>
      <w:lang w:val="en-GB" w:eastAsia="en-US"/>
    </w:rPr>
  </w:style>
  <w:style w:type="character" w:customStyle="1" w:styleId="HeaderCouncilLargeChar">
    <w:name w:val="Header Council Large Char"/>
    <w:basedOn w:val="TechnicalBlockChar"/>
    <w:link w:val="HeaderCouncilLarge"/>
    <w:rsid w:val="004267BC"/>
    <w:rPr>
      <w:sz w:val="2"/>
      <w:szCs w:val="24"/>
      <w:lang w:val="en-GB" w:eastAsia="en-US"/>
    </w:rPr>
  </w:style>
  <w:style w:type="paragraph" w:customStyle="1" w:styleId="FooterText">
    <w:name w:val="Footer Text"/>
    <w:basedOn w:val="Normal"/>
    <w:rsid w:val="004267BC"/>
    <w:pPr>
      <w:spacing w:before="0" w:after="0"/>
    </w:pPr>
  </w:style>
  <w:style w:type="paragraph" w:customStyle="1" w:styleId="FooterAddressText">
    <w:name w:val="Footer Address Text"/>
    <w:basedOn w:val="FooterText"/>
    <w:qFormat/>
    <w:rsid w:val="004267BC"/>
    <w:pPr>
      <w:jc w:val="center"/>
    </w:pPr>
    <w:rPr>
      <w:spacing w:val="10"/>
      <w:sz w:val="16"/>
      <w:szCs w:val="16"/>
    </w:rPr>
  </w:style>
  <w:style w:type="character" w:styleId="Hyperlink">
    <w:name w:val="Hyperlink"/>
    <w:basedOn w:val="DefaultParagraphFont"/>
    <w:uiPriority w:val="99"/>
    <w:unhideWhenUsed/>
    <w:rsid w:val="004267BC"/>
    <w:rPr>
      <w:color w:val="0000FF" w:themeColor="hyperlink"/>
      <w:u w:val="single"/>
    </w:rPr>
  </w:style>
  <w:style w:type="paragraph" w:customStyle="1" w:styleId="HeaderText">
    <w:name w:val="Header Text"/>
    <w:basedOn w:val="Normal"/>
    <w:rsid w:val="004267BC"/>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F45236"/>
    <w:pPr>
      <w:spacing w:before="0" w:after="0"/>
    </w:pPr>
    <w:rPr>
      <w:lang w:val="pl-PL" w:eastAsia="pl-PL"/>
    </w:rPr>
  </w:style>
  <w:style w:type="paragraph" w:styleId="EndnoteText">
    <w:name w:val="endnote text"/>
    <w:basedOn w:val="Normal"/>
    <w:link w:val="EndnoteTextChar"/>
    <w:semiHidden/>
    <w:rsid w:val="00101339"/>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101339"/>
    <w:rPr>
      <w:snapToGrid w:val="0"/>
      <w:sz w:val="24"/>
      <w:lang w:val="en-US" w:eastAsia="en-US"/>
    </w:rPr>
  </w:style>
  <w:style w:type="paragraph" w:customStyle="1" w:styleId="CharChar1CharCharCharCharCharCharCharCharCharCharCharCharChar">
    <w:name w:val="Char Char1 Char Char Char Char Char Char Char Char Char Char Char Char Char"/>
    <w:basedOn w:val="Normal"/>
    <w:rsid w:val="00CA4EB2"/>
    <w:pPr>
      <w:spacing w:before="0" w:after="160" w:line="240" w:lineRule="exact"/>
    </w:pPr>
    <w:rPr>
      <w:rFonts w:ascii="Verdana" w:hAnsi="Verdana"/>
      <w:sz w:val="20"/>
      <w:szCs w:val="20"/>
      <w:lang w:val="en-US"/>
    </w:rPr>
  </w:style>
  <w:style w:type="character" w:customStyle="1" w:styleId="PointManualChar">
    <w:name w:val="Point Manual Char"/>
    <w:link w:val="PointManual"/>
    <w:locked/>
    <w:rsid w:val="00CA4EB2"/>
  </w:style>
  <w:style w:type="paragraph" w:customStyle="1" w:styleId="PointManual">
    <w:name w:val="Point Manual"/>
    <w:basedOn w:val="Normal"/>
    <w:link w:val="PointManualChar"/>
    <w:rsid w:val="00CA4EB2"/>
    <w:pPr>
      <w:spacing w:before="200" w:after="0"/>
      <w:ind w:left="567" w:hanging="567"/>
    </w:pPr>
    <w:rPr>
      <w:sz w:val="20"/>
      <w:szCs w:val="20"/>
      <w:lang w:val="de-DE" w:eastAsia="de-DE"/>
    </w:rPr>
  </w:style>
  <w:style w:type="paragraph" w:customStyle="1" w:styleId="entemet">
    <w:name w:val="entemet"/>
    <w:basedOn w:val="Normal"/>
    <w:rsid w:val="00243214"/>
    <w:pPr>
      <w:spacing w:before="100" w:beforeAutospacing="1" w:after="100" w:afterAutospacing="1"/>
    </w:pPr>
    <w:rPr>
      <w:rFonts w:eastAsia="Calibri"/>
      <w:lang w:eastAsia="en-GB"/>
    </w:rPr>
  </w:style>
  <w:style w:type="paragraph" w:customStyle="1" w:styleId="CarcterCarcterCharCarcterCarcterCharCarcterCarcterCharCharCarcterCarcter0">
    <w:name w:val="Carácter Carácter Char Carácter Carácter Char Carácter Carácter Char Char Carácter Carácter"/>
    <w:basedOn w:val="Normal"/>
    <w:rsid w:val="00444113"/>
    <w:pPr>
      <w:spacing w:before="0" w:after="0"/>
    </w:pPr>
    <w:rPr>
      <w:lang w:val="pl-PL" w:eastAsia="pl-PL"/>
    </w:rPr>
  </w:style>
  <w:style w:type="character" w:styleId="FollowedHyperlink">
    <w:name w:val="FollowedHyperlink"/>
    <w:basedOn w:val="DefaultParagraphFont"/>
    <w:uiPriority w:val="99"/>
    <w:semiHidden/>
    <w:unhideWhenUsed/>
    <w:rsid w:val="00C76419"/>
    <w:rPr>
      <w:color w:val="800080" w:themeColor="followedHyperlink"/>
      <w:u w:val="single"/>
    </w:rPr>
  </w:style>
  <w:style w:type="paragraph" w:styleId="NormalWeb">
    <w:name w:val="Normal (Web)"/>
    <w:basedOn w:val="Normal"/>
    <w:uiPriority w:val="99"/>
    <w:semiHidden/>
    <w:unhideWhenUsed/>
    <w:rsid w:val="0026354A"/>
    <w:pPr>
      <w:spacing w:before="100" w:beforeAutospacing="1" w:after="144" w:line="288" w:lineRule="auto"/>
    </w:pPr>
    <w:rPr>
      <w:rFonts w:eastAsiaTheme="minorHAnsi"/>
      <w:color w:val="000000"/>
      <w:lang w:eastAsia="en-GB"/>
    </w:rPr>
  </w:style>
  <w:style w:type="character" w:styleId="CommentReference">
    <w:name w:val="annotation reference"/>
    <w:basedOn w:val="DefaultParagraphFont"/>
    <w:uiPriority w:val="99"/>
    <w:semiHidden/>
    <w:unhideWhenUsed/>
    <w:rsid w:val="00E11E7F"/>
    <w:rPr>
      <w:sz w:val="16"/>
      <w:szCs w:val="16"/>
    </w:rPr>
  </w:style>
  <w:style w:type="paragraph" w:styleId="CommentText">
    <w:name w:val="annotation text"/>
    <w:basedOn w:val="Normal"/>
    <w:link w:val="CommentTextChar"/>
    <w:uiPriority w:val="99"/>
    <w:semiHidden/>
    <w:unhideWhenUsed/>
    <w:rsid w:val="00E11E7F"/>
    <w:rPr>
      <w:sz w:val="20"/>
      <w:szCs w:val="20"/>
    </w:rPr>
  </w:style>
  <w:style w:type="character" w:customStyle="1" w:styleId="CommentTextChar">
    <w:name w:val="Comment Text Char"/>
    <w:basedOn w:val="DefaultParagraphFont"/>
    <w:link w:val="CommentText"/>
    <w:uiPriority w:val="99"/>
    <w:semiHidden/>
    <w:rsid w:val="00E11E7F"/>
    <w:rPr>
      <w:lang w:val="en-GB" w:eastAsia="en-US"/>
    </w:rPr>
  </w:style>
  <w:style w:type="paragraph" w:styleId="CommentSubject">
    <w:name w:val="annotation subject"/>
    <w:basedOn w:val="CommentText"/>
    <w:next w:val="CommentText"/>
    <w:link w:val="CommentSubjectChar"/>
    <w:uiPriority w:val="99"/>
    <w:semiHidden/>
    <w:unhideWhenUsed/>
    <w:rsid w:val="00E11E7F"/>
    <w:rPr>
      <w:b/>
      <w:bCs/>
    </w:rPr>
  </w:style>
  <w:style w:type="character" w:customStyle="1" w:styleId="CommentSubjectChar">
    <w:name w:val="Comment Subject Char"/>
    <w:basedOn w:val="CommentTextChar"/>
    <w:link w:val="CommentSubject"/>
    <w:uiPriority w:val="99"/>
    <w:semiHidden/>
    <w:rsid w:val="00E11E7F"/>
    <w:rPr>
      <w:b/>
      <w:bCs/>
      <w:lang w:val="en-GB" w:eastAsia="en-US"/>
    </w:rPr>
  </w:style>
  <w:style w:type="paragraph" w:styleId="BalloonText">
    <w:name w:val="Balloon Text"/>
    <w:basedOn w:val="Normal"/>
    <w:link w:val="BalloonTextChar"/>
    <w:uiPriority w:val="99"/>
    <w:semiHidden/>
    <w:unhideWhenUsed/>
    <w:rsid w:val="00E649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4F"/>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6803">
      <w:bodyDiv w:val="1"/>
      <w:marLeft w:val="0"/>
      <w:marRight w:val="0"/>
      <w:marTop w:val="0"/>
      <w:marBottom w:val="0"/>
      <w:divBdr>
        <w:top w:val="none" w:sz="0" w:space="0" w:color="auto"/>
        <w:left w:val="none" w:sz="0" w:space="0" w:color="auto"/>
        <w:bottom w:val="none" w:sz="0" w:space="0" w:color="auto"/>
        <w:right w:val="none" w:sz="0" w:space="0" w:color="auto"/>
      </w:divBdr>
    </w:div>
    <w:div w:id="19478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3045-2015-INIT/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ata.consilium.europa.eu/doc/document/ST-12768-2015-INIT/en/pdf" TargetMode="External"/><Relationship Id="rId34" Type="http://schemas.openxmlformats.org/officeDocument/2006/relationships/hyperlink" Target="http://data.consilium.europa.eu/doc/document/ST-10506-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3056-2015-INIT/en/pdf" TargetMode="External"/><Relationship Id="rId33" Type="http://schemas.openxmlformats.org/officeDocument/2006/relationships/hyperlink" Target="http://data.consilium.europa.eu/doc/document/ST-13245-2015-INIT/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065-2015-INIT/en/pdf" TargetMode="External"/><Relationship Id="rId29" Type="http://schemas.openxmlformats.org/officeDocument/2006/relationships/hyperlink" Target="http://www.consilium.europa.eu/register/en/content/out/?typ=SET&amp;i=ADV&amp;RESULTSET=1&amp;DOC_ID=11591%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sustainabledevelopment.un.org/post2015/transformingourworld" TargetMode="External"/><Relationship Id="rId32" Type="http://schemas.openxmlformats.org/officeDocument/2006/relationships/hyperlink" Target="http://data.consilium.europa.eu/doc/document/ST-11798-2015-INIT/en/pdf" TargetMode="External"/><Relationship Id="rId37" Type="http://schemas.openxmlformats.org/officeDocument/2006/relationships/hyperlink" Target="http://data.consilium.europa.eu/doc/document/ST-12221-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2809-2015-INIT/en/pdf" TargetMode="External"/><Relationship Id="rId28" Type="http://schemas.openxmlformats.org/officeDocument/2006/relationships/hyperlink" Target="http://data.consilium.europa.eu/doc/document/ST-13079-2015-INIT/en/pdf" TargetMode="External"/><Relationship Id="rId36" Type="http://schemas.openxmlformats.org/officeDocument/2006/relationships/hyperlink" Target="http://data.consilium.europa.eu/doc/document/ST-12878-2015-INIT/en/pdf" TargetMode="External"/><Relationship Id="rId10" Type="http://schemas.openxmlformats.org/officeDocument/2006/relationships/header" Target="header1.xml"/><Relationship Id="rId19" Type="http://schemas.openxmlformats.org/officeDocument/2006/relationships/hyperlink" Target="http://register.consilium.europa.eu/doc/srv?l=EN&amp;f=ST%20169%202014%20INIT" TargetMode="External"/><Relationship Id="rId31" Type="http://schemas.openxmlformats.org/officeDocument/2006/relationships/hyperlink" Target="http://www.eca.europa.eu/en/Pages/DocItem.aspx?did=3198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2790-2015-REV-1/en/pdf" TargetMode="External"/><Relationship Id="rId27" Type="http://schemas.openxmlformats.org/officeDocument/2006/relationships/hyperlink" Target="http://data.consilium.europa.eu/doc/document/ST-13075-2015-INIT/en/pdf" TargetMode="External"/><Relationship Id="rId30" Type="http://schemas.openxmlformats.org/officeDocument/2006/relationships/hyperlink" Target="http://data.consilium.europa.eu/doc/document/ST-12767-2015-INIT/en/pdf" TargetMode="External"/><Relationship Id="rId35" Type="http://schemas.openxmlformats.org/officeDocument/2006/relationships/hyperlink" Target="http://data.consilium.europa.eu/doc/document/ST-13209-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EB3B-76E5-4FC0-A1C8-A822F0EA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13</Pages>
  <Words>2643</Words>
  <Characters>14678</Characters>
  <Application>Microsoft Office Word</Application>
  <DocSecurity>0</DocSecurity>
  <Lines>257</Lines>
  <Paragraphs>129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FERNANDEZ Alicia</cp:lastModifiedBy>
  <cp:revision>3</cp:revision>
  <cp:lastPrinted>2015-10-30T15:30:00Z</cp:lastPrinted>
  <dcterms:created xsi:type="dcterms:W3CDTF">2015-11-30T12:43:00Z</dcterms:created>
  <dcterms:modified xsi:type="dcterms:W3CDTF">2015-11-30T12:44:00Z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