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0E5BB8" w:rsidRDefault="006977B3" w:rsidP="000E5BB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63b937e-6cfd-420f-b5d7-fe0d4d2ce71d_0" style="width:568.55pt;height:490.4pt">
            <v:imagedata r:id="rId9" o:title=""/>
          </v:shape>
        </w:pict>
      </w:r>
      <w:bookmarkEnd w:id="0"/>
    </w:p>
    <w:p w:rsidR="001C3B5F" w:rsidRPr="000E5BB8" w:rsidRDefault="001C3B5F" w:rsidP="00B120CC">
      <w:pPr>
        <w:widowControl w:val="0"/>
        <w:spacing w:before="240" w:line="360" w:lineRule="auto"/>
        <w:rPr>
          <w:szCs w:val="20"/>
        </w:rPr>
      </w:pPr>
      <w:r w:rsidRPr="000E5BB8">
        <w:rPr>
          <w:b/>
        </w:rPr>
        <w:t>A.</w:t>
      </w:r>
      <w:r w:rsidRPr="000E5BB8">
        <w:tab/>
      </w:r>
      <w:r w:rsidRPr="000E5BB8">
        <w:rPr>
          <w:b/>
          <w:u w:val="single"/>
        </w:rPr>
        <w:t>ЧЕТВЪРТЪК, 3 ДЕКЕМВРИ 2015 г. (10,00 ч.)</w:t>
      </w:r>
      <w:r w:rsidRPr="000E5BB8">
        <w:t xml:space="preserve"> </w:t>
      </w:r>
    </w:p>
    <w:p w:rsidR="001C3B5F" w:rsidRPr="000E5BB8" w:rsidRDefault="001C3B5F" w:rsidP="00B120CC">
      <w:pPr>
        <w:spacing w:before="120"/>
        <w:rPr>
          <w:b/>
          <w:bCs/>
          <w:u w:val="single"/>
        </w:rPr>
      </w:pPr>
      <w:r w:rsidRPr="000E5BB8">
        <w:rPr>
          <w:b/>
          <w:u w:val="single"/>
        </w:rPr>
        <w:t>ПРАВОСЪДИЕ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Приемане на предварителния дневен ред</w:t>
      </w:r>
    </w:p>
    <w:p w:rsidR="001C3B5F" w:rsidRPr="000E5BB8" w:rsidRDefault="001C3B5F" w:rsidP="00397D2A">
      <w:pPr>
        <w:pStyle w:val="Title"/>
        <w:rPr>
          <w:i w:val="0"/>
          <w:iCs/>
        </w:rPr>
      </w:pPr>
      <w:r w:rsidRPr="000E5BB8">
        <w:rPr>
          <w:i w:val="0"/>
        </w:rPr>
        <w:t>Обсъждания на законодателни актове</w:t>
      </w:r>
    </w:p>
    <w:p w:rsidR="001C3B5F" w:rsidRPr="000E5BB8" w:rsidRDefault="001C3B5F" w:rsidP="00B1784D">
      <w:pPr>
        <w:pStyle w:val="PointManual"/>
        <w:spacing w:before="240"/>
      </w:pPr>
      <w:r w:rsidRPr="000E5BB8">
        <w:t>—</w:t>
      </w:r>
      <w:r w:rsidRPr="000E5BB8">
        <w:tab/>
        <w:t>Одобряване на списъка на точки А</w:t>
      </w:r>
    </w:p>
    <w:p w:rsidR="001C3B5F" w:rsidRPr="000E5BB8" w:rsidRDefault="00397D2A" w:rsidP="00A64E86">
      <w:pPr>
        <w:pStyle w:val="PointManual"/>
        <w:spacing w:before="360"/>
      </w:pPr>
      <w:r w:rsidRPr="000E5BB8">
        <w:br w:type="page"/>
      </w:r>
      <w:r w:rsidRPr="000E5BB8">
        <w:lastRenderedPageBreak/>
        <w:t>—</w:t>
      </w:r>
      <w:r w:rsidRPr="000E5BB8">
        <w:tab/>
        <w:t>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(ЕС) № 1024/2012</w:t>
      </w:r>
    </w:p>
    <w:p w:rsidR="001C3B5F" w:rsidRPr="000E5BB8" w:rsidRDefault="001C3B5F" w:rsidP="001C3B5F">
      <w:pPr>
        <w:tabs>
          <w:tab w:val="num" w:pos="567"/>
        </w:tabs>
        <w:ind w:left="851" w:hanging="284"/>
        <w:rPr>
          <w:b/>
          <w:bCs/>
        </w:rPr>
      </w:pPr>
      <w:r w:rsidRPr="000E5BB8">
        <w:rPr>
          <w:b/>
        </w:rPr>
        <w:t xml:space="preserve">(първо четене) </w:t>
      </w:r>
    </w:p>
    <w:p w:rsidR="001C3B5F" w:rsidRPr="000E5BB8" w:rsidRDefault="001C3B5F" w:rsidP="00397D2A">
      <w:pPr>
        <w:pStyle w:val="DashEqual1"/>
      </w:pPr>
      <w:r w:rsidRPr="000E5BB8">
        <w:t>Политическо споразумение</w:t>
      </w:r>
    </w:p>
    <w:p w:rsidR="001C3B5F" w:rsidRPr="000E5BB8" w:rsidRDefault="001C3B5F" w:rsidP="00C104C8">
      <w:pPr>
        <w:pStyle w:val="PointManual"/>
        <w:spacing w:before="360"/>
      </w:pPr>
      <w:r w:rsidRPr="000E5BB8">
        <w:rPr>
          <w:i/>
          <w:color w:val="0070C0"/>
        </w:rPr>
        <w:t>—</w:t>
      </w:r>
      <w:r w:rsidRPr="000E5BB8">
        <w:tab/>
        <w:t>Предложение за директива на Европейския парламент и на Съвета относно борбата с измамите, засягащи финансовите интереси на Съюза, по наказателноправен ред</w:t>
      </w:r>
    </w:p>
    <w:p w:rsidR="001C3B5F" w:rsidRPr="000E5BB8" w:rsidRDefault="001C3B5F" w:rsidP="001C3B5F">
      <w:pPr>
        <w:tabs>
          <w:tab w:val="num" w:pos="567"/>
        </w:tabs>
        <w:ind w:left="851" w:hanging="284"/>
        <w:rPr>
          <w:b/>
          <w:bCs/>
        </w:rPr>
      </w:pPr>
      <w:r w:rsidRPr="000E5BB8">
        <w:rPr>
          <w:b/>
        </w:rPr>
        <w:t xml:space="preserve">(първо четене) </w:t>
      </w:r>
    </w:p>
    <w:p w:rsidR="001C3B5F" w:rsidRPr="000E5BB8" w:rsidRDefault="001C3B5F" w:rsidP="00397D2A">
      <w:pPr>
        <w:pStyle w:val="DashEqual1"/>
      </w:pPr>
      <w:r w:rsidRPr="000E5BB8">
        <w:t>Доклад за напредъка</w:t>
      </w:r>
    </w:p>
    <w:p w:rsidR="001C3B5F" w:rsidRPr="000E5BB8" w:rsidRDefault="001C3B5F" w:rsidP="00A64E86">
      <w:pPr>
        <w:pStyle w:val="PointManual"/>
        <w:spacing w:before="360"/>
        <w:rPr>
          <w:rFonts w:eastAsia="Calibri"/>
        </w:rPr>
      </w:pPr>
      <w:r w:rsidRPr="000E5BB8">
        <w:t>—</w:t>
      </w:r>
      <w:r w:rsidRPr="000E5BB8">
        <w:tab/>
        <w:t>Предложение за регламент на Съвета за създаване на Европейска прокуратура</w:t>
      </w:r>
    </w:p>
    <w:p w:rsidR="001C3B5F" w:rsidRPr="000E5BB8" w:rsidRDefault="001C3B5F" w:rsidP="00397D2A">
      <w:pPr>
        <w:pStyle w:val="DashEqual1"/>
        <w:rPr>
          <w:rFonts w:eastAsia="Calibri"/>
        </w:rPr>
      </w:pPr>
      <w:r w:rsidRPr="000E5BB8">
        <w:t>Частичен общ подход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Предложение за регламент на Съвета относно компетентността, приложимото право, признаването и изпълнението на решения по въпроси, свързани с имуществения режим между съпрузи</w:t>
      </w:r>
    </w:p>
    <w:p w:rsidR="00A04661" w:rsidRPr="000E5BB8" w:rsidRDefault="00A04661" w:rsidP="00A04661">
      <w:pPr>
        <w:pStyle w:val="DashEqual1"/>
        <w:rPr>
          <w:rFonts w:eastAsia="Calibri"/>
        </w:rPr>
      </w:pPr>
      <w:r w:rsidRPr="000E5BB8">
        <w:t>Политическо споразумение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Предложение за регламент на Съвета относно компетентността, приложимото право, признаването и изпълнението на решения в областта на имуществените последици на регистрираните партньорства</w:t>
      </w:r>
    </w:p>
    <w:p w:rsidR="00A04661" w:rsidRPr="000E5BB8" w:rsidRDefault="00A04661" w:rsidP="00A04661">
      <w:pPr>
        <w:pStyle w:val="DashEqual1"/>
        <w:rPr>
          <w:rFonts w:eastAsia="Calibri"/>
        </w:rPr>
      </w:pPr>
      <w:r w:rsidRPr="000E5BB8">
        <w:t>Политическо споразумение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Други въпроси</w:t>
      </w:r>
    </w:p>
    <w:p w:rsidR="001C3B5F" w:rsidRPr="000E5BB8" w:rsidRDefault="001C3B5F" w:rsidP="00397D2A">
      <w:pPr>
        <w:pStyle w:val="DashEqual1"/>
        <w:tabs>
          <w:tab w:val="left" w:pos="1134"/>
          <w:tab w:val="num" w:pos="1844"/>
        </w:tabs>
      </w:pPr>
      <w:r w:rsidRPr="000E5BB8">
        <w:t>Информация от председателството по текущи законодателни предложения</w:t>
      </w:r>
    </w:p>
    <w:p w:rsidR="001C3B5F" w:rsidRPr="000E5BB8" w:rsidRDefault="001C3B5F" w:rsidP="00397D2A">
      <w:pPr>
        <w:pStyle w:val="Title"/>
        <w:rPr>
          <w:i w:val="0"/>
          <w:iCs/>
        </w:rPr>
      </w:pPr>
      <w:r w:rsidRPr="000E5BB8">
        <w:rPr>
          <w:i w:val="0"/>
        </w:rPr>
        <w:t>Незаконодателни дейности</w:t>
      </w:r>
    </w:p>
    <w:p w:rsidR="001C3B5F" w:rsidRPr="000E5BB8" w:rsidRDefault="001C3B5F" w:rsidP="00A64E86">
      <w:pPr>
        <w:pStyle w:val="PointManual"/>
        <w:spacing w:before="240"/>
      </w:pPr>
      <w:r w:rsidRPr="000E5BB8">
        <w:t>—</w:t>
      </w:r>
      <w:r w:rsidRPr="000E5BB8">
        <w:tab/>
        <w:t>Одобряване на списъка на точки А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Миграционна криза: аспекти на съдебното сътрудничество и борба с ксенофобията</w:t>
      </w:r>
    </w:p>
    <w:p w:rsidR="001C3B5F" w:rsidRPr="000E5BB8" w:rsidRDefault="001C3B5F" w:rsidP="00397D2A">
      <w:pPr>
        <w:pStyle w:val="DashEqual1"/>
        <w:tabs>
          <w:tab w:val="left" w:pos="1134"/>
          <w:tab w:val="num" w:pos="1844"/>
        </w:tabs>
      </w:pPr>
      <w:r w:rsidRPr="000E5BB8">
        <w:t>Последващи действия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Борба срещу онлайн изказванията, насаждащи омраза</w:t>
      </w:r>
    </w:p>
    <w:p w:rsidR="001C3B5F" w:rsidRPr="000E5BB8" w:rsidRDefault="001C3B5F" w:rsidP="00397D2A">
      <w:pPr>
        <w:pStyle w:val="DashEqual1"/>
        <w:tabs>
          <w:tab w:val="left" w:pos="1134"/>
          <w:tab w:val="num" w:pos="1844"/>
        </w:tabs>
      </w:pPr>
      <w:r w:rsidRPr="000E5BB8">
        <w:t>Общи разисквания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Осигуряване на ефикасно наказателно правосъдие в цифровата ера: какви са нуждите?</w:t>
      </w:r>
    </w:p>
    <w:p w:rsidR="001C3B5F" w:rsidRPr="000E5BB8" w:rsidRDefault="00397670" w:rsidP="00397D2A">
      <w:pPr>
        <w:pStyle w:val="DashEqual1"/>
        <w:tabs>
          <w:tab w:val="left" w:pos="1134"/>
          <w:tab w:val="num" w:pos="1844"/>
        </w:tabs>
      </w:pPr>
      <w:r w:rsidRPr="000E5BB8">
        <w:t>Актуално състояние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Съхраняване на данни от електронни съобщения</w:t>
      </w:r>
    </w:p>
    <w:p w:rsidR="001C3B5F" w:rsidRPr="000E5BB8" w:rsidRDefault="001C3B5F" w:rsidP="00397D2A">
      <w:pPr>
        <w:pStyle w:val="DashEqual1"/>
        <w:tabs>
          <w:tab w:val="left" w:pos="1134"/>
          <w:tab w:val="num" w:pos="1844"/>
        </w:tabs>
      </w:pPr>
      <w:r w:rsidRPr="000E5BB8">
        <w:t>Общи разисквания</w:t>
      </w:r>
    </w:p>
    <w:p w:rsidR="001C3B5F" w:rsidRPr="000E5BB8" w:rsidRDefault="00C635FF" w:rsidP="00A64E86">
      <w:pPr>
        <w:pStyle w:val="PointManual"/>
        <w:spacing w:before="360"/>
      </w:pPr>
      <w:r w:rsidRPr="000E5BB8">
        <w:br w:type="page"/>
      </w:r>
      <w:r w:rsidRPr="000E5BB8">
        <w:lastRenderedPageBreak/>
        <w:t>—</w:t>
      </w:r>
      <w:r w:rsidRPr="000E5BB8">
        <w:tab/>
        <w:t>Други въпроси</w:t>
      </w:r>
    </w:p>
    <w:p w:rsidR="001C3B5F" w:rsidRPr="000E5BB8" w:rsidRDefault="001C3B5F" w:rsidP="0033149A">
      <w:pPr>
        <w:pStyle w:val="PointManual1"/>
        <w:spacing w:before="120"/>
      </w:pPr>
      <w:r w:rsidRPr="000E5BB8">
        <w:t>а)</w:t>
      </w:r>
      <w:r w:rsidRPr="000E5BB8">
        <w:tab/>
        <w:t>Отношения със САЩ</w:t>
      </w:r>
    </w:p>
    <w:p w:rsidR="001C3B5F" w:rsidRPr="000E5BB8" w:rsidRDefault="001C3B5F" w:rsidP="0033149A">
      <w:pPr>
        <w:pStyle w:val="Dash2"/>
      </w:pPr>
      <w:r w:rsidRPr="000E5BB8">
        <w:t>Среща на министрите ЕС—САЩ по въпросите на правосъдието и вътрешните работи на 13 ноември 2015 г.</w:t>
      </w:r>
    </w:p>
    <w:p w:rsidR="001C3B5F" w:rsidRPr="000E5BB8" w:rsidRDefault="001C3B5F" w:rsidP="00397D2A">
      <w:pPr>
        <w:pStyle w:val="DashEqual3"/>
      </w:pPr>
      <w:r w:rsidRPr="000E5BB8">
        <w:tab/>
        <w:t>Информация от председателството</w:t>
      </w:r>
    </w:p>
    <w:p w:rsidR="001C3B5F" w:rsidRPr="000E5BB8" w:rsidRDefault="001C3B5F" w:rsidP="00397D2A">
      <w:pPr>
        <w:pStyle w:val="Dash2"/>
      </w:pPr>
      <w:r w:rsidRPr="000E5BB8">
        <w:t>Обновена рамка за трансатлантическото предаване на данни</w:t>
      </w:r>
    </w:p>
    <w:p w:rsidR="001C3B5F" w:rsidRPr="000E5BB8" w:rsidRDefault="001C3B5F" w:rsidP="00397D2A">
      <w:pPr>
        <w:pStyle w:val="DashEqual3"/>
      </w:pPr>
      <w:r w:rsidRPr="000E5BB8">
        <w:tab/>
        <w:t>Информация от Комисията</w:t>
      </w:r>
    </w:p>
    <w:p w:rsidR="001C3B5F" w:rsidRPr="000E5BB8" w:rsidRDefault="001C3B5F" w:rsidP="00397D2A">
      <w:pPr>
        <w:pStyle w:val="PointManual1"/>
        <w:spacing w:before="120"/>
      </w:pPr>
      <w:r w:rsidRPr="000E5BB8">
        <w:t>б)</w:t>
      </w:r>
      <w:r w:rsidRPr="000E5BB8">
        <w:tab/>
        <w:t>Министерски форум ЕС—Западни Балкани на 7—8 декември 2015 г.</w:t>
      </w:r>
    </w:p>
    <w:p w:rsidR="001C3B5F" w:rsidRPr="000E5BB8" w:rsidRDefault="001C3B5F" w:rsidP="00397D2A">
      <w:pPr>
        <w:pStyle w:val="DashEqual2"/>
      </w:pPr>
      <w:r w:rsidRPr="000E5BB8">
        <w:t>Информация от председателството</w:t>
      </w:r>
    </w:p>
    <w:p w:rsidR="001C3B5F" w:rsidRPr="000E5BB8" w:rsidRDefault="001C3B5F" w:rsidP="00397D2A">
      <w:pPr>
        <w:pStyle w:val="PointManual1"/>
        <w:spacing w:before="120"/>
      </w:pPr>
      <w:r w:rsidRPr="000E5BB8">
        <w:t>в)</w:t>
      </w:r>
      <w:r w:rsidRPr="000E5BB8">
        <w:tab/>
        <w:t>Работна програма на предстоящото председателство</w:t>
      </w:r>
    </w:p>
    <w:p w:rsidR="001C3B5F" w:rsidRPr="000E5BB8" w:rsidRDefault="001C3B5F" w:rsidP="00B120CC">
      <w:pPr>
        <w:pStyle w:val="DashEqual2"/>
      </w:pPr>
      <w:r w:rsidRPr="000E5BB8">
        <w:t>Информация от делегацията на Нидерландия</w:t>
      </w:r>
    </w:p>
    <w:p w:rsidR="001C3B5F" w:rsidRPr="000E5BB8" w:rsidRDefault="001C3B5F" w:rsidP="00B120CC">
      <w:pPr>
        <w:widowControl w:val="0"/>
        <w:spacing w:before="240" w:line="360" w:lineRule="auto"/>
        <w:rPr>
          <w:b/>
          <w:bCs/>
          <w:szCs w:val="20"/>
        </w:rPr>
      </w:pPr>
      <w:r w:rsidRPr="000E5BB8">
        <w:br w:type="page"/>
      </w:r>
      <w:r w:rsidRPr="000E5BB8">
        <w:rPr>
          <w:b/>
        </w:rPr>
        <w:lastRenderedPageBreak/>
        <w:t>Б.</w:t>
      </w:r>
      <w:r w:rsidRPr="000E5BB8">
        <w:tab/>
      </w:r>
      <w:r w:rsidRPr="000E5BB8">
        <w:rPr>
          <w:b/>
          <w:u w:val="single"/>
        </w:rPr>
        <w:t>ПЕТЪК, 4 ДЕКЕМВРИ 2015 г. (10,00 ч.)</w:t>
      </w:r>
      <w:r w:rsidRPr="000E5BB8">
        <w:rPr>
          <w:b/>
        </w:rPr>
        <w:t xml:space="preserve"> </w:t>
      </w:r>
    </w:p>
    <w:p w:rsidR="001C3B5F" w:rsidRPr="000E5BB8" w:rsidRDefault="001C3B5F" w:rsidP="00B120CC">
      <w:pPr>
        <w:spacing w:before="120"/>
        <w:rPr>
          <w:b/>
          <w:bCs/>
          <w:u w:val="single"/>
        </w:rPr>
      </w:pPr>
      <w:r w:rsidRPr="000E5BB8">
        <w:rPr>
          <w:b/>
          <w:u w:val="single"/>
        </w:rPr>
        <w:t>ВЪТРЕШНИ РАБОТИ</w:t>
      </w:r>
    </w:p>
    <w:p w:rsidR="001C3B5F" w:rsidRPr="000E5BB8" w:rsidRDefault="001C3B5F" w:rsidP="00397D2A">
      <w:pPr>
        <w:pStyle w:val="Title"/>
        <w:rPr>
          <w:i w:val="0"/>
          <w:iCs/>
        </w:rPr>
      </w:pPr>
      <w:r w:rsidRPr="000E5BB8">
        <w:rPr>
          <w:i w:val="0"/>
        </w:rPr>
        <w:t>Обсъждания на законодателни актове</w:t>
      </w:r>
    </w:p>
    <w:p w:rsidR="001C3B5F" w:rsidRPr="000E5BB8" w:rsidRDefault="001C3B5F" w:rsidP="00E96F78">
      <w:pPr>
        <w:pStyle w:val="PointManual"/>
        <w:spacing w:before="240"/>
        <w:rPr>
          <w:rFonts w:eastAsia="Calibri"/>
          <w:b/>
          <w:bCs/>
        </w:rPr>
      </w:pPr>
      <w:r w:rsidRPr="000E5BB8">
        <w:t>—</w:t>
      </w:r>
      <w:r w:rsidRPr="000E5BB8">
        <w:tab/>
        <w:t>Предложение за директива на Европейския парламент и на Съвета относно използването на резервационни данни на пътниците за предотвратяване, разкриване, разследване и наказателно преследване на терористични престъпления и на тежки престъпления (</w:t>
      </w:r>
      <w:r w:rsidRPr="000E5BB8">
        <w:rPr>
          <w:b/>
        </w:rPr>
        <w:t>първо четене</w:t>
      </w:r>
      <w:r w:rsidRPr="000E5BB8">
        <w:t>)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0E5BB8">
        <w:t>Доклад за напредъка</w:t>
      </w:r>
    </w:p>
    <w:p w:rsidR="001C3B5F" w:rsidRPr="000E5BB8" w:rsidRDefault="001C3B5F" w:rsidP="00E96F78">
      <w:pPr>
        <w:pStyle w:val="PointManual"/>
        <w:spacing w:before="360"/>
        <w:rPr>
          <w:rFonts w:eastAsia="Calibri"/>
        </w:rPr>
      </w:pPr>
      <w:r w:rsidRPr="000E5BB8">
        <w:t>—</w:t>
      </w:r>
      <w:r w:rsidRPr="000E5BB8">
        <w:tab/>
        <w:t>Предложение за регламент на Европейския парламент и на Съвета относно Агенцията на Европейския съюз за сътрудничество и обучение в областта на правоприлагането (Европол) и за отмяна на решения № 2009/371/ПВР и 2005/681/ПВР (</w:t>
      </w:r>
      <w:r w:rsidRPr="000E5BB8">
        <w:rPr>
          <w:b/>
        </w:rPr>
        <w:t>първо четене</w:t>
      </w:r>
      <w:r w:rsidRPr="000E5BB8">
        <w:t>)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0E5BB8">
        <w:t>Политическо споразумение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Предложение за директива на Европейския парламент и на Съвета относно условията за влизане и пребиваване на граждани на трети страни с цел научни изследвания, образование, ученически обмен, платен и неплатен стаж, доброволческа дейност и работа по програми „au pair“(преработен текст) (</w:t>
      </w:r>
      <w:r w:rsidRPr="000E5BB8">
        <w:rPr>
          <w:b/>
        </w:rPr>
        <w:t>първо четене</w:t>
      </w:r>
      <w:r w:rsidRPr="000E5BB8">
        <w:t>)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Политическо споразумение</w:t>
      </w:r>
    </w:p>
    <w:p w:rsidR="001C3B5F" w:rsidRPr="000E5BB8" w:rsidRDefault="001C3B5F" w:rsidP="00A64E86">
      <w:pPr>
        <w:pStyle w:val="PointManual"/>
        <w:spacing w:before="360"/>
        <w:rPr>
          <w:b/>
          <w:bCs/>
          <w:vertAlign w:val="superscript"/>
        </w:rPr>
      </w:pPr>
      <w:r w:rsidRPr="000E5BB8">
        <w:t>—</w:t>
      </w:r>
      <w:r w:rsidRPr="000E5BB8">
        <w:tab/>
        <w:t>Предложение за регламент на Европейския парламент и на Съвета за създаване на механизъм за управление на кризи относно преместването и за изменение на Регламент (ЕС) № 604/2013 на Европейския парламент и на Съвета от 26 юни 2013 г. за установяване на критерии и механизми за определяне на държава членка, компетентна за разглеждането на молба за международна закрила, която е подадена в една от държавите членки от гражданин на трета страна или от лице без гражданство (</w:t>
      </w:r>
      <w:r w:rsidRPr="000E5BB8">
        <w:rPr>
          <w:b/>
        </w:rPr>
        <w:t>първо четене</w:t>
      </w:r>
      <w:r w:rsidRPr="000E5BB8">
        <w:t>)</w:t>
      </w:r>
      <w:r w:rsidRPr="000E5BB8">
        <w:rPr>
          <w:b/>
          <w:vertAlign w:val="superscript"/>
        </w:rPr>
        <w:t xml:space="preserve"> </w:t>
      </w:r>
      <w:r w:rsidRPr="000E5BB8">
        <w:rPr>
          <w:b/>
          <w:vertAlign w:val="superscript"/>
        </w:rPr>
        <w:footnoteReference w:id="1"/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Доклад за напредъка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(евентуално) Предложение за регламент на Европейския парламент и на Съвета за създаване на общ списък на ЕС на сигурните страни за целите на Директива 2013/32/ЕС на Европейския парламент и на Съвета относно общите процедури за предоставяне и отнемане на международна закрила, и за изменение на Директива 2013/32/ЕС (</w:t>
      </w:r>
      <w:r w:rsidRPr="000E5BB8">
        <w:rPr>
          <w:b/>
        </w:rPr>
        <w:t>първо четене</w:t>
      </w:r>
      <w:r w:rsidRPr="000E5BB8">
        <w:t>)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Доклад за напредъка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Други въпроси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Информация от председателството по текущи законодателни предложения</w:t>
      </w:r>
    </w:p>
    <w:p w:rsidR="001C3B5F" w:rsidRPr="000E5BB8" w:rsidRDefault="001C3B5F" w:rsidP="0038065B">
      <w:pPr>
        <w:pStyle w:val="Title"/>
        <w:rPr>
          <w:i w:val="0"/>
          <w:iCs/>
        </w:rPr>
      </w:pPr>
      <w:r w:rsidRPr="000E5BB8">
        <w:br w:type="page"/>
      </w:r>
      <w:r w:rsidRPr="000E5BB8">
        <w:rPr>
          <w:i w:val="0"/>
        </w:rPr>
        <w:lastRenderedPageBreak/>
        <w:t>Незаконодателни дейности</w:t>
      </w:r>
    </w:p>
    <w:p w:rsidR="001C3B5F" w:rsidRPr="000E5BB8" w:rsidRDefault="00A566F1" w:rsidP="00A64E86">
      <w:pPr>
        <w:pStyle w:val="PointManual"/>
        <w:spacing w:before="240"/>
      </w:pPr>
      <w:r w:rsidRPr="000E5BB8">
        <w:t>—</w:t>
      </w:r>
      <w:r w:rsidRPr="000E5BB8">
        <w:tab/>
        <w:t>Борба с тероризма</w:t>
      </w:r>
      <w:r w:rsidRPr="000E5BB8">
        <w:rPr>
          <w:rStyle w:val="FootnoteReference"/>
        </w:rPr>
        <w:footnoteReference w:id="2"/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0E5BB8">
        <w:t>Представяне от председателството и координатора за борба с тероризма</w:t>
      </w:r>
    </w:p>
    <w:p w:rsidR="001C3B5F" w:rsidRPr="000E5BB8" w:rsidRDefault="00397670" w:rsidP="00A566F1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0E5BB8">
        <w:t>Актуално състояние и общ дебат по текущите дейности</w:t>
      </w:r>
    </w:p>
    <w:p w:rsidR="001C3B5F" w:rsidRPr="000E5BB8" w:rsidRDefault="001C3B5F" w:rsidP="00A64E86">
      <w:pPr>
        <w:pStyle w:val="PointManual"/>
        <w:spacing w:before="360"/>
        <w:rPr>
          <w:rFonts w:eastAsia="Calibri"/>
        </w:rPr>
      </w:pPr>
      <w:r w:rsidRPr="000E5BB8">
        <w:t>—</w:t>
      </w:r>
      <w:r w:rsidRPr="000E5BB8">
        <w:tab/>
        <w:t>Обновена стратегия за вътрешна сигурност за ЕС (2015 — 2020 г.)</w:t>
      </w:r>
    </w:p>
    <w:p w:rsidR="001C3B5F" w:rsidRPr="000E5BB8" w:rsidRDefault="001C3B5F" w:rsidP="004C431D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0E5BB8">
        <w:t xml:space="preserve">Общ дебат относно изпълнението 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Миграция</w:t>
      </w:r>
    </w:p>
    <w:p w:rsidR="001C3B5F" w:rsidRPr="000E5BB8" w:rsidRDefault="00397670" w:rsidP="0038065B">
      <w:pPr>
        <w:pStyle w:val="DashEqual1"/>
        <w:tabs>
          <w:tab w:val="left" w:pos="1134"/>
          <w:tab w:val="num" w:pos="1844"/>
        </w:tabs>
      </w:pPr>
      <w:r w:rsidRPr="000E5BB8">
        <w:t>Актуално състояние и преглед на предприетите мерки</w:t>
      </w:r>
    </w:p>
    <w:p w:rsidR="001C3B5F" w:rsidRPr="000E5BB8" w:rsidRDefault="001C3B5F" w:rsidP="004C431D">
      <w:pPr>
        <w:pStyle w:val="DashEqual1"/>
        <w:tabs>
          <w:tab w:val="left" w:pos="1134"/>
          <w:tab w:val="num" w:pos="1844"/>
        </w:tabs>
      </w:pPr>
      <w:r w:rsidRPr="000E5BB8">
        <w:t>Предстоящи действия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Управление на Шенген: Осми шестмесечен доклад от Комисията до Европейския парламент и до Съвета относно функционирането на Шенгенското пространство</w:t>
      </w:r>
      <w:r w:rsidRPr="000E5BB8">
        <w:br/>
        <w:t>(1 май 2015 г. — 31 октомври 2015 г.)</w:t>
      </w:r>
    </w:p>
    <w:p w:rsidR="001C3B5F" w:rsidRPr="000E5BB8" w:rsidRDefault="001C3B5F" w:rsidP="004C431D">
      <w:pPr>
        <w:pStyle w:val="DashEqual1"/>
        <w:tabs>
          <w:tab w:val="left" w:pos="1134"/>
          <w:tab w:val="num" w:pos="1844"/>
        </w:tabs>
      </w:pPr>
      <w:r w:rsidRPr="000E5BB8">
        <w:t>Представяне от Комисията / обмен на мнения</w:t>
      </w:r>
    </w:p>
    <w:p w:rsidR="001C3B5F" w:rsidRPr="000E5BB8" w:rsidRDefault="004C431D" w:rsidP="00A64E86">
      <w:pPr>
        <w:pStyle w:val="PointManual"/>
        <w:spacing w:before="360"/>
      </w:pPr>
      <w:r w:rsidRPr="000E5BB8">
        <w:t>—</w:t>
      </w:r>
      <w:r w:rsidRPr="000E5BB8">
        <w:tab/>
        <w:t xml:space="preserve">Други въпроси </w:t>
      </w:r>
    </w:p>
    <w:p w:rsidR="004C431D" w:rsidRPr="000E5BB8" w:rsidRDefault="001C3B5F" w:rsidP="004C431D">
      <w:pPr>
        <w:pStyle w:val="PointManual1"/>
        <w:spacing w:before="120"/>
      </w:pPr>
      <w:r w:rsidRPr="000E5BB8">
        <w:t>а)</w:t>
      </w:r>
      <w:r w:rsidRPr="000E5BB8">
        <w:tab/>
        <w:t>Среща на министрите ЕС—САЩ по въпросите на правосъдието и вътрешните работи на 13 ноември 2015 г.</w:t>
      </w:r>
    </w:p>
    <w:p w:rsidR="004C431D" w:rsidRPr="000E5BB8" w:rsidRDefault="00352E54" w:rsidP="004C431D">
      <w:pPr>
        <w:pStyle w:val="PointManual1"/>
        <w:spacing w:before="120"/>
      </w:pPr>
      <w:r w:rsidRPr="000E5BB8">
        <w:t>б)</w:t>
      </w:r>
      <w:r w:rsidRPr="000E5BB8">
        <w:tab/>
        <w:t>Министерски форум ЕС—Западни Балкани на 7—8 декември 2015 г.</w:t>
      </w:r>
    </w:p>
    <w:p w:rsidR="001C3B5F" w:rsidRPr="000E5BB8" w:rsidRDefault="001C3B5F" w:rsidP="004C431D">
      <w:pPr>
        <w:pStyle w:val="PointManual1"/>
        <w:spacing w:before="120"/>
        <w:rPr>
          <w:b/>
          <w:bCs/>
          <w:vertAlign w:val="superscript"/>
        </w:rPr>
      </w:pPr>
      <w:r w:rsidRPr="000E5BB8">
        <w:t>в)</w:t>
      </w:r>
      <w:r w:rsidRPr="000E5BB8">
        <w:tab/>
        <w:t>Среща на върха в Ла Валета, 11 — 12 ноември 2015 г.</w:t>
      </w:r>
      <w:r w:rsidRPr="000E5BB8">
        <w:rPr>
          <w:b/>
          <w:vertAlign w:val="superscript"/>
        </w:rPr>
        <w:t>1</w:t>
      </w:r>
    </w:p>
    <w:p w:rsidR="001C3B5F" w:rsidRPr="000E5BB8" w:rsidRDefault="001C3B5F" w:rsidP="004C431D">
      <w:pPr>
        <w:pStyle w:val="DashEqual2"/>
      </w:pPr>
      <w:r w:rsidRPr="000E5BB8">
        <w:t>Информация от председателството</w:t>
      </w:r>
    </w:p>
    <w:p w:rsidR="003E6640" w:rsidRPr="000E5BB8" w:rsidRDefault="003E6640" w:rsidP="003E6640">
      <w:pPr>
        <w:pStyle w:val="PointManual1"/>
        <w:spacing w:before="120"/>
      </w:pPr>
      <w:r w:rsidRPr="000E5BB8">
        <w:t>г)</w:t>
      </w:r>
      <w:r w:rsidRPr="000E5BB8">
        <w:tab/>
        <w:t>Информация за референдума в Дания на 3 декември 2015 г.</w:t>
      </w:r>
    </w:p>
    <w:p w:rsidR="003E6640" w:rsidRPr="000E5BB8" w:rsidRDefault="003E6640" w:rsidP="003E6640">
      <w:pPr>
        <w:pStyle w:val="DashEqual2"/>
      </w:pPr>
      <w:r w:rsidRPr="000E5BB8">
        <w:t>По искане на делегацията на Дания</w:t>
      </w:r>
    </w:p>
    <w:p w:rsidR="001C3B5F" w:rsidRPr="000E5BB8" w:rsidRDefault="003E6640" w:rsidP="004C431D">
      <w:pPr>
        <w:pStyle w:val="PointManual1"/>
        <w:spacing w:before="120"/>
      </w:pPr>
      <w:r w:rsidRPr="000E5BB8">
        <w:t>д)</w:t>
      </w:r>
      <w:r w:rsidRPr="000E5BB8">
        <w:tab/>
        <w:t>Работна програма на предстоящото председателство</w:t>
      </w:r>
    </w:p>
    <w:p w:rsidR="001C3B5F" w:rsidRPr="000E5BB8" w:rsidRDefault="001C3B5F" w:rsidP="00E50665">
      <w:pPr>
        <w:pStyle w:val="DashEqual2"/>
        <w:rPr>
          <w:iCs/>
        </w:rPr>
      </w:pPr>
      <w:r w:rsidRPr="000E5BB8">
        <w:t>Информация от делегацията на Нидерландия</w:t>
      </w:r>
    </w:p>
    <w:p w:rsidR="00E50665" w:rsidRPr="000E5BB8" w:rsidRDefault="00E50665" w:rsidP="00A64E86">
      <w:pPr>
        <w:spacing w:before="720"/>
        <w:jc w:val="center"/>
        <w:rPr>
          <w:snapToGrid w:val="0"/>
        </w:rPr>
      </w:pPr>
      <w:r w:rsidRPr="000E5BB8">
        <w:t>o</w:t>
      </w:r>
    </w:p>
    <w:p w:rsidR="00E50665" w:rsidRPr="000E5BB8" w:rsidRDefault="00E50665" w:rsidP="00E50665">
      <w:pPr>
        <w:spacing w:before="120"/>
        <w:jc w:val="center"/>
        <w:rPr>
          <w:snapToGrid w:val="0"/>
        </w:rPr>
      </w:pPr>
      <w:r w:rsidRPr="000E5BB8">
        <w:t>o</w:t>
      </w:r>
      <w:r w:rsidRPr="000E5BB8">
        <w:tab/>
        <w:t>o</w:t>
      </w:r>
    </w:p>
    <w:p w:rsidR="001C3B5F" w:rsidRPr="000E5BB8" w:rsidRDefault="00A64E86" w:rsidP="00397D2A">
      <w:pPr>
        <w:spacing w:before="240"/>
        <w:outlineLvl w:val="0"/>
        <w:rPr>
          <w:b/>
          <w:iCs/>
          <w:u w:val="single"/>
        </w:rPr>
      </w:pPr>
      <w:r w:rsidRPr="000E5BB8">
        <w:br w:type="page"/>
      </w:r>
      <w:r w:rsidRPr="000E5BB8">
        <w:rPr>
          <w:b/>
          <w:u w:val="single"/>
        </w:rPr>
        <w:lastRenderedPageBreak/>
        <w:t>Успоредно със заседанието на Съвета</w:t>
      </w:r>
      <w:r w:rsidRPr="000E5BB8">
        <w:t>:</w:t>
      </w:r>
    </w:p>
    <w:p w:rsidR="001C3B5F" w:rsidRPr="000E5BB8" w:rsidRDefault="001C3B5F" w:rsidP="002D6DB8">
      <w:pPr>
        <w:spacing w:before="240"/>
        <w:rPr>
          <w:b/>
          <w:bCs/>
          <w:iCs/>
          <w:u w:val="single"/>
        </w:rPr>
      </w:pPr>
      <w:r w:rsidRPr="000E5BB8">
        <w:rPr>
          <w:b/>
          <w:u w:val="single"/>
        </w:rPr>
        <w:t>Заседание на СМЕСЕНИЯ КОМИТЕТ (ПЕТЪК, 4 декември 2015 г., 10,00 ч.)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Миграция</w:t>
      </w:r>
    </w:p>
    <w:p w:rsidR="001C3B5F" w:rsidRPr="000E5BB8" w:rsidRDefault="00397670" w:rsidP="0038065B">
      <w:pPr>
        <w:pStyle w:val="DashEqual1"/>
        <w:tabs>
          <w:tab w:val="left" w:pos="1134"/>
          <w:tab w:val="num" w:pos="1844"/>
        </w:tabs>
      </w:pPr>
      <w:r w:rsidRPr="000E5BB8">
        <w:t>Актуално състояние и преглед на предприетите мерки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Предстоящи действия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Управление на Шенген: Осми шестмесечен доклад от Комисията до Европейския парламент и до Съвета относно функционирането на Шенгенското пространство</w:t>
      </w:r>
      <w:r w:rsidRPr="000E5BB8">
        <w:br/>
        <w:t>(1 май 2015 г. — 31 октомври 2015 г.)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Представяне от Комисията / обмен на мнения</w:t>
      </w:r>
    </w:p>
    <w:p w:rsidR="001C3B5F" w:rsidRPr="000E5BB8" w:rsidRDefault="001C3B5F" w:rsidP="00A64E86">
      <w:pPr>
        <w:pStyle w:val="PointManual"/>
        <w:spacing w:before="360"/>
      </w:pPr>
      <w:r w:rsidRPr="000E5BB8">
        <w:t>—</w:t>
      </w:r>
      <w:r w:rsidRPr="000E5BB8">
        <w:tab/>
        <w:t>Други въпроси</w:t>
      </w:r>
    </w:p>
    <w:p w:rsidR="001C3B5F" w:rsidRPr="000E5BB8" w:rsidRDefault="001C3B5F" w:rsidP="0038065B">
      <w:pPr>
        <w:pStyle w:val="DashEqual1"/>
        <w:tabs>
          <w:tab w:val="left" w:pos="1134"/>
          <w:tab w:val="num" w:pos="1844"/>
        </w:tabs>
      </w:pPr>
      <w:r w:rsidRPr="000E5BB8">
        <w:t>Информация от председателството по текущи законодателни предложения</w:t>
      </w:r>
    </w:p>
    <w:p w:rsidR="00511784" w:rsidRPr="000E5BB8" w:rsidRDefault="00511784" w:rsidP="000D638D">
      <w:pPr>
        <w:pStyle w:val="FinalLine"/>
        <w:spacing w:before="1200"/>
      </w:pPr>
    </w:p>
    <w:p w:rsidR="00511784" w:rsidRPr="007E3C49" w:rsidRDefault="008A34F8" w:rsidP="008A34F8">
      <w:pPr>
        <w:pStyle w:val="NB"/>
        <w:rPr>
          <w:b/>
          <w:bCs/>
        </w:rPr>
      </w:pPr>
      <w:r w:rsidRPr="007E3C49">
        <w:rPr>
          <w:b/>
          <w:bCs/>
        </w:rPr>
        <w:t>NB:</w:t>
      </w:r>
      <w:r w:rsidRPr="007E3C49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8A34F8" w:rsidRDefault="008A34F8" w:rsidP="008A34F8">
      <w:pPr>
        <w:pStyle w:val="NB"/>
        <w:rPr>
          <w:b/>
          <w:bCs/>
        </w:rPr>
      </w:pPr>
      <w:r w:rsidRPr="007E3C49">
        <w:rPr>
          <w:b/>
          <w:bCs/>
        </w:rPr>
        <w:t>NB:</w:t>
      </w:r>
      <w:r w:rsidRPr="007E3C49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</w:t>
      </w:r>
      <w:r w:rsidRPr="000E5BB8">
        <w:t>.</w:t>
      </w:r>
    </w:p>
    <w:sectPr w:rsidR="00FC4670" w:rsidRPr="008A34F8" w:rsidSect="000E5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5B" w:rsidRPr="000E5BB8" w:rsidRDefault="00A27C5B" w:rsidP="000E5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5BB8" w:rsidRPr="00D94637" w:rsidTr="000E5B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5BB8" w:rsidRPr="00D94637" w:rsidRDefault="000E5B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E5BB8" w:rsidRPr="00B310DC" w:rsidTr="000E5B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5BB8" w:rsidRPr="00AD7BF2" w:rsidRDefault="000E5BB8" w:rsidP="004F54B2">
          <w:pPr>
            <w:pStyle w:val="FooterText"/>
          </w:pPr>
          <w:r>
            <w:t>CM 4593/15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5BB8" w:rsidRPr="00AD7BF2" w:rsidRDefault="000E5B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5BB8" w:rsidRPr="002511D8" w:rsidRDefault="000E5BB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5BB8" w:rsidRPr="00B310DC" w:rsidRDefault="000E5B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977B3">
            <w:rPr>
              <w:noProof/>
            </w:rPr>
            <w:t>6</w:t>
          </w:r>
          <w:r>
            <w:fldChar w:fldCharType="end"/>
          </w:r>
        </w:p>
      </w:tc>
    </w:tr>
    <w:tr w:rsidR="000E5BB8" w:rsidRPr="00D94637" w:rsidTr="000E5BB8">
      <w:trPr>
        <w:jc w:val="center"/>
      </w:trPr>
      <w:tc>
        <w:tcPr>
          <w:tcW w:w="1774" w:type="pct"/>
          <w:shd w:val="clear" w:color="auto" w:fill="auto"/>
        </w:tcPr>
        <w:p w:rsidR="000E5BB8" w:rsidRPr="00AD7BF2" w:rsidRDefault="000E5B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5BB8" w:rsidRPr="00AD7BF2" w:rsidRDefault="000E5BB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E5BB8" w:rsidRPr="00D94637" w:rsidRDefault="000E5B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5BB8" w:rsidRPr="00D94637" w:rsidRDefault="000E5B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11784" w:rsidRPr="000E5BB8" w:rsidRDefault="00511784" w:rsidP="000E5BB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5BB8" w:rsidRPr="00D94637" w:rsidTr="000E5B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5BB8" w:rsidRPr="00D94637" w:rsidRDefault="000E5B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E5BB8" w:rsidRPr="00B310DC" w:rsidTr="000E5B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5BB8" w:rsidRPr="00AD7BF2" w:rsidRDefault="000E5BB8" w:rsidP="004F54B2">
          <w:pPr>
            <w:pStyle w:val="FooterText"/>
          </w:pPr>
          <w:r>
            <w:t>CM 4593/15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5BB8" w:rsidRPr="00AD7BF2" w:rsidRDefault="000E5B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5BB8" w:rsidRPr="002511D8" w:rsidRDefault="000E5BB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5BB8" w:rsidRPr="00B310DC" w:rsidRDefault="000E5B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977B3">
            <w:rPr>
              <w:noProof/>
            </w:rPr>
            <w:t>1</w:t>
          </w:r>
          <w:r>
            <w:fldChar w:fldCharType="end"/>
          </w:r>
        </w:p>
      </w:tc>
    </w:tr>
    <w:tr w:rsidR="000E5BB8" w:rsidRPr="00D94637" w:rsidTr="000E5BB8">
      <w:trPr>
        <w:jc w:val="center"/>
      </w:trPr>
      <w:tc>
        <w:tcPr>
          <w:tcW w:w="1774" w:type="pct"/>
          <w:shd w:val="clear" w:color="auto" w:fill="auto"/>
        </w:tcPr>
        <w:p w:rsidR="000E5BB8" w:rsidRPr="00AD7BF2" w:rsidRDefault="000E5B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5BB8" w:rsidRPr="00AD7BF2" w:rsidRDefault="000E5BB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E5BB8" w:rsidRPr="00D94637" w:rsidRDefault="000E5B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5BB8" w:rsidRPr="00D94637" w:rsidRDefault="000E5B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0E5BB8" w:rsidRDefault="00511784" w:rsidP="000E5BB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D7104D" w:rsidRPr="008A34F8" w:rsidRDefault="00D7104D" w:rsidP="00D7104D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2">
    <w:p w:rsidR="00352E54" w:rsidRPr="008A34F8" w:rsidRDefault="00352E54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5B" w:rsidRPr="000E5BB8" w:rsidRDefault="00A27C5B" w:rsidP="000E5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5B" w:rsidRPr="000E5BB8" w:rsidRDefault="00A27C5B" w:rsidP="000E5BB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5B" w:rsidRPr="000E5BB8" w:rsidRDefault="00A27C5B" w:rsidP="000E5BB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1"/>
  </w:num>
  <w:num w:numId="24">
    <w:abstractNumId w:val="11"/>
  </w:num>
  <w:num w:numId="2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63b937e-6cfd-420f-b5d7-fe0d4d2ce71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59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&amp;lt;/Run&amp;gt;&amp;lt;Run xml:lang=&quot;en-gb&quot;&amp;gt;33&amp;lt;/Run&amp;gt;&amp;lt;Run BaselineAlignment=&quot;Superscript&quot; xml:lang=&quot;fr-be&quot;&amp;gt;-&amp;#1090;&amp;#1086;&amp;lt;/Run&amp;gt;&amp;lt;Run BaselineAlignment=&quot;Subscript&quot;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2-04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5BB8"/>
    <w:rsid w:val="000E6295"/>
    <w:rsid w:val="00102E32"/>
    <w:rsid w:val="00153B1C"/>
    <w:rsid w:val="00165755"/>
    <w:rsid w:val="00182F2F"/>
    <w:rsid w:val="001B1149"/>
    <w:rsid w:val="001C1958"/>
    <w:rsid w:val="001C3B5F"/>
    <w:rsid w:val="00213F1F"/>
    <w:rsid w:val="00224CD2"/>
    <w:rsid w:val="002662AA"/>
    <w:rsid w:val="002A2AE8"/>
    <w:rsid w:val="002A3BD9"/>
    <w:rsid w:val="002D3B3B"/>
    <w:rsid w:val="002D6DB8"/>
    <w:rsid w:val="0033149A"/>
    <w:rsid w:val="00352E54"/>
    <w:rsid w:val="0038065B"/>
    <w:rsid w:val="00397670"/>
    <w:rsid w:val="00397D2A"/>
    <w:rsid w:val="003B5D62"/>
    <w:rsid w:val="003C3199"/>
    <w:rsid w:val="003C6E8B"/>
    <w:rsid w:val="003E6307"/>
    <w:rsid w:val="003E6640"/>
    <w:rsid w:val="004618FD"/>
    <w:rsid w:val="004B2EBD"/>
    <w:rsid w:val="004C431D"/>
    <w:rsid w:val="00511784"/>
    <w:rsid w:val="005157F5"/>
    <w:rsid w:val="005C6BE7"/>
    <w:rsid w:val="005E4AFB"/>
    <w:rsid w:val="005F498D"/>
    <w:rsid w:val="0062044B"/>
    <w:rsid w:val="006326C1"/>
    <w:rsid w:val="0063314B"/>
    <w:rsid w:val="0063379B"/>
    <w:rsid w:val="00640B7D"/>
    <w:rsid w:val="0064395A"/>
    <w:rsid w:val="006977B3"/>
    <w:rsid w:val="006A38C5"/>
    <w:rsid w:val="006C1AD4"/>
    <w:rsid w:val="006E33E2"/>
    <w:rsid w:val="006E56FB"/>
    <w:rsid w:val="006F4741"/>
    <w:rsid w:val="0075756A"/>
    <w:rsid w:val="00766B94"/>
    <w:rsid w:val="00782B47"/>
    <w:rsid w:val="007E3C49"/>
    <w:rsid w:val="00825503"/>
    <w:rsid w:val="00835C79"/>
    <w:rsid w:val="00852D96"/>
    <w:rsid w:val="0086526B"/>
    <w:rsid w:val="008826F8"/>
    <w:rsid w:val="00896737"/>
    <w:rsid w:val="008A34F8"/>
    <w:rsid w:val="008C3C6F"/>
    <w:rsid w:val="008D0F9C"/>
    <w:rsid w:val="00947559"/>
    <w:rsid w:val="00A04661"/>
    <w:rsid w:val="00A27C5B"/>
    <w:rsid w:val="00A469D7"/>
    <w:rsid w:val="00A566F1"/>
    <w:rsid w:val="00A64E86"/>
    <w:rsid w:val="00B120CC"/>
    <w:rsid w:val="00B1784D"/>
    <w:rsid w:val="00B858E9"/>
    <w:rsid w:val="00BB7CE6"/>
    <w:rsid w:val="00BE1373"/>
    <w:rsid w:val="00BE1879"/>
    <w:rsid w:val="00BE283C"/>
    <w:rsid w:val="00C028FF"/>
    <w:rsid w:val="00C104C8"/>
    <w:rsid w:val="00C21C7C"/>
    <w:rsid w:val="00C25ED0"/>
    <w:rsid w:val="00C635FF"/>
    <w:rsid w:val="00C85A7D"/>
    <w:rsid w:val="00CC14A1"/>
    <w:rsid w:val="00CE2D4F"/>
    <w:rsid w:val="00D451E4"/>
    <w:rsid w:val="00D57555"/>
    <w:rsid w:val="00D7104D"/>
    <w:rsid w:val="00DF35ED"/>
    <w:rsid w:val="00E12B39"/>
    <w:rsid w:val="00E50665"/>
    <w:rsid w:val="00E519AA"/>
    <w:rsid w:val="00E7491C"/>
    <w:rsid w:val="00E96F78"/>
    <w:rsid w:val="00EE301D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uiPriority w:val="99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E5BB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character" w:customStyle="1" w:styleId="FootnoteTextChar">
    <w:name w:val="Footnote Text Char"/>
    <w:link w:val="FootnoteText"/>
    <w:uiPriority w:val="99"/>
    <w:rsid w:val="001C3B5F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9A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uiPriority w:val="99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E5BB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character" w:customStyle="1" w:styleId="FootnoteTextChar">
    <w:name w:val="Footnote Text Char"/>
    <w:link w:val="FootnoteText"/>
    <w:uiPriority w:val="99"/>
    <w:rsid w:val="001C3B5F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9A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8130-D42C-4072-BBE1-D0A7021B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6</Pages>
  <Words>852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DOURJANOVA Gergana</cp:lastModifiedBy>
  <cp:revision>2</cp:revision>
  <cp:lastPrinted>2015-11-18T12:20:00Z</cp:lastPrinted>
  <dcterms:created xsi:type="dcterms:W3CDTF">2015-11-19T13:48:00Z</dcterms:created>
  <dcterms:modified xsi:type="dcterms:W3CDTF">2015-11-19T13:48:00Z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