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47" w:rsidRPr="00784566" w:rsidRDefault="00883CA5" w:rsidP="00784566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a33778f-8221-4973-9753-946e105dcc7e_0" style="width:567.85pt;height:472.75pt">
            <v:imagedata r:id="rId9" o:title=""/>
          </v:shape>
        </w:pict>
      </w:r>
      <w:bookmarkEnd w:id="0"/>
    </w:p>
    <w:p w:rsidR="00E64177" w:rsidRPr="00784566" w:rsidRDefault="00E64177" w:rsidP="00A1068E">
      <w:pPr>
        <w:pStyle w:val="PointManual"/>
      </w:pPr>
      <w:r w:rsidRPr="00784566">
        <w:t>1.</w:t>
      </w:r>
      <w:r w:rsidRPr="00784566">
        <w:tab/>
        <w:t>Приемане на предварителния дневен ред</w:t>
      </w:r>
    </w:p>
    <w:p w:rsidR="00E64177" w:rsidRPr="00784566" w:rsidRDefault="00E64177" w:rsidP="00E64177">
      <w:pPr>
        <w:tabs>
          <w:tab w:val="num" w:pos="567"/>
          <w:tab w:val="left" w:pos="1418"/>
        </w:tabs>
        <w:outlineLvl w:val="0"/>
        <w:rPr>
          <w:b/>
          <w:bCs/>
          <w:color w:val="000000"/>
          <w:u w:val="single"/>
        </w:rPr>
      </w:pPr>
    </w:p>
    <w:p w:rsidR="00E64177" w:rsidRPr="00784566" w:rsidRDefault="00E64177" w:rsidP="00E64177">
      <w:pPr>
        <w:rPr>
          <w:b/>
          <w:bCs/>
          <w:u w:val="single"/>
        </w:rPr>
      </w:pPr>
    </w:p>
    <w:p w:rsidR="00A1068E" w:rsidRPr="00784566" w:rsidRDefault="00A1068E" w:rsidP="00A1068E">
      <w:pPr>
        <w:rPr>
          <w:b/>
          <w:bCs/>
          <w:szCs w:val="32"/>
          <w:u w:val="single"/>
        </w:rPr>
      </w:pPr>
      <w:r w:rsidRPr="00784566">
        <w:rPr>
          <w:b/>
          <w:u w:val="single"/>
        </w:rPr>
        <w:t>Незаконодателни дейности</w:t>
      </w:r>
    </w:p>
    <w:p w:rsidR="00A1068E" w:rsidRPr="00784566" w:rsidRDefault="00A1068E" w:rsidP="00AA7531">
      <w:pPr>
        <w:spacing w:before="240"/>
      </w:pPr>
      <w:r w:rsidRPr="00784566">
        <w:t>2.</w:t>
      </w:r>
      <w:r w:rsidRPr="00784566">
        <w:tab/>
        <w:t>(евентуално) Одобряване на списъка на точки А</w:t>
      </w:r>
    </w:p>
    <w:p w:rsidR="00E64177" w:rsidRPr="00784566" w:rsidRDefault="00E64177" w:rsidP="00E64177">
      <w:pPr>
        <w:rPr>
          <w:b/>
          <w:bCs/>
        </w:rPr>
      </w:pPr>
    </w:p>
    <w:p w:rsidR="00FB6D04" w:rsidRPr="00784566" w:rsidRDefault="00FB6D04" w:rsidP="00866BCB">
      <w:pPr>
        <w:rPr>
          <w:b/>
          <w:bCs/>
          <w:u w:val="single"/>
        </w:rPr>
      </w:pPr>
    </w:p>
    <w:p w:rsidR="00A1068E" w:rsidRPr="00784566" w:rsidRDefault="00A1068E" w:rsidP="00866BCB">
      <w:pPr>
        <w:rPr>
          <w:b/>
          <w:bCs/>
        </w:rPr>
      </w:pPr>
      <w:r w:rsidRPr="00784566">
        <w:rPr>
          <w:b/>
          <w:u w:val="single"/>
        </w:rPr>
        <w:t>Обсъждания на законодателни актове</w:t>
      </w:r>
    </w:p>
    <w:p w:rsidR="00A1068E" w:rsidRPr="00784566" w:rsidRDefault="00A1068E" w:rsidP="00866BCB">
      <w:pPr>
        <w:rPr>
          <w:b/>
          <w:bCs/>
        </w:rPr>
      </w:pPr>
      <w:r w:rsidRPr="00784566">
        <w:rPr>
          <w:b/>
        </w:rPr>
        <w:t>(</w:t>
      </w:r>
      <w:r w:rsidRPr="00784566">
        <w:rPr>
          <w:b/>
          <w:i/>
        </w:rPr>
        <w:t>Открито обсъждане съгласно член 16, параграф 8 от Договора за Европейския съюз</w:t>
      </w:r>
      <w:r w:rsidRPr="00784566">
        <w:rPr>
          <w:b/>
        </w:rPr>
        <w:t>)</w:t>
      </w:r>
    </w:p>
    <w:p w:rsidR="00866BCB" w:rsidRPr="00784566" w:rsidRDefault="00866BCB" w:rsidP="00866BCB">
      <w:pPr>
        <w:pStyle w:val="PointManual"/>
        <w:spacing w:before="0"/>
      </w:pPr>
    </w:p>
    <w:p w:rsidR="00866BCB" w:rsidRPr="00784566" w:rsidRDefault="00866BCB" w:rsidP="00866BCB">
      <w:pPr>
        <w:pStyle w:val="PointManual"/>
        <w:spacing w:before="0"/>
      </w:pPr>
    </w:p>
    <w:p w:rsidR="00A1068E" w:rsidRPr="00784566" w:rsidRDefault="00A1068E" w:rsidP="00866BCB">
      <w:pPr>
        <w:pStyle w:val="PointManual"/>
        <w:spacing w:before="0"/>
      </w:pPr>
      <w:r w:rsidRPr="00784566">
        <w:t>3.</w:t>
      </w:r>
      <w:r w:rsidRPr="00784566">
        <w:tab/>
        <w:t>(евентуално) Одобряване на списъка на точки А</w:t>
      </w:r>
    </w:p>
    <w:p w:rsidR="00A1068E" w:rsidRPr="00784566" w:rsidRDefault="00A1068E" w:rsidP="00E64177">
      <w:pPr>
        <w:rPr>
          <w:b/>
          <w:bCs/>
        </w:rPr>
      </w:pPr>
    </w:p>
    <w:p w:rsidR="00E64177" w:rsidRPr="00784566" w:rsidRDefault="00FB6D04" w:rsidP="00AA7531">
      <w:r w:rsidRPr="00784566">
        <w:br w:type="page"/>
      </w:r>
    </w:p>
    <w:p w:rsidR="00E64177" w:rsidRPr="00784566" w:rsidRDefault="00A1068E" w:rsidP="00AA7531">
      <w:pPr>
        <w:pStyle w:val="PointManual"/>
      </w:pPr>
      <w:r w:rsidRPr="00784566">
        <w:t>4.</w:t>
      </w:r>
      <w:r w:rsidRPr="00784566">
        <w:tab/>
        <w:t>Предложение за директива на Европейския парламент и на Съвета за намаляване на националните емисии на някои атмосферни замърсители и за изменение на Директива 2003/35/ЕО (</w:t>
      </w:r>
      <w:r w:rsidRPr="00784566">
        <w:rPr>
          <w:b/>
        </w:rPr>
        <w:t>първо четене</w:t>
      </w:r>
      <w:r w:rsidRPr="00784566">
        <w:t>)</w:t>
      </w:r>
    </w:p>
    <w:p w:rsidR="00E64177" w:rsidRPr="00784566" w:rsidRDefault="00E64177" w:rsidP="00AA7531">
      <w:pPr>
        <w:pStyle w:val="Text1"/>
      </w:pPr>
      <w:r w:rsidRPr="00784566">
        <w:t>Междуинституционално досие: 2013/0443 (COD)</w:t>
      </w:r>
    </w:p>
    <w:p w:rsidR="00E64177" w:rsidRPr="00784566" w:rsidRDefault="00A1068E" w:rsidP="00DC0F9E">
      <w:pPr>
        <w:pStyle w:val="Dash1"/>
        <w:numPr>
          <w:ilvl w:val="0"/>
          <w:numId w:val="2"/>
        </w:numPr>
        <w:rPr>
          <w:i/>
          <w:iCs/>
        </w:rPr>
      </w:pPr>
      <w:r w:rsidRPr="00784566">
        <w:t>(евентуално) Общ подход</w:t>
      </w:r>
    </w:p>
    <w:p w:rsidR="00AA7531" w:rsidRPr="00784566" w:rsidRDefault="00DC7536" w:rsidP="00AA7531">
      <w:pPr>
        <w:pStyle w:val="Text3"/>
      </w:pPr>
      <w:r w:rsidRPr="00784566">
        <w:t xml:space="preserve">18167/13 ENV 1235 ENER 600 IND 388 TRANS 693 ENT 356 SAN 555 </w:t>
      </w:r>
    </w:p>
    <w:p w:rsidR="00E64177" w:rsidRPr="00784566" w:rsidRDefault="00DC7536" w:rsidP="00AA7531">
      <w:pPr>
        <w:pStyle w:val="Text5"/>
      </w:pPr>
      <w:r w:rsidRPr="00784566">
        <w:t>PARLNAT 325 CODEC 3086</w:t>
      </w:r>
    </w:p>
    <w:p w:rsidR="00DC7536" w:rsidRPr="00784566" w:rsidRDefault="00DC7536" w:rsidP="00AA7531">
      <w:pPr>
        <w:pStyle w:val="Text3"/>
      </w:pPr>
      <w:r w:rsidRPr="00784566">
        <w:t>+ ADD 1</w:t>
      </w:r>
    </w:p>
    <w:p w:rsidR="00DC7536" w:rsidRPr="00784566" w:rsidRDefault="00DC7536" w:rsidP="00AA7531">
      <w:pPr>
        <w:pStyle w:val="Text3"/>
      </w:pPr>
      <w:r w:rsidRPr="00784566">
        <w:t>+ ADD 6</w:t>
      </w:r>
    </w:p>
    <w:p w:rsidR="00866BCB" w:rsidRPr="00784566" w:rsidRDefault="00866BCB" w:rsidP="00E64177">
      <w:pPr>
        <w:outlineLvl w:val="0"/>
      </w:pPr>
    </w:p>
    <w:p w:rsidR="00FB6D04" w:rsidRPr="00784566" w:rsidRDefault="00FB6D04" w:rsidP="00E64177">
      <w:pPr>
        <w:outlineLvl w:val="0"/>
      </w:pPr>
    </w:p>
    <w:p w:rsidR="00A1068E" w:rsidRPr="00784566" w:rsidRDefault="00A1068E" w:rsidP="00E64177">
      <w:pPr>
        <w:rPr>
          <w:b/>
          <w:bCs/>
          <w:szCs w:val="32"/>
          <w:u w:val="single"/>
        </w:rPr>
      </w:pPr>
    </w:p>
    <w:p w:rsidR="00E64177" w:rsidRPr="00784566" w:rsidRDefault="00E64177" w:rsidP="00E64177">
      <w:pPr>
        <w:rPr>
          <w:b/>
          <w:bCs/>
          <w:szCs w:val="32"/>
          <w:u w:val="single"/>
        </w:rPr>
      </w:pPr>
      <w:r w:rsidRPr="00784566">
        <w:rPr>
          <w:b/>
          <w:u w:val="single"/>
        </w:rPr>
        <w:t>Незаконодателни дейности</w:t>
      </w:r>
    </w:p>
    <w:p w:rsidR="00E64177" w:rsidRPr="00784566" w:rsidRDefault="00E64177" w:rsidP="00A1068E">
      <w:pPr>
        <w:pStyle w:val="PointManual"/>
      </w:pPr>
      <w:r w:rsidRPr="00784566">
        <w:t>5.</w:t>
      </w:r>
      <w:r w:rsidRPr="00784566">
        <w:tab/>
        <w:t>Проект за заключения на Съвета относно междинния преглед на стратегията на ЕС за биологичното разнообразие до 2020 г.</w:t>
      </w:r>
    </w:p>
    <w:p w:rsidR="00E64177" w:rsidRPr="00784566" w:rsidRDefault="00E64177" w:rsidP="00A1068E">
      <w:pPr>
        <w:pStyle w:val="Dash1"/>
        <w:rPr>
          <w:i/>
          <w:iCs/>
        </w:rPr>
      </w:pPr>
      <w:r w:rsidRPr="00784566">
        <w:t>Приемане</w:t>
      </w:r>
    </w:p>
    <w:p w:rsidR="00AA7531" w:rsidRPr="00784566" w:rsidRDefault="00DC7536" w:rsidP="00AA7531">
      <w:pPr>
        <w:pStyle w:val="Text3"/>
      </w:pPr>
      <w:r w:rsidRPr="00784566">
        <w:t>12683/15 ENV 606 AGRI 510 DEVGEN 175 PI 64 FORETS 37 PECHE 337</w:t>
      </w:r>
    </w:p>
    <w:p w:rsidR="00E64177" w:rsidRPr="00784566" w:rsidRDefault="00DC7536" w:rsidP="00AA7531">
      <w:pPr>
        <w:pStyle w:val="Text5"/>
      </w:pPr>
      <w:r w:rsidRPr="00784566">
        <w:t>RECH 239 ONU 117</w:t>
      </w:r>
    </w:p>
    <w:p w:rsidR="00866BCB" w:rsidRPr="00784566" w:rsidRDefault="00866BCB" w:rsidP="00AA7531"/>
    <w:p w:rsidR="00FB6D04" w:rsidRPr="00784566" w:rsidRDefault="00FB6D04" w:rsidP="00AA7531"/>
    <w:p w:rsidR="00872EDF" w:rsidRPr="00784566" w:rsidRDefault="00872EDF" w:rsidP="00AA7531"/>
    <w:p w:rsidR="00E64177" w:rsidRPr="00784566" w:rsidRDefault="00E64177" w:rsidP="00AA7531">
      <w:pPr>
        <w:rPr>
          <w:b/>
          <w:bCs/>
          <w:u w:val="single"/>
        </w:rPr>
      </w:pPr>
      <w:r w:rsidRPr="00784566">
        <w:rPr>
          <w:b/>
          <w:u w:val="single"/>
        </w:rPr>
        <w:t>Други въпроси</w:t>
      </w:r>
    </w:p>
    <w:p w:rsidR="00A1068E" w:rsidRPr="00784566" w:rsidRDefault="00A1068E" w:rsidP="00AA7531">
      <w:pPr>
        <w:rPr>
          <w:b/>
          <w:bCs/>
          <w:u w:val="single"/>
        </w:rPr>
      </w:pPr>
    </w:p>
    <w:p w:rsidR="00A1068E" w:rsidRPr="00784566" w:rsidRDefault="00A1068E" w:rsidP="00866BCB">
      <w:pPr>
        <w:pStyle w:val="PointManual"/>
        <w:spacing w:before="0"/>
        <w:rPr>
          <w:rFonts w:eastAsia="Calibri"/>
        </w:rPr>
      </w:pPr>
      <w:r w:rsidRPr="00784566">
        <w:t>6.</w:t>
      </w:r>
      <w:r w:rsidRPr="00784566">
        <w:tab/>
        <w:t>а)</w:t>
      </w:r>
      <w:r w:rsidRPr="00784566">
        <w:tab/>
        <w:t xml:space="preserve">REACH — предизвикателства и възможности за подобряване на </w:t>
      </w:r>
      <w:r w:rsidR="00CF2A62" w:rsidRPr="00CF2A62">
        <w:tab/>
      </w:r>
      <w:bookmarkStart w:id="1" w:name="_GoBack"/>
      <w:bookmarkEnd w:id="1"/>
      <w:r w:rsidRPr="00784566">
        <w:t xml:space="preserve">законодателството по отношение на </w:t>
      </w:r>
    </w:p>
    <w:p w:rsidR="00E64177" w:rsidRPr="00784566" w:rsidRDefault="00E64177" w:rsidP="00866BCB">
      <w:pPr>
        <w:pStyle w:val="Text2"/>
        <w:rPr>
          <w:rFonts w:eastAsia="Calibri"/>
        </w:rPr>
      </w:pPr>
      <w:r w:rsidRPr="00784566">
        <w:t xml:space="preserve"> химикалите</w:t>
      </w:r>
    </w:p>
    <w:p w:rsidR="00E64177" w:rsidRPr="00784566" w:rsidRDefault="00E64177" w:rsidP="00DC0F9E">
      <w:pPr>
        <w:pStyle w:val="Dash2"/>
        <w:numPr>
          <w:ilvl w:val="0"/>
          <w:numId w:val="3"/>
        </w:numPr>
        <w:rPr>
          <w:rFonts w:eastAsia="Calibri"/>
        </w:rPr>
      </w:pPr>
      <w:r w:rsidRPr="00784566">
        <w:t>Информация от председателството, подкрепено от делегациите на Австрия, Белгия, Дания, Франция, Германия, Нидерландия и Швеция</w:t>
      </w:r>
    </w:p>
    <w:p w:rsidR="00A1068E" w:rsidRPr="00784566" w:rsidRDefault="00A1068E" w:rsidP="00866BCB">
      <w:pPr>
        <w:rPr>
          <w:rFonts w:eastAsia="Calibri"/>
        </w:rPr>
      </w:pPr>
    </w:p>
    <w:p w:rsidR="00A1068E" w:rsidRPr="00784566" w:rsidRDefault="006D4F3D" w:rsidP="00E7160B">
      <w:pPr>
        <w:pStyle w:val="PointManual1"/>
        <w:rPr>
          <w:highlight w:val="yellow"/>
        </w:rPr>
      </w:pPr>
      <w:r w:rsidRPr="00784566">
        <w:t>б)</w:t>
      </w:r>
      <w:r w:rsidRPr="00784566">
        <w:tab/>
        <w:t>Устойчиви методи на производство и потребление на лекарствата и управление на отпадъците от тях</w:t>
      </w:r>
    </w:p>
    <w:p w:rsidR="006D4F3D" w:rsidRPr="00784566" w:rsidRDefault="006D4F3D" w:rsidP="004A6547">
      <w:pPr>
        <w:pStyle w:val="Dash2"/>
      </w:pPr>
      <w:r w:rsidRPr="00784566">
        <w:t>Информация от делегацията на Швеция</w:t>
      </w:r>
    </w:p>
    <w:p w:rsidR="00A1068E" w:rsidRPr="00784566" w:rsidRDefault="00A1068E" w:rsidP="00866BCB"/>
    <w:p w:rsidR="00717A8C" w:rsidRPr="00784566" w:rsidRDefault="006D4F3D" w:rsidP="00AA7531">
      <w:pPr>
        <w:pStyle w:val="PointManual1"/>
        <w:rPr>
          <w:rFonts w:ascii="Bookman Old Style" w:hAnsi="Bookman Old Style"/>
        </w:rPr>
      </w:pPr>
      <w:r w:rsidRPr="00784566">
        <w:t>в)</w:t>
      </w:r>
      <w:r w:rsidRPr="00784566">
        <w:tab/>
      </w:r>
      <w:r w:rsidRPr="00784566">
        <w:rPr>
          <w:rFonts w:asciiTheme="majorBidi" w:hAnsiTheme="majorBidi" w:cstheme="majorBidi"/>
        </w:rPr>
        <w:t>19-а редовна среща на договарящите се страни (COP 19) по Конвенцията за защита на морската среда и на крайбрежните райони в Средиземноморието и нейните протоколи (</w:t>
      </w:r>
      <w:r w:rsidRPr="00784566">
        <w:t>Конвенция от Барселона) (Атина, 9—12 февруари 2016 г.)</w:t>
      </w:r>
    </w:p>
    <w:p w:rsidR="006D4F3D" w:rsidRPr="00784566" w:rsidRDefault="006D4F3D" w:rsidP="004649A9">
      <w:pPr>
        <w:pStyle w:val="Dash2"/>
      </w:pPr>
      <w:r w:rsidRPr="00784566">
        <w:t>Информация от делегацията на Гърция</w:t>
      </w:r>
    </w:p>
    <w:p w:rsidR="00A1068E" w:rsidRPr="00784566" w:rsidRDefault="00A1068E" w:rsidP="00866BCB"/>
    <w:p w:rsidR="00A1068E" w:rsidRPr="00784566" w:rsidRDefault="006D4F3D" w:rsidP="00866BCB">
      <w:pPr>
        <w:pStyle w:val="PointManual1"/>
      </w:pPr>
      <w:r w:rsidRPr="00784566">
        <w:t>г)</w:t>
      </w:r>
      <w:r w:rsidRPr="00784566">
        <w:tab/>
        <w:t>Намаляване на замърсяването, причинено от номадския начин на потребление: пледоария за европейски режим на връщане на амбалаж</w:t>
      </w:r>
    </w:p>
    <w:p w:rsidR="00A1068E" w:rsidRPr="00784566" w:rsidRDefault="00A1068E" w:rsidP="00866BCB">
      <w:pPr>
        <w:pStyle w:val="Dash2"/>
      </w:pPr>
      <w:r w:rsidRPr="00784566">
        <w:t>Информация от делегацията на Белгия</w:t>
      </w:r>
    </w:p>
    <w:p w:rsidR="00717A8C" w:rsidRPr="00784566" w:rsidRDefault="00717A8C" w:rsidP="00866BCB"/>
    <w:p w:rsidR="004A6547" w:rsidRPr="00784566" w:rsidRDefault="004A6547" w:rsidP="004A6547">
      <w:pPr>
        <w:pStyle w:val="PointManual1"/>
      </w:pPr>
      <w:r w:rsidRPr="00784566">
        <w:t>д)</w:t>
      </w:r>
      <w:r w:rsidRPr="00784566">
        <w:tab/>
        <w:t>Доклад за състоянието на енергийния съюз</w:t>
      </w:r>
    </w:p>
    <w:p w:rsidR="004A6547" w:rsidRPr="00784566" w:rsidRDefault="004A6547" w:rsidP="00AA7531">
      <w:pPr>
        <w:pStyle w:val="Dash2"/>
        <w:numPr>
          <w:ilvl w:val="0"/>
          <w:numId w:val="1"/>
        </w:numPr>
        <w:outlineLvl w:val="9"/>
      </w:pPr>
      <w:r w:rsidRPr="00784566">
        <w:t>Информация от Комисията</w:t>
      </w:r>
    </w:p>
    <w:p w:rsidR="004A6547" w:rsidRPr="00784566" w:rsidRDefault="00FB6D04" w:rsidP="004A6547">
      <w:r w:rsidRPr="00784566">
        <w:br w:type="page"/>
      </w:r>
    </w:p>
    <w:p w:rsidR="00E64177" w:rsidRPr="00784566" w:rsidRDefault="004A6547" w:rsidP="00866BCB">
      <w:pPr>
        <w:pStyle w:val="PointManual1"/>
      </w:pPr>
      <w:r w:rsidRPr="00784566">
        <w:t>е)</w:t>
      </w:r>
      <w:r w:rsidRPr="00784566">
        <w:tab/>
        <w:t>(евентуално) Пакет от предложения за насърчаване на кръговата икономика</w:t>
      </w:r>
    </w:p>
    <w:p w:rsidR="00E64177" w:rsidRPr="00784566" w:rsidRDefault="00E64177" w:rsidP="00866BCB">
      <w:pPr>
        <w:pStyle w:val="Dash2"/>
      </w:pPr>
      <w:r w:rsidRPr="00784566">
        <w:t>Информация от Комисията</w:t>
      </w:r>
    </w:p>
    <w:p w:rsidR="00E64177" w:rsidRPr="00784566" w:rsidRDefault="00E64177" w:rsidP="00866BCB"/>
    <w:p w:rsidR="00E64177" w:rsidRPr="00784566" w:rsidRDefault="004A6547" w:rsidP="00866BCB">
      <w:pPr>
        <w:pStyle w:val="PointManual1"/>
      </w:pPr>
      <w:r w:rsidRPr="00784566">
        <w:t>ж)</w:t>
      </w:r>
      <w:r w:rsidRPr="00784566">
        <w:tab/>
        <w:t>(евентуално) Емисии при реални условия на шофиране</w:t>
      </w:r>
    </w:p>
    <w:p w:rsidR="00E64177" w:rsidRPr="00784566" w:rsidRDefault="00E64177" w:rsidP="00866BCB">
      <w:pPr>
        <w:pStyle w:val="Dash2"/>
        <w:rPr>
          <w:i/>
          <w:iCs/>
        </w:rPr>
      </w:pPr>
      <w:r w:rsidRPr="00784566">
        <w:t>Информация от Комисията</w:t>
      </w:r>
    </w:p>
    <w:p w:rsidR="00E64177" w:rsidRPr="00784566" w:rsidRDefault="00E64177" w:rsidP="00AA7531"/>
    <w:p w:rsidR="00E64177" w:rsidRPr="00784566" w:rsidRDefault="004A6547" w:rsidP="005D57D1">
      <w:pPr>
        <w:pStyle w:val="PointManual1"/>
      </w:pPr>
      <w:r w:rsidRPr="00784566">
        <w:t>з)</w:t>
      </w:r>
      <w:r w:rsidRPr="00784566">
        <w:tab/>
        <w:t>(евентуално) 21-ва сесия на Конференцията на страните (COP 21) по Рамковата конвенция на ООН по изменение на климата (РКООНИК) и 11-а сесия на Срещата на страните по Протокола от Киото (CMP 11) (Париж, от 30 ноември до 11 декември 2015 г.)</w:t>
      </w:r>
    </w:p>
    <w:p w:rsidR="00E64177" w:rsidRPr="00784566" w:rsidRDefault="00A1068E" w:rsidP="00866BCB">
      <w:pPr>
        <w:pStyle w:val="Dash2"/>
      </w:pPr>
      <w:r w:rsidRPr="00784566">
        <w:t>Информация от председателството и Комисията</w:t>
      </w:r>
    </w:p>
    <w:p w:rsidR="00244CB9" w:rsidRPr="00784566" w:rsidRDefault="00244CB9" w:rsidP="004A6547"/>
    <w:p w:rsidR="00E64177" w:rsidRPr="00784566" w:rsidRDefault="00244CB9" w:rsidP="00866BCB">
      <w:pPr>
        <w:pStyle w:val="PointManual1"/>
      </w:pPr>
      <w:r w:rsidRPr="00784566">
        <w:t>и)</w:t>
      </w:r>
      <w:r w:rsidRPr="00784566">
        <w:tab/>
        <w:t>Работна програма на предстоящото председателство</w:t>
      </w:r>
    </w:p>
    <w:p w:rsidR="00E64177" w:rsidRPr="00784566" w:rsidRDefault="00E64177" w:rsidP="00866BCB">
      <w:pPr>
        <w:pStyle w:val="Dash2"/>
        <w:rPr>
          <w:iCs/>
        </w:rPr>
      </w:pPr>
      <w:r w:rsidRPr="00784566">
        <w:t>Информация от делегацията на Нидерландия</w:t>
      </w:r>
    </w:p>
    <w:p w:rsidR="00FB6D04" w:rsidRPr="00784566" w:rsidRDefault="00FB6D04" w:rsidP="00FB6D04"/>
    <w:p w:rsidR="00FB6D04" w:rsidRPr="00784566" w:rsidRDefault="00FB6D04" w:rsidP="00FB6D04"/>
    <w:p w:rsidR="00371347" w:rsidRPr="00784566" w:rsidRDefault="00371347" w:rsidP="00371347">
      <w:pPr>
        <w:pStyle w:val="FinalLine"/>
      </w:pPr>
    </w:p>
    <w:p w:rsidR="00371347" w:rsidRPr="00784566" w:rsidRDefault="002F7C9D" w:rsidP="002F7C9D">
      <w:pPr>
        <w:pStyle w:val="NB"/>
        <w:spacing w:before="2400"/>
      </w:pPr>
      <w:r w:rsidRPr="00784566">
        <w:t>NB:</w:t>
      </w:r>
      <w:r w:rsidRPr="00784566">
        <w:tab/>
        <w:t xml:space="preserve">Моля изпратете до служба „Протокол“ във възможно най-кратък срок списък на делегатите, които ще участват в заседанието, на адрес </w:t>
      </w:r>
      <w:proofErr w:type="spellStart"/>
      <w:r w:rsidRPr="00784566">
        <w:t>protocole</w:t>
      </w:r>
      <w:proofErr w:type="spellEnd"/>
      <w:r w:rsidRPr="00784566">
        <w:t>.</w:t>
      </w:r>
      <w:proofErr w:type="spellStart"/>
      <w:r w:rsidRPr="00784566">
        <w:t>participants@consilium</w:t>
      </w:r>
      <w:proofErr w:type="spellEnd"/>
      <w:r w:rsidRPr="00784566">
        <w:t>.</w:t>
      </w:r>
      <w:proofErr w:type="spellStart"/>
      <w:r w:rsidRPr="00784566">
        <w:t>europa</w:t>
      </w:r>
      <w:proofErr w:type="spellEnd"/>
      <w:r w:rsidRPr="00784566">
        <w:t>.</w:t>
      </w:r>
      <w:proofErr w:type="spellStart"/>
      <w:r w:rsidRPr="00784566">
        <w:t>eu</w:t>
      </w:r>
      <w:proofErr w:type="spellEnd"/>
      <w:r w:rsidRPr="00784566">
        <w:t>.</w:t>
      </w:r>
    </w:p>
    <w:p w:rsidR="00FC4670" w:rsidRPr="002F7C9D" w:rsidRDefault="002F7C9D" w:rsidP="002F7C9D">
      <w:pPr>
        <w:pStyle w:val="NB"/>
      </w:pPr>
      <w:r w:rsidRPr="00784566">
        <w:t>NB:</w:t>
      </w:r>
      <w:r w:rsidRPr="00784566"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2F7C9D" w:rsidSect="007845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347" w:rsidRDefault="00371347" w:rsidP="00371347">
      <w:r>
        <w:separator/>
      </w:r>
    </w:p>
  </w:endnote>
  <w:endnote w:type="continuationSeparator" w:id="0">
    <w:p w:rsidR="00371347" w:rsidRDefault="00371347" w:rsidP="0037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F9E" w:rsidRPr="00784566" w:rsidRDefault="00DC0F9E" w:rsidP="007845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84566" w:rsidRPr="00D94637" w:rsidTr="0078456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84566" w:rsidRPr="00D94637" w:rsidRDefault="0078456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784566" w:rsidRPr="00B310DC" w:rsidTr="0078456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84566" w:rsidRPr="00AD7BF2" w:rsidRDefault="00784566" w:rsidP="004F54B2">
          <w:pPr>
            <w:pStyle w:val="FooterText"/>
          </w:pPr>
          <w:r>
            <w:t>CM 4769/15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84566" w:rsidRPr="00AD7BF2" w:rsidRDefault="0078456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84566" w:rsidRPr="002511D8" w:rsidRDefault="0078456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84566" w:rsidRPr="00B310DC" w:rsidRDefault="0078456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27102">
            <w:rPr>
              <w:noProof/>
            </w:rPr>
            <w:t>3</w:t>
          </w:r>
          <w:r>
            <w:fldChar w:fldCharType="end"/>
          </w:r>
        </w:p>
      </w:tc>
    </w:tr>
    <w:tr w:rsidR="00784566" w:rsidRPr="00D94637" w:rsidTr="00784566">
      <w:trPr>
        <w:jc w:val="center"/>
      </w:trPr>
      <w:tc>
        <w:tcPr>
          <w:tcW w:w="1774" w:type="pct"/>
          <w:shd w:val="clear" w:color="auto" w:fill="auto"/>
        </w:tcPr>
        <w:p w:rsidR="00784566" w:rsidRPr="00AD7BF2" w:rsidRDefault="0078456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84566" w:rsidRPr="00AD7BF2" w:rsidRDefault="0078456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84566" w:rsidRPr="00D94637" w:rsidRDefault="0078456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84566" w:rsidRPr="00D94637" w:rsidRDefault="0078456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371347" w:rsidRPr="00784566" w:rsidRDefault="00371347" w:rsidP="0078456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84566" w:rsidRPr="00D94637" w:rsidTr="0078456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84566" w:rsidRPr="00D94637" w:rsidRDefault="0078456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84566" w:rsidRPr="00B310DC" w:rsidTr="0078456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84566" w:rsidRPr="00AD7BF2" w:rsidRDefault="00784566" w:rsidP="004F54B2">
          <w:pPr>
            <w:pStyle w:val="FooterText"/>
          </w:pPr>
          <w:r>
            <w:t>CM 4769/15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84566" w:rsidRPr="00AD7BF2" w:rsidRDefault="0078456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84566" w:rsidRPr="002511D8" w:rsidRDefault="0078456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84566" w:rsidRPr="00B310DC" w:rsidRDefault="0078456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27102">
            <w:rPr>
              <w:noProof/>
            </w:rPr>
            <w:t>1</w:t>
          </w:r>
          <w:r>
            <w:fldChar w:fldCharType="end"/>
          </w:r>
        </w:p>
      </w:tc>
    </w:tr>
    <w:tr w:rsidR="00784566" w:rsidRPr="00D94637" w:rsidTr="00784566">
      <w:trPr>
        <w:jc w:val="center"/>
      </w:trPr>
      <w:tc>
        <w:tcPr>
          <w:tcW w:w="1774" w:type="pct"/>
          <w:shd w:val="clear" w:color="auto" w:fill="auto"/>
        </w:tcPr>
        <w:p w:rsidR="00784566" w:rsidRPr="00AD7BF2" w:rsidRDefault="0078456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84566" w:rsidRPr="00AD7BF2" w:rsidRDefault="0078456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84566" w:rsidRPr="00D94637" w:rsidRDefault="0078456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84566" w:rsidRPr="00D94637" w:rsidRDefault="0078456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371347" w:rsidRPr="00784566" w:rsidRDefault="00371347" w:rsidP="0078456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347" w:rsidRDefault="00371347" w:rsidP="00371347">
      <w:r>
        <w:separator/>
      </w:r>
    </w:p>
  </w:footnote>
  <w:footnote w:type="continuationSeparator" w:id="0">
    <w:p w:rsidR="00371347" w:rsidRDefault="00371347" w:rsidP="00371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F9E" w:rsidRPr="00784566" w:rsidRDefault="00DC0F9E" w:rsidP="007845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F9E" w:rsidRPr="00784566" w:rsidRDefault="00DC0F9E" w:rsidP="0078456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F9E" w:rsidRPr="00784566" w:rsidRDefault="00DC0F9E" w:rsidP="00784566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5"/>
  </w:num>
  <w:num w:numId="2">
    <w:abstractNumId w:val="17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1"/>
  </w:num>
  <w:num w:numId="5">
    <w:abstractNumId w:val="17"/>
  </w:num>
  <w:num w:numId="6">
    <w:abstractNumId w:val="5"/>
  </w:num>
  <w:num w:numId="7">
    <w:abstractNumId w:val="13"/>
  </w:num>
  <w:num w:numId="8">
    <w:abstractNumId w:val="3"/>
  </w:num>
  <w:num w:numId="9">
    <w:abstractNumId w:val="18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15"/>
  </w:num>
  <w:num w:numId="16">
    <w:abstractNumId w:val="8"/>
  </w:num>
  <w:num w:numId="17">
    <w:abstractNumId w:val="4"/>
  </w:num>
  <w:num w:numId="18">
    <w:abstractNumId w:val="16"/>
  </w:num>
  <w:num w:numId="19">
    <w:abstractNumId w:val="6"/>
  </w:num>
  <w:num w:numId="20">
    <w:abstractNumId w:val="0"/>
  </w:num>
  <w:num w:numId="21">
    <w:abstractNumId w:val="2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7a33778f-8221-4973-9753-946e105dcc7e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2-01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769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ENV&lt;/text&gt;_x000d__x000a_      &lt;text&gt;CLIMA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.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41-&amp;#1074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82;&amp;#1086;&amp;#1083;&amp;#1085;&amp;#1072; &amp;#1089;&amp;#1088;&amp;#1077;&amp;#1076;&amp;#1072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3441-&amp;#1074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4;&amp;#1082;&amp;#1086;&amp;#1083;&amp;#1085;&amp;#1072; &amp;#1089;&amp;#1088;&amp;#1077;&amp;#1076;&amp;#1072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tru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2-16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371347"/>
    <w:rsid w:val="00010C1D"/>
    <w:rsid w:val="00027102"/>
    <w:rsid w:val="0009656C"/>
    <w:rsid w:val="00160032"/>
    <w:rsid w:val="00165755"/>
    <w:rsid w:val="00182F2F"/>
    <w:rsid w:val="001C1958"/>
    <w:rsid w:val="00213F1F"/>
    <w:rsid w:val="00235E77"/>
    <w:rsid w:val="00244CB9"/>
    <w:rsid w:val="00271026"/>
    <w:rsid w:val="002A2AE8"/>
    <w:rsid w:val="002F7C9D"/>
    <w:rsid w:val="00323BB7"/>
    <w:rsid w:val="00371347"/>
    <w:rsid w:val="003C6E8B"/>
    <w:rsid w:val="003D1701"/>
    <w:rsid w:val="00442974"/>
    <w:rsid w:val="00444FDB"/>
    <w:rsid w:val="00455709"/>
    <w:rsid w:val="004649A9"/>
    <w:rsid w:val="004A6547"/>
    <w:rsid w:val="005157F5"/>
    <w:rsid w:val="005A5F4C"/>
    <w:rsid w:val="005C4A3B"/>
    <w:rsid w:val="005D57D1"/>
    <w:rsid w:val="00600026"/>
    <w:rsid w:val="0063379B"/>
    <w:rsid w:val="006A38C5"/>
    <w:rsid w:val="006C1AD4"/>
    <w:rsid w:val="006D4F3D"/>
    <w:rsid w:val="006E33E2"/>
    <w:rsid w:val="006F4741"/>
    <w:rsid w:val="00706368"/>
    <w:rsid w:val="00717A8C"/>
    <w:rsid w:val="0075756A"/>
    <w:rsid w:val="00774B58"/>
    <w:rsid w:val="00784566"/>
    <w:rsid w:val="00812BD3"/>
    <w:rsid w:val="00825503"/>
    <w:rsid w:val="00866BCB"/>
    <w:rsid w:val="00872EDF"/>
    <w:rsid w:val="008826F8"/>
    <w:rsid w:val="00883CA5"/>
    <w:rsid w:val="008F50EA"/>
    <w:rsid w:val="00952030"/>
    <w:rsid w:val="00980958"/>
    <w:rsid w:val="009F1A16"/>
    <w:rsid w:val="00A1068E"/>
    <w:rsid w:val="00A469D7"/>
    <w:rsid w:val="00AA7531"/>
    <w:rsid w:val="00B11FC5"/>
    <w:rsid w:val="00B26F03"/>
    <w:rsid w:val="00B6652F"/>
    <w:rsid w:val="00BE1373"/>
    <w:rsid w:val="00BF4DE4"/>
    <w:rsid w:val="00C977D6"/>
    <w:rsid w:val="00CC020B"/>
    <w:rsid w:val="00CF2A62"/>
    <w:rsid w:val="00D451E4"/>
    <w:rsid w:val="00DC0F9E"/>
    <w:rsid w:val="00DC7536"/>
    <w:rsid w:val="00DD2977"/>
    <w:rsid w:val="00E64177"/>
    <w:rsid w:val="00E7160B"/>
    <w:rsid w:val="00EA0D21"/>
    <w:rsid w:val="00EF273B"/>
    <w:rsid w:val="00FB5B95"/>
    <w:rsid w:val="00FB6D0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37134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371347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371347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371347"/>
  </w:style>
  <w:style w:type="paragraph" w:styleId="BalloonText">
    <w:name w:val="Balloon Text"/>
    <w:basedOn w:val="Normal"/>
    <w:link w:val="BalloonTextChar"/>
    <w:uiPriority w:val="99"/>
    <w:semiHidden/>
    <w:unhideWhenUsed/>
    <w:rsid w:val="00E71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60B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31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31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AA7531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784566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37134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371347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371347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371347"/>
  </w:style>
  <w:style w:type="paragraph" w:styleId="BalloonText">
    <w:name w:val="Balloon Text"/>
    <w:basedOn w:val="Normal"/>
    <w:link w:val="BalloonTextChar"/>
    <w:uiPriority w:val="99"/>
    <w:semiHidden/>
    <w:unhideWhenUsed/>
    <w:rsid w:val="00E71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60B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31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31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AA7531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784566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06D88-DA57-424C-B1A8-AED51C0E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392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DOURJANOVA Gergana</cp:lastModifiedBy>
  <cp:revision>2</cp:revision>
  <cp:lastPrinted>2015-12-01T14:31:00Z</cp:lastPrinted>
  <dcterms:created xsi:type="dcterms:W3CDTF">2015-12-02T14:00:00Z</dcterms:created>
  <dcterms:modified xsi:type="dcterms:W3CDTF">2015-12-02T14:00:00Z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