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4A" w:rsidRPr="004B56CD" w:rsidRDefault="00F84A6E" w:rsidP="004B56C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41d78c1-7054-44ea-b4ed-df7f9d8e60d0_0" style="width:573.75pt;height:425.25pt">
            <v:imagedata r:id="rId9" o:title=""/>
          </v:shape>
        </w:pict>
      </w:r>
      <w:bookmarkEnd w:id="0"/>
    </w:p>
    <w:p w:rsidR="000B14EB" w:rsidRDefault="000B14EB" w:rsidP="000B14EB">
      <w:pPr>
        <w:pStyle w:val="TechnicalBlock"/>
        <w:ind w:left="-1134" w:right="-1134"/>
        <w:sectPr w:rsidR="000B14EB" w:rsidSect="00F84A6E">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FE52F7" w:rsidRDefault="006C6135" w:rsidP="006C6135">
      <w:pPr>
        <w:pStyle w:val="TOCHeading"/>
      </w:pPr>
      <w:r>
        <w:lastRenderedPageBreak/>
        <w:t>CONTENTS</w:t>
      </w:r>
      <w:r w:rsidRPr="006C6135">
        <w:rPr>
          <w:vertAlign w:val="superscript"/>
        </w:rPr>
        <w:t>1</w:t>
      </w:r>
    </w:p>
    <w:p w:rsidR="006C6135" w:rsidRDefault="006C6135" w:rsidP="006C6135">
      <w:pPr>
        <w:pStyle w:val="TOC5"/>
      </w:pPr>
      <w:r>
        <w:t>ITEMS DEBATED</w:t>
      </w:r>
    </w:p>
    <w:p w:rsidR="006C6135" w:rsidRDefault="006C6135" w:rsidP="006C6135">
      <w:pPr>
        <w:pStyle w:val="TOC6"/>
        <w:rPr>
          <w:rFonts w:asciiTheme="minorHAnsi" w:eastAsiaTheme="minorEastAsia" w:hAnsiTheme="minorHAnsi" w:cstheme="minorBidi"/>
          <w:noProof/>
          <w:sz w:val="22"/>
          <w:szCs w:val="22"/>
          <w:lang w:eastAsia="en-GB"/>
        </w:rPr>
      </w:pPr>
      <w:r>
        <w:rPr>
          <w:noProof/>
        </w:rPr>
        <w:t>FISHERIES</w:t>
      </w:r>
      <w:r>
        <w:rPr>
          <w:noProof/>
        </w:rPr>
        <w:tab/>
      </w:r>
      <w:r>
        <w:rPr>
          <w:noProof/>
        </w:rPr>
        <w:fldChar w:fldCharType="begin"/>
      </w:r>
      <w:r>
        <w:rPr>
          <w:noProof/>
        </w:rPr>
        <w:instrText xml:space="preserve"> PAGEREF \h _Toc436831218 \* MERGEFORMAT </w:instrText>
      </w:r>
      <w:r>
        <w:rPr>
          <w:noProof/>
        </w:rPr>
      </w:r>
      <w:r>
        <w:rPr>
          <w:noProof/>
        </w:rPr>
        <w:fldChar w:fldCharType="separate"/>
      </w:r>
      <w:r w:rsidR="00F84A6E">
        <w:rPr>
          <w:noProof/>
        </w:rPr>
        <w:t>4</w:t>
      </w:r>
      <w:r>
        <w:rPr>
          <w:noProof/>
        </w:rPr>
        <w:fldChar w:fldCharType="end"/>
      </w:r>
    </w:p>
    <w:p w:rsidR="006C6135" w:rsidRDefault="006C6135" w:rsidP="006C6135">
      <w:pPr>
        <w:pStyle w:val="TOC9"/>
        <w:rPr>
          <w:rFonts w:asciiTheme="minorHAnsi" w:eastAsiaTheme="minorEastAsia" w:hAnsiTheme="minorHAnsi" w:cstheme="minorBidi"/>
          <w:noProof/>
          <w:sz w:val="22"/>
          <w:szCs w:val="22"/>
          <w:lang w:eastAsia="en-GB"/>
        </w:rPr>
      </w:pPr>
      <w:r>
        <w:rPr>
          <w:noProof/>
        </w:rPr>
        <w:t>Fishing opportunities in the Baltic Sea for 2016</w:t>
      </w:r>
      <w:r>
        <w:rPr>
          <w:noProof/>
        </w:rPr>
        <w:tab/>
      </w:r>
      <w:r>
        <w:rPr>
          <w:noProof/>
        </w:rPr>
        <w:fldChar w:fldCharType="begin"/>
      </w:r>
      <w:r>
        <w:rPr>
          <w:noProof/>
        </w:rPr>
        <w:instrText xml:space="preserve"> PAGEREF \h _Toc436831219 \* MERGEFORMAT </w:instrText>
      </w:r>
      <w:r>
        <w:rPr>
          <w:noProof/>
        </w:rPr>
      </w:r>
      <w:r>
        <w:rPr>
          <w:noProof/>
        </w:rPr>
        <w:fldChar w:fldCharType="separate"/>
      </w:r>
      <w:r w:rsidR="00F84A6E">
        <w:rPr>
          <w:noProof/>
        </w:rPr>
        <w:t>4</w:t>
      </w:r>
      <w:r>
        <w:rPr>
          <w:noProof/>
        </w:rPr>
        <w:fldChar w:fldCharType="end"/>
      </w:r>
    </w:p>
    <w:p w:rsidR="006C6135" w:rsidRDefault="006C6135" w:rsidP="006C6135">
      <w:pPr>
        <w:pStyle w:val="TOC9"/>
        <w:rPr>
          <w:rFonts w:asciiTheme="minorHAnsi" w:eastAsiaTheme="minorEastAsia" w:hAnsiTheme="minorHAnsi" w:cstheme="minorBidi"/>
          <w:noProof/>
          <w:sz w:val="22"/>
          <w:szCs w:val="22"/>
          <w:lang w:eastAsia="en-GB"/>
        </w:rPr>
      </w:pPr>
      <w:r>
        <w:rPr>
          <w:noProof/>
        </w:rPr>
        <w:t>EU/Norway: annual consultations for 2016</w:t>
      </w:r>
      <w:r>
        <w:rPr>
          <w:noProof/>
        </w:rPr>
        <w:tab/>
      </w:r>
      <w:r>
        <w:rPr>
          <w:noProof/>
        </w:rPr>
        <w:fldChar w:fldCharType="begin"/>
      </w:r>
      <w:r>
        <w:rPr>
          <w:noProof/>
        </w:rPr>
        <w:instrText xml:space="preserve"> PAGEREF \h _Toc436831220 \* MERGEFORMAT </w:instrText>
      </w:r>
      <w:r>
        <w:rPr>
          <w:noProof/>
        </w:rPr>
      </w:r>
      <w:r>
        <w:rPr>
          <w:noProof/>
        </w:rPr>
        <w:fldChar w:fldCharType="separate"/>
      </w:r>
      <w:r w:rsidR="00F84A6E">
        <w:rPr>
          <w:noProof/>
        </w:rPr>
        <w:t>6</w:t>
      </w:r>
      <w:r>
        <w:rPr>
          <w:noProof/>
        </w:rPr>
        <w:fldChar w:fldCharType="end"/>
      </w:r>
    </w:p>
    <w:p w:rsidR="006C6135" w:rsidRDefault="006C6135" w:rsidP="006C6135">
      <w:pPr>
        <w:pStyle w:val="TOC6"/>
        <w:rPr>
          <w:rFonts w:asciiTheme="minorHAnsi" w:eastAsiaTheme="minorEastAsia" w:hAnsiTheme="minorHAnsi" w:cstheme="minorBidi"/>
          <w:noProof/>
          <w:sz w:val="22"/>
          <w:szCs w:val="22"/>
          <w:lang w:eastAsia="en-GB"/>
        </w:rPr>
      </w:pPr>
      <w:r>
        <w:rPr>
          <w:noProof/>
        </w:rPr>
        <w:t>AGRICULTURE</w:t>
      </w:r>
      <w:r>
        <w:rPr>
          <w:noProof/>
        </w:rPr>
        <w:tab/>
      </w:r>
      <w:r>
        <w:rPr>
          <w:noProof/>
        </w:rPr>
        <w:fldChar w:fldCharType="begin"/>
      </w:r>
      <w:r>
        <w:rPr>
          <w:noProof/>
        </w:rPr>
        <w:instrText xml:space="preserve"> PAGEREF \h _Toc436831221 \* MERGEFORMAT </w:instrText>
      </w:r>
      <w:r>
        <w:rPr>
          <w:noProof/>
        </w:rPr>
      </w:r>
      <w:r>
        <w:rPr>
          <w:noProof/>
        </w:rPr>
        <w:fldChar w:fldCharType="separate"/>
      </w:r>
      <w:r w:rsidR="00F84A6E">
        <w:rPr>
          <w:noProof/>
        </w:rPr>
        <w:t>7</w:t>
      </w:r>
      <w:r>
        <w:rPr>
          <w:noProof/>
        </w:rPr>
        <w:fldChar w:fldCharType="end"/>
      </w:r>
    </w:p>
    <w:p w:rsidR="006C6135" w:rsidRDefault="006C6135" w:rsidP="006C6135">
      <w:pPr>
        <w:pStyle w:val="TOC9"/>
        <w:rPr>
          <w:rFonts w:asciiTheme="minorHAnsi" w:eastAsiaTheme="minorEastAsia" w:hAnsiTheme="minorHAnsi" w:cstheme="minorBidi"/>
          <w:noProof/>
          <w:sz w:val="22"/>
          <w:szCs w:val="22"/>
          <w:lang w:eastAsia="en-GB"/>
        </w:rPr>
      </w:pPr>
      <w:r>
        <w:rPr>
          <w:noProof/>
        </w:rPr>
        <w:t>Climate-smart agriculture</w:t>
      </w:r>
      <w:r>
        <w:rPr>
          <w:noProof/>
        </w:rPr>
        <w:tab/>
      </w:r>
      <w:r>
        <w:rPr>
          <w:noProof/>
        </w:rPr>
        <w:fldChar w:fldCharType="begin"/>
      </w:r>
      <w:r>
        <w:rPr>
          <w:noProof/>
        </w:rPr>
        <w:instrText xml:space="preserve"> PAGEREF \h _Toc436831222 \* MERGEFORMAT </w:instrText>
      </w:r>
      <w:r>
        <w:rPr>
          <w:noProof/>
        </w:rPr>
      </w:r>
      <w:r>
        <w:rPr>
          <w:noProof/>
        </w:rPr>
        <w:fldChar w:fldCharType="separate"/>
      </w:r>
      <w:r w:rsidR="00F84A6E">
        <w:rPr>
          <w:noProof/>
        </w:rPr>
        <w:t>7</w:t>
      </w:r>
      <w:r>
        <w:rPr>
          <w:noProof/>
        </w:rPr>
        <w:fldChar w:fldCharType="end"/>
      </w:r>
    </w:p>
    <w:p w:rsidR="006C6135" w:rsidRDefault="006C6135" w:rsidP="006C6135">
      <w:pPr>
        <w:pStyle w:val="TOC6"/>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_Toc436831223 \* MERGEFORMAT </w:instrText>
      </w:r>
      <w:r>
        <w:rPr>
          <w:noProof/>
        </w:rPr>
      </w:r>
      <w:r>
        <w:rPr>
          <w:noProof/>
        </w:rPr>
        <w:fldChar w:fldCharType="separate"/>
      </w:r>
      <w:r w:rsidR="00F84A6E">
        <w:rPr>
          <w:noProof/>
        </w:rPr>
        <w:t>8</w:t>
      </w:r>
      <w:r>
        <w:rPr>
          <w:noProof/>
        </w:rPr>
        <w:fldChar w:fldCharType="end"/>
      </w:r>
    </w:p>
    <w:p w:rsidR="006C6135" w:rsidRDefault="006C6135" w:rsidP="006C6135">
      <w:pPr>
        <w:pStyle w:val="TOC9"/>
        <w:rPr>
          <w:rFonts w:asciiTheme="minorHAnsi" w:eastAsiaTheme="minorEastAsia" w:hAnsiTheme="minorHAnsi" w:cstheme="minorBidi"/>
          <w:noProof/>
          <w:sz w:val="22"/>
          <w:szCs w:val="22"/>
          <w:lang w:eastAsia="en-GB"/>
        </w:rPr>
      </w:pPr>
      <w:r>
        <w:rPr>
          <w:noProof/>
        </w:rPr>
        <w:t>Sustainable plant protection</w:t>
      </w:r>
      <w:r>
        <w:rPr>
          <w:noProof/>
        </w:rPr>
        <w:tab/>
      </w:r>
      <w:r>
        <w:rPr>
          <w:noProof/>
        </w:rPr>
        <w:fldChar w:fldCharType="begin"/>
      </w:r>
      <w:r>
        <w:rPr>
          <w:noProof/>
        </w:rPr>
        <w:instrText xml:space="preserve"> PAGEREF \h _Toc436831224 \* MERGEFORMAT </w:instrText>
      </w:r>
      <w:r>
        <w:rPr>
          <w:noProof/>
        </w:rPr>
      </w:r>
      <w:r>
        <w:rPr>
          <w:noProof/>
        </w:rPr>
        <w:fldChar w:fldCharType="separate"/>
      </w:r>
      <w:r w:rsidR="00F84A6E">
        <w:rPr>
          <w:noProof/>
        </w:rPr>
        <w:t>8</w:t>
      </w:r>
      <w:r>
        <w:rPr>
          <w:noProof/>
        </w:rPr>
        <w:fldChar w:fldCharType="end"/>
      </w:r>
    </w:p>
    <w:p w:rsidR="006C6135" w:rsidRDefault="006C6135" w:rsidP="006C6135">
      <w:pPr>
        <w:pStyle w:val="TOC9"/>
        <w:rPr>
          <w:rFonts w:asciiTheme="minorHAnsi" w:eastAsiaTheme="minorEastAsia" w:hAnsiTheme="minorHAnsi" w:cstheme="minorBidi"/>
          <w:noProof/>
          <w:sz w:val="22"/>
          <w:szCs w:val="22"/>
          <w:lang w:eastAsia="en-GB"/>
        </w:rPr>
      </w:pPr>
      <w:r>
        <w:rPr>
          <w:noProof/>
        </w:rPr>
        <w:t>Specialised nutrition</w:t>
      </w:r>
      <w:r>
        <w:rPr>
          <w:noProof/>
        </w:rPr>
        <w:tab/>
      </w:r>
      <w:r>
        <w:rPr>
          <w:noProof/>
        </w:rPr>
        <w:fldChar w:fldCharType="begin"/>
      </w:r>
      <w:r>
        <w:rPr>
          <w:noProof/>
        </w:rPr>
        <w:instrText xml:space="preserve"> PAGEREF \h _Toc436831225 \* MERGEFORMAT </w:instrText>
      </w:r>
      <w:r>
        <w:rPr>
          <w:noProof/>
        </w:rPr>
      </w:r>
      <w:r>
        <w:rPr>
          <w:noProof/>
        </w:rPr>
        <w:fldChar w:fldCharType="separate"/>
      </w:r>
      <w:r w:rsidR="00F84A6E">
        <w:rPr>
          <w:noProof/>
        </w:rPr>
        <w:t>8</w:t>
      </w:r>
      <w:r>
        <w:rPr>
          <w:noProof/>
        </w:rPr>
        <w:fldChar w:fldCharType="end"/>
      </w:r>
    </w:p>
    <w:p w:rsidR="006C6135" w:rsidRDefault="006C6135" w:rsidP="006C6135">
      <w:pPr>
        <w:pStyle w:val="TOC9"/>
        <w:rPr>
          <w:rFonts w:asciiTheme="minorHAnsi" w:eastAsiaTheme="minorEastAsia" w:hAnsiTheme="minorHAnsi" w:cstheme="minorBidi"/>
          <w:noProof/>
          <w:sz w:val="22"/>
          <w:szCs w:val="22"/>
          <w:lang w:eastAsia="en-GB"/>
        </w:rPr>
      </w:pPr>
      <w:r>
        <w:rPr>
          <w:noProof/>
        </w:rPr>
        <w:t>Ministerial conference - GMO-free agriculture in Europe</w:t>
      </w:r>
      <w:r>
        <w:rPr>
          <w:noProof/>
        </w:rPr>
        <w:tab/>
      </w:r>
      <w:r>
        <w:rPr>
          <w:noProof/>
        </w:rPr>
        <w:fldChar w:fldCharType="begin"/>
      </w:r>
      <w:r>
        <w:rPr>
          <w:noProof/>
        </w:rPr>
        <w:instrText xml:space="preserve"> PAGEREF \h _Toc436831226 \* MERGEFORMAT </w:instrText>
      </w:r>
      <w:r>
        <w:rPr>
          <w:noProof/>
        </w:rPr>
      </w:r>
      <w:r>
        <w:rPr>
          <w:noProof/>
        </w:rPr>
        <w:fldChar w:fldCharType="separate"/>
      </w:r>
      <w:r w:rsidR="00F84A6E">
        <w:rPr>
          <w:noProof/>
        </w:rPr>
        <w:t>9</w:t>
      </w:r>
      <w:r>
        <w:rPr>
          <w:noProof/>
        </w:rPr>
        <w:fldChar w:fldCharType="end"/>
      </w:r>
    </w:p>
    <w:p w:rsidR="006C6135" w:rsidRDefault="006C6135" w:rsidP="006C6135">
      <w:pPr>
        <w:pStyle w:val="TOC9"/>
        <w:rPr>
          <w:rFonts w:asciiTheme="minorHAnsi" w:eastAsiaTheme="minorEastAsia" w:hAnsiTheme="minorHAnsi" w:cstheme="minorBidi"/>
          <w:noProof/>
          <w:sz w:val="22"/>
          <w:szCs w:val="22"/>
          <w:lang w:eastAsia="en-GB"/>
        </w:rPr>
      </w:pPr>
      <w:r>
        <w:rPr>
          <w:noProof/>
        </w:rPr>
        <w:t>G7 health ministers meeting - Antimicrobial resistance</w:t>
      </w:r>
      <w:r>
        <w:rPr>
          <w:noProof/>
        </w:rPr>
        <w:tab/>
      </w:r>
      <w:r>
        <w:rPr>
          <w:noProof/>
        </w:rPr>
        <w:fldChar w:fldCharType="begin"/>
      </w:r>
      <w:r>
        <w:rPr>
          <w:noProof/>
        </w:rPr>
        <w:instrText xml:space="preserve"> PAGEREF \h _Toc436831227 \* MERGEFORMAT </w:instrText>
      </w:r>
      <w:r>
        <w:rPr>
          <w:noProof/>
        </w:rPr>
      </w:r>
      <w:r>
        <w:rPr>
          <w:noProof/>
        </w:rPr>
        <w:fldChar w:fldCharType="separate"/>
      </w:r>
      <w:r w:rsidR="00F84A6E">
        <w:rPr>
          <w:noProof/>
        </w:rPr>
        <w:t>9</w:t>
      </w:r>
      <w:r>
        <w:rPr>
          <w:noProof/>
        </w:rPr>
        <w:fldChar w:fldCharType="end"/>
      </w:r>
    </w:p>
    <w:p w:rsidR="006C6135" w:rsidRDefault="006C6135" w:rsidP="006C6135">
      <w:pPr>
        <w:pStyle w:val="TOC9"/>
        <w:rPr>
          <w:rFonts w:asciiTheme="minorHAnsi" w:eastAsiaTheme="minorEastAsia" w:hAnsiTheme="minorHAnsi" w:cstheme="minorBidi"/>
          <w:noProof/>
          <w:sz w:val="22"/>
          <w:szCs w:val="22"/>
          <w:lang w:eastAsia="en-GB"/>
        </w:rPr>
      </w:pPr>
      <w:r>
        <w:rPr>
          <w:noProof/>
        </w:rPr>
        <w:t>New techniques for plant and animal breeding</w:t>
      </w:r>
      <w:r>
        <w:rPr>
          <w:noProof/>
        </w:rPr>
        <w:tab/>
      </w:r>
      <w:r>
        <w:rPr>
          <w:noProof/>
        </w:rPr>
        <w:fldChar w:fldCharType="begin"/>
      </w:r>
      <w:r>
        <w:rPr>
          <w:noProof/>
        </w:rPr>
        <w:instrText xml:space="preserve"> PAGEREF \h _Toc436831228 \* MERGEFORMAT </w:instrText>
      </w:r>
      <w:r>
        <w:rPr>
          <w:noProof/>
        </w:rPr>
      </w:r>
      <w:r>
        <w:rPr>
          <w:noProof/>
        </w:rPr>
        <w:fldChar w:fldCharType="separate"/>
      </w:r>
      <w:r w:rsidR="00F84A6E">
        <w:rPr>
          <w:noProof/>
        </w:rPr>
        <w:t>9</w:t>
      </w:r>
      <w:r>
        <w:rPr>
          <w:noProof/>
        </w:rPr>
        <w:fldChar w:fldCharType="end"/>
      </w:r>
    </w:p>
    <w:p w:rsidR="006C6135" w:rsidRPr="006C6135" w:rsidRDefault="006C6135" w:rsidP="006C6135">
      <w:pPr>
        <w:pStyle w:val="TOC9"/>
      </w:pPr>
      <w:r>
        <w:rPr>
          <w:noProof/>
        </w:rPr>
        <w:t>Visegrad group meeting - Agricultural markets, food chain and land management</w:t>
      </w:r>
      <w:r>
        <w:rPr>
          <w:noProof/>
        </w:rPr>
        <w:tab/>
      </w:r>
      <w:r>
        <w:rPr>
          <w:noProof/>
        </w:rPr>
        <w:fldChar w:fldCharType="begin"/>
      </w:r>
      <w:r>
        <w:rPr>
          <w:noProof/>
        </w:rPr>
        <w:instrText xml:space="preserve"> PAGEREF \h _Toc436831229 \* MERGEFORMAT </w:instrText>
      </w:r>
      <w:r>
        <w:rPr>
          <w:noProof/>
        </w:rPr>
      </w:r>
      <w:r>
        <w:rPr>
          <w:noProof/>
        </w:rPr>
        <w:fldChar w:fldCharType="separate"/>
      </w:r>
      <w:r w:rsidR="00F84A6E">
        <w:rPr>
          <w:noProof/>
        </w:rPr>
        <w:t>10</w:t>
      </w:r>
      <w:r>
        <w:rPr>
          <w:noProof/>
        </w:rPr>
        <w:fldChar w:fldCharType="end"/>
      </w:r>
    </w:p>
    <w:p w:rsidR="006C6135" w:rsidRDefault="006C6135" w:rsidP="006C6135">
      <w:pPr>
        <w:pStyle w:val="TOC5"/>
      </w:pPr>
      <w:r>
        <w:t>OTHER ITEMS APPROVED</w:t>
      </w:r>
    </w:p>
    <w:p w:rsidR="006C6135" w:rsidRDefault="006C6135" w:rsidP="006C6135">
      <w:pPr>
        <w:pStyle w:val="TOC8"/>
        <w:rPr>
          <w:rFonts w:asciiTheme="minorHAnsi" w:eastAsiaTheme="minorEastAsia" w:hAnsiTheme="minorHAnsi" w:cstheme="minorBidi"/>
          <w:i w:val="0"/>
          <w:noProof/>
          <w:sz w:val="22"/>
          <w:szCs w:val="22"/>
          <w:lang w:eastAsia="en-GB"/>
        </w:rPr>
      </w:pPr>
      <w:r>
        <w:rPr>
          <w:noProof/>
        </w:rPr>
        <w:t>AGRICULTURE</w:t>
      </w:r>
    </w:p>
    <w:p w:rsidR="006C6135" w:rsidRDefault="006C6135" w:rsidP="006C6135">
      <w:pPr>
        <w:pStyle w:val="TOC9"/>
        <w:keepNext/>
        <w:rPr>
          <w:rFonts w:asciiTheme="minorHAnsi" w:eastAsiaTheme="minorEastAsia" w:hAnsiTheme="minorHAnsi" w:cstheme="minorBidi"/>
          <w:noProof/>
          <w:sz w:val="22"/>
          <w:szCs w:val="22"/>
          <w:lang w:eastAsia="en-GB"/>
        </w:rPr>
      </w:pPr>
      <w:r>
        <w:rPr>
          <w:noProof/>
        </w:rPr>
        <w:t>Live bivalve molluscs - Controls and microbiological criteria</w:t>
      </w:r>
      <w:r>
        <w:rPr>
          <w:noProof/>
        </w:rPr>
        <w:tab/>
      </w:r>
      <w:r>
        <w:rPr>
          <w:noProof/>
        </w:rPr>
        <w:fldChar w:fldCharType="begin"/>
      </w:r>
      <w:r>
        <w:rPr>
          <w:noProof/>
        </w:rPr>
        <w:instrText xml:space="preserve"> PAGEREF \h _Toc436831231 \* MERGEFORMAT </w:instrText>
      </w:r>
      <w:r>
        <w:rPr>
          <w:noProof/>
        </w:rPr>
      </w:r>
      <w:r>
        <w:rPr>
          <w:noProof/>
        </w:rPr>
        <w:fldChar w:fldCharType="separate"/>
      </w:r>
      <w:r w:rsidR="00F84A6E">
        <w:rPr>
          <w:noProof/>
        </w:rPr>
        <w:t>11</w:t>
      </w:r>
      <w:r>
        <w:rPr>
          <w:noProof/>
        </w:rPr>
        <w:fldChar w:fldCharType="end"/>
      </w:r>
    </w:p>
    <w:p w:rsidR="006C6135" w:rsidRDefault="006C6135" w:rsidP="006C6135">
      <w:pPr>
        <w:pStyle w:val="TOC9"/>
        <w:keepNext/>
        <w:rPr>
          <w:rFonts w:asciiTheme="minorHAnsi" w:eastAsiaTheme="minorEastAsia" w:hAnsiTheme="minorHAnsi" w:cstheme="minorBidi"/>
          <w:noProof/>
          <w:sz w:val="22"/>
          <w:szCs w:val="22"/>
          <w:lang w:eastAsia="en-GB"/>
        </w:rPr>
      </w:pPr>
      <w:r>
        <w:rPr>
          <w:noProof/>
        </w:rPr>
        <w:t>Pesticides - maximum residue levels</w:t>
      </w:r>
      <w:r>
        <w:rPr>
          <w:noProof/>
        </w:rPr>
        <w:tab/>
      </w:r>
      <w:r>
        <w:rPr>
          <w:noProof/>
        </w:rPr>
        <w:fldChar w:fldCharType="begin"/>
      </w:r>
      <w:r>
        <w:rPr>
          <w:noProof/>
        </w:rPr>
        <w:instrText xml:space="preserve"> PAGEREF \h _Toc436831232 \* MERGEFORMAT </w:instrText>
      </w:r>
      <w:r>
        <w:rPr>
          <w:noProof/>
        </w:rPr>
      </w:r>
      <w:r>
        <w:rPr>
          <w:noProof/>
        </w:rPr>
        <w:fldChar w:fldCharType="separate"/>
      </w:r>
      <w:r w:rsidR="00F84A6E">
        <w:rPr>
          <w:noProof/>
        </w:rPr>
        <w:t>11</w:t>
      </w:r>
      <w:r>
        <w:rPr>
          <w:noProof/>
        </w:rPr>
        <w:fldChar w:fldCharType="end"/>
      </w:r>
    </w:p>
    <w:p w:rsidR="006C6135" w:rsidRDefault="006C6135" w:rsidP="006C6135">
      <w:pPr>
        <w:pStyle w:val="TOC9"/>
        <w:rPr>
          <w:rFonts w:asciiTheme="minorHAnsi" w:eastAsiaTheme="minorEastAsia" w:hAnsiTheme="minorHAnsi" w:cstheme="minorBidi"/>
          <w:noProof/>
          <w:sz w:val="22"/>
          <w:szCs w:val="22"/>
          <w:lang w:eastAsia="en-GB"/>
        </w:rPr>
      </w:pPr>
      <w:r>
        <w:rPr>
          <w:noProof/>
        </w:rPr>
        <w:t>Animal feed - New functional group of feed additives</w:t>
      </w:r>
      <w:r>
        <w:rPr>
          <w:noProof/>
        </w:rPr>
        <w:tab/>
      </w:r>
      <w:r>
        <w:rPr>
          <w:noProof/>
        </w:rPr>
        <w:fldChar w:fldCharType="begin"/>
      </w:r>
      <w:r>
        <w:rPr>
          <w:noProof/>
        </w:rPr>
        <w:instrText xml:space="preserve"> PAGEREF \h _Toc436831233 \* MERGEFORMAT </w:instrText>
      </w:r>
      <w:r>
        <w:rPr>
          <w:noProof/>
        </w:rPr>
      </w:r>
      <w:r>
        <w:rPr>
          <w:noProof/>
        </w:rPr>
        <w:fldChar w:fldCharType="separate"/>
      </w:r>
      <w:r w:rsidR="00F84A6E">
        <w:rPr>
          <w:noProof/>
        </w:rPr>
        <w:t>12</w:t>
      </w:r>
      <w:r>
        <w:rPr>
          <w:noProof/>
        </w:rPr>
        <w:fldChar w:fldCharType="end"/>
      </w:r>
    </w:p>
    <w:p w:rsidR="006C6135" w:rsidRDefault="006C6135" w:rsidP="006C6135">
      <w:pPr>
        <w:pStyle w:val="TOC8"/>
        <w:rPr>
          <w:rFonts w:asciiTheme="minorHAnsi" w:eastAsiaTheme="minorEastAsia" w:hAnsiTheme="minorHAnsi" w:cstheme="minorBidi"/>
          <w:i w:val="0"/>
          <w:noProof/>
          <w:sz w:val="22"/>
          <w:szCs w:val="22"/>
          <w:lang w:eastAsia="en-GB"/>
        </w:rPr>
      </w:pPr>
      <w:r>
        <w:rPr>
          <w:noProof/>
        </w:rPr>
        <w:t>FISHERIES</w:t>
      </w:r>
    </w:p>
    <w:p w:rsidR="006C6135" w:rsidRDefault="006C6135" w:rsidP="006C6135">
      <w:pPr>
        <w:pStyle w:val="TOC9"/>
        <w:rPr>
          <w:rFonts w:asciiTheme="minorHAnsi" w:eastAsiaTheme="minorEastAsia" w:hAnsiTheme="minorHAnsi" w:cstheme="minorBidi"/>
          <w:noProof/>
          <w:sz w:val="22"/>
          <w:szCs w:val="22"/>
          <w:lang w:eastAsia="en-GB"/>
        </w:rPr>
      </w:pPr>
      <w:r>
        <w:rPr>
          <w:noProof/>
        </w:rPr>
        <w:t>EU and Gabon - Negotiations for a renewal of the protocol to the agreement</w:t>
      </w:r>
      <w:r>
        <w:rPr>
          <w:noProof/>
        </w:rPr>
        <w:tab/>
      </w:r>
      <w:r>
        <w:rPr>
          <w:noProof/>
        </w:rPr>
        <w:fldChar w:fldCharType="begin"/>
      </w:r>
      <w:r>
        <w:rPr>
          <w:noProof/>
        </w:rPr>
        <w:instrText xml:space="preserve"> PAGEREF \h _Toc436831235 \* MERGEFORMAT </w:instrText>
      </w:r>
      <w:r>
        <w:rPr>
          <w:noProof/>
        </w:rPr>
      </w:r>
      <w:r>
        <w:rPr>
          <w:noProof/>
        </w:rPr>
        <w:fldChar w:fldCharType="separate"/>
      </w:r>
      <w:r w:rsidR="00F84A6E">
        <w:rPr>
          <w:noProof/>
        </w:rPr>
        <w:t>13</w:t>
      </w:r>
      <w:r>
        <w:rPr>
          <w:noProof/>
        </w:rPr>
        <w:fldChar w:fldCharType="end"/>
      </w:r>
    </w:p>
    <w:p w:rsidR="006C6135" w:rsidRDefault="006C6135" w:rsidP="006C6135">
      <w:pPr>
        <w:pStyle w:val="TOC8"/>
        <w:rPr>
          <w:rFonts w:asciiTheme="minorHAnsi" w:eastAsiaTheme="minorEastAsia" w:hAnsiTheme="minorHAnsi" w:cstheme="minorBidi"/>
          <w:i w:val="0"/>
          <w:noProof/>
          <w:sz w:val="22"/>
          <w:szCs w:val="22"/>
          <w:lang w:eastAsia="en-GB"/>
        </w:rPr>
      </w:pPr>
      <w:r>
        <w:rPr>
          <w:noProof/>
        </w:rPr>
        <w:lastRenderedPageBreak/>
        <w:t>STABILISATION AND ASSOCIATION PROCESS</w:t>
      </w:r>
    </w:p>
    <w:p w:rsidR="006C6135" w:rsidRDefault="006C6135" w:rsidP="006C6135">
      <w:pPr>
        <w:pStyle w:val="TOC9"/>
        <w:rPr>
          <w:rFonts w:asciiTheme="minorHAnsi" w:eastAsiaTheme="minorEastAsia" w:hAnsiTheme="minorHAnsi" w:cstheme="minorBidi"/>
          <w:noProof/>
          <w:sz w:val="22"/>
          <w:szCs w:val="22"/>
          <w:lang w:eastAsia="en-GB"/>
        </w:rPr>
      </w:pPr>
      <w:r>
        <w:rPr>
          <w:noProof/>
        </w:rPr>
        <w:t>Stabilisation and Association Agreement with Kosovo</w:t>
      </w:r>
      <w:r>
        <w:rPr>
          <w:noProof/>
        </w:rPr>
        <w:tab/>
      </w:r>
      <w:r>
        <w:rPr>
          <w:noProof/>
        </w:rPr>
        <w:fldChar w:fldCharType="begin"/>
      </w:r>
      <w:r>
        <w:rPr>
          <w:noProof/>
        </w:rPr>
        <w:instrText xml:space="preserve"> PAGEREF \h _Toc436831237 \* MERGEFORMAT </w:instrText>
      </w:r>
      <w:r>
        <w:rPr>
          <w:noProof/>
        </w:rPr>
      </w:r>
      <w:r>
        <w:rPr>
          <w:noProof/>
        </w:rPr>
        <w:fldChar w:fldCharType="separate"/>
      </w:r>
      <w:r w:rsidR="00F84A6E">
        <w:rPr>
          <w:noProof/>
        </w:rPr>
        <w:t>13</w:t>
      </w:r>
      <w:r>
        <w:rPr>
          <w:noProof/>
        </w:rPr>
        <w:fldChar w:fldCharType="end"/>
      </w:r>
    </w:p>
    <w:p w:rsidR="006C6135" w:rsidRDefault="006C6135" w:rsidP="006C6135">
      <w:pPr>
        <w:pStyle w:val="TOC8"/>
        <w:rPr>
          <w:rFonts w:asciiTheme="minorHAnsi" w:eastAsiaTheme="minorEastAsia" w:hAnsiTheme="minorHAnsi" w:cstheme="minorBidi"/>
          <w:i w:val="0"/>
          <w:noProof/>
          <w:sz w:val="22"/>
          <w:szCs w:val="22"/>
          <w:lang w:eastAsia="en-GB"/>
        </w:rPr>
      </w:pPr>
      <w:r>
        <w:rPr>
          <w:noProof/>
        </w:rPr>
        <w:t>BUDGETS</w:t>
      </w:r>
    </w:p>
    <w:p w:rsidR="006C6135" w:rsidRDefault="006C6135" w:rsidP="006C6135">
      <w:pPr>
        <w:pStyle w:val="TOC9"/>
        <w:rPr>
          <w:rFonts w:asciiTheme="minorHAnsi" w:eastAsiaTheme="minorEastAsia" w:hAnsiTheme="minorHAnsi" w:cstheme="minorBidi"/>
          <w:noProof/>
          <w:sz w:val="22"/>
          <w:szCs w:val="22"/>
          <w:lang w:eastAsia="en-GB"/>
        </w:rPr>
      </w:pPr>
      <w:r>
        <w:rPr>
          <w:noProof/>
        </w:rPr>
        <w:t>Revised EU financial regulation - Alignment to new procurement rules</w:t>
      </w:r>
      <w:r>
        <w:rPr>
          <w:noProof/>
        </w:rPr>
        <w:tab/>
      </w:r>
      <w:r>
        <w:rPr>
          <w:noProof/>
        </w:rPr>
        <w:fldChar w:fldCharType="begin"/>
      </w:r>
      <w:r>
        <w:rPr>
          <w:noProof/>
        </w:rPr>
        <w:instrText xml:space="preserve"> PAGEREF \h _Toc436831239 \* MERGEFORMAT </w:instrText>
      </w:r>
      <w:r>
        <w:rPr>
          <w:noProof/>
        </w:rPr>
      </w:r>
      <w:r>
        <w:rPr>
          <w:noProof/>
        </w:rPr>
        <w:fldChar w:fldCharType="separate"/>
      </w:r>
      <w:r w:rsidR="00F84A6E">
        <w:rPr>
          <w:noProof/>
        </w:rPr>
        <w:t>13</w:t>
      </w:r>
      <w:r>
        <w:rPr>
          <w:noProof/>
        </w:rPr>
        <w:fldChar w:fldCharType="end"/>
      </w:r>
    </w:p>
    <w:p w:rsidR="006C6135" w:rsidRDefault="006C6135" w:rsidP="006C6135">
      <w:pPr>
        <w:pStyle w:val="TOC8"/>
        <w:rPr>
          <w:rFonts w:asciiTheme="minorHAnsi" w:eastAsiaTheme="minorEastAsia" w:hAnsiTheme="minorHAnsi" w:cstheme="minorBidi"/>
          <w:i w:val="0"/>
          <w:noProof/>
          <w:sz w:val="22"/>
          <w:szCs w:val="22"/>
          <w:lang w:eastAsia="en-GB"/>
        </w:rPr>
      </w:pPr>
      <w:r>
        <w:rPr>
          <w:noProof/>
        </w:rPr>
        <w:t>TRADE POLICY</w:t>
      </w:r>
    </w:p>
    <w:p w:rsidR="006C6135" w:rsidRDefault="006C6135" w:rsidP="006C6135">
      <w:pPr>
        <w:pStyle w:val="TOC9"/>
        <w:rPr>
          <w:rFonts w:asciiTheme="minorHAnsi" w:eastAsiaTheme="minorEastAsia" w:hAnsiTheme="minorHAnsi" w:cstheme="minorBidi"/>
          <w:noProof/>
          <w:sz w:val="22"/>
          <w:szCs w:val="22"/>
          <w:lang w:eastAsia="en-GB"/>
        </w:rPr>
      </w:pPr>
      <w:r>
        <w:rPr>
          <w:noProof/>
        </w:rPr>
        <w:t>WTO government procurement: Ukraine</w:t>
      </w:r>
      <w:r>
        <w:rPr>
          <w:noProof/>
        </w:rPr>
        <w:tab/>
      </w:r>
      <w:r>
        <w:rPr>
          <w:noProof/>
        </w:rPr>
        <w:fldChar w:fldCharType="begin"/>
      </w:r>
      <w:r>
        <w:rPr>
          <w:noProof/>
        </w:rPr>
        <w:instrText xml:space="preserve"> PAGEREF \h _Toc436831241 \* MERGEFORMAT </w:instrText>
      </w:r>
      <w:r>
        <w:rPr>
          <w:noProof/>
        </w:rPr>
      </w:r>
      <w:r>
        <w:rPr>
          <w:noProof/>
        </w:rPr>
        <w:fldChar w:fldCharType="separate"/>
      </w:r>
      <w:r w:rsidR="00F84A6E">
        <w:rPr>
          <w:noProof/>
        </w:rPr>
        <w:t>14</w:t>
      </w:r>
      <w:r>
        <w:rPr>
          <w:noProof/>
        </w:rPr>
        <w:fldChar w:fldCharType="end"/>
      </w:r>
    </w:p>
    <w:p w:rsidR="006C6135" w:rsidRDefault="006C6135" w:rsidP="006C6135">
      <w:pPr>
        <w:pStyle w:val="TOC8"/>
        <w:rPr>
          <w:rFonts w:asciiTheme="minorHAnsi" w:eastAsiaTheme="minorEastAsia" w:hAnsiTheme="minorHAnsi" w:cstheme="minorBidi"/>
          <w:i w:val="0"/>
          <w:noProof/>
          <w:sz w:val="22"/>
          <w:szCs w:val="22"/>
          <w:lang w:eastAsia="en-GB"/>
        </w:rPr>
      </w:pPr>
      <w:r>
        <w:rPr>
          <w:noProof/>
        </w:rPr>
        <w:t>FOREIGN POLICY</w:t>
      </w:r>
    </w:p>
    <w:p w:rsidR="006C6135" w:rsidRDefault="006C6135" w:rsidP="006C6135">
      <w:pPr>
        <w:pStyle w:val="TOC9"/>
        <w:rPr>
          <w:rFonts w:asciiTheme="minorHAnsi" w:eastAsiaTheme="minorEastAsia" w:hAnsiTheme="minorHAnsi" w:cstheme="minorBidi"/>
          <w:noProof/>
          <w:sz w:val="22"/>
          <w:szCs w:val="22"/>
          <w:lang w:eastAsia="en-GB"/>
        </w:rPr>
      </w:pPr>
      <w:r>
        <w:rPr>
          <w:noProof/>
        </w:rPr>
        <w:t>Global reporting mechanism on illicit small arms and light weapons</w:t>
      </w:r>
      <w:r>
        <w:rPr>
          <w:noProof/>
        </w:rPr>
        <w:tab/>
      </w:r>
      <w:r>
        <w:rPr>
          <w:noProof/>
        </w:rPr>
        <w:fldChar w:fldCharType="begin"/>
      </w:r>
      <w:r>
        <w:rPr>
          <w:noProof/>
        </w:rPr>
        <w:instrText xml:space="preserve"> PAGEREF \h _Toc436831243 \* MERGEFORMAT </w:instrText>
      </w:r>
      <w:r>
        <w:rPr>
          <w:noProof/>
        </w:rPr>
      </w:r>
      <w:r>
        <w:rPr>
          <w:noProof/>
        </w:rPr>
        <w:fldChar w:fldCharType="separate"/>
      </w:r>
      <w:r w:rsidR="00F84A6E">
        <w:rPr>
          <w:noProof/>
        </w:rPr>
        <w:t>14</w:t>
      </w:r>
      <w:r>
        <w:rPr>
          <w:noProof/>
        </w:rPr>
        <w:fldChar w:fldCharType="end"/>
      </w:r>
    </w:p>
    <w:p w:rsidR="006C6135" w:rsidRDefault="006C6135" w:rsidP="006C6135">
      <w:pPr>
        <w:pStyle w:val="TOC8"/>
        <w:rPr>
          <w:rFonts w:asciiTheme="minorHAnsi" w:eastAsiaTheme="minorEastAsia" w:hAnsiTheme="minorHAnsi" w:cstheme="minorBidi"/>
          <w:i w:val="0"/>
          <w:noProof/>
          <w:sz w:val="22"/>
          <w:szCs w:val="22"/>
          <w:lang w:eastAsia="en-GB"/>
        </w:rPr>
      </w:pPr>
      <w:r>
        <w:rPr>
          <w:noProof/>
        </w:rPr>
        <w:t>FOOD LAW</w:t>
      </w:r>
    </w:p>
    <w:p w:rsidR="006C6135" w:rsidRDefault="006C6135" w:rsidP="006C6135">
      <w:pPr>
        <w:pStyle w:val="TOC9"/>
      </w:pPr>
      <w:r>
        <w:rPr>
          <w:noProof/>
        </w:rPr>
        <w:t>Removal of a flavouring substance from the list of approved substances</w:t>
      </w:r>
      <w:r>
        <w:rPr>
          <w:noProof/>
        </w:rPr>
        <w:tab/>
      </w:r>
      <w:r>
        <w:rPr>
          <w:noProof/>
        </w:rPr>
        <w:fldChar w:fldCharType="begin"/>
      </w:r>
      <w:r>
        <w:rPr>
          <w:noProof/>
        </w:rPr>
        <w:instrText xml:space="preserve"> PAGEREF \h _Toc436831245 \* MERGEFORMAT </w:instrText>
      </w:r>
      <w:r>
        <w:rPr>
          <w:noProof/>
        </w:rPr>
      </w:r>
      <w:r>
        <w:rPr>
          <w:noProof/>
        </w:rPr>
        <w:fldChar w:fldCharType="separate"/>
      </w:r>
      <w:r w:rsidR="00F84A6E">
        <w:rPr>
          <w:noProof/>
        </w:rPr>
        <w:t>14</w:t>
      </w:r>
      <w:r>
        <w:rPr>
          <w:noProof/>
        </w:rPr>
        <w:fldChar w:fldCharType="end"/>
      </w:r>
    </w:p>
    <w:p w:rsidR="006C6135" w:rsidRDefault="006C6135" w:rsidP="000B14EB">
      <w:pPr>
        <w:sectPr w:rsidR="006C6135" w:rsidSect="00F84A6E">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0B14EB" w:rsidRDefault="000B14EB" w:rsidP="000B14EB">
      <w:pPr>
        <w:pStyle w:val="ItemsDebatedHeading"/>
      </w:pPr>
      <w:r w:rsidRPr="000B14EB">
        <w:lastRenderedPageBreak/>
        <w:t>ITEMS DEBATED</w:t>
      </w:r>
    </w:p>
    <w:p w:rsidR="00440469" w:rsidRPr="00440469" w:rsidRDefault="00440469" w:rsidP="00440469">
      <w:pPr>
        <w:pStyle w:val="ItemDebated"/>
      </w:pPr>
      <w:bookmarkStart w:id="6" w:name="_Toc436831218"/>
      <w:r w:rsidRPr="00440469">
        <w:t>FISHERIES</w:t>
      </w:r>
      <w:bookmarkEnd w:id="6"/>
    </w:p>
    <w:p w:rsidR="00440469" w:rsidRPr="00440469" w:rsidRDefault="00440469" w:rsidP="001E3A78">
      <w:pPr>
        <w:pStyle w:val="Sub-sub-itemDebated"/>
        <w:numPr>
          <w:ilvl w:val="0"/>
          <w:numId w:val="3"/>
        </w:numPr>
        <w:spacing w:before="120"/>
      </w:pPr>
      <w:bookmarkStart w:id="7" w:name="_Toc436831219"/>
      <w:r w:rsidRPr="00440469">
        <w:t>Fishing opportunities in the Baltic Sea for 2016</w:t>
      </w:r>
      <w:bookmarkEnd w:id="7"/>
    </w:p>
    <w:p w:rsidR="00440469" w:rsidRPr="007C5C38" w:rsidRDefault="00440469" w:rsidP="00500EEF">
      <w:r w:rsidRPr="007C5C38">
        <w:t xml:space="preserve">Ministers reached a political agreement on fishing opportunities for </w:t>
      </w:r>
      <w:r>
        <w:t>2016</w:t>
      </w:r>
      <w:r w:rsidRPr="007C5C38">
        <w:t xml:space="preserve"> for certain fish stocks in the Baltic Sea.</w:t>
      </w:r>
    </w:p>
    <w:p w:rsidR="00440469" w:rsidRPr="007C5C38" w:rsidRDefault="00440469" w:rsidP="0051701B">
      <w:r w:rsidRPr="00DD65DD">
        <w:t xml:space="preserve">The Presidency and several member states pointed out that the final agreement was </w:t>
      </w:r>
      <w:r w:rsidR="0051701B">
        <w:t>facilitated</w:t>
      </w:r>
      <w:r w:rsidRPr="00DD65DD">
        <w:t xml:space="preserve"> by the preparatory work undertaken at regional level within the BALTFISH forum.</w:t>
      </w:r>
    </w:p>
    <w:p w:rsidR="00440469" w:rsidRPr="007C5C38" w:rsidRDefault="00440469" w:rsidP="00500EEF">
      <w:r w:rsidRPr="007C5C38">
        <w:t>This item will be included, following finalisation by the Legal/Linguistic Experts, in part "A" of the agenda for a forthcoming Council meeting.</w:t>
      </w:r>
    </w:p>
    <w:p w:rsidR="00440469" w:rsidRPr="007C5C38" w:rsidRDefault="00440469" w:rsidP="00500EEF">
      <w:r w:rsidRPr="007C5C38">
        <w:t xml:space="preserve">The agreement lays down for </w:t>
      </w:r>
      <w:r>
        <w:t>2016</w:t>
      </w:r>
      <w:r w:rsidRPr="007C5C38">
        <w:t xml:space="preserve"> the maximum quantities of fish from specific stocks that can be caught in the Baltic Sea (total allowable catches (TACs) and quotas</w:t>
      </w:r>
      <w:r>
        <w:t>).</w:t>
      </w:r>
      <w:r w:rsidRPr="007C5C38">
        <w:t xml:space="preserve"> The proposed measures have been established taking into account available scientific advice and, in particular, the reports drawn up by the International Council for the Exploration of the Sea (ICES).</w:t>
      </w:r>
    </w:p>
    <w:p w:rsidR="00440469" w:rsidRDefault="00440469" w:rsidP="00500EEF">
      <w:r w:rsidRPr="007C5C38">
        <w:t xml:space="preserve">A landing obligation for stocks caught in certain fisheries was introduced by regulation 1380/2013 within the framework of the recently reformed common fisheries policy (CFP). It </w:t>
      </w:r>
      <w:r>
        <w:t xml:space="preserve">became </w:t>
      </w:r>
      <w:r w:rsidRPr="007C5C38">
        <w:t>applicable from 1 January 2015 for some stocks in the Baltic Sea, namely small pelagic fisheries (herring and sprat stocks), salmon fisheries (salmon stocks), and cod fisheries (cod stocks), where the species define the fishery. With the introduction of the landing obligation, the fishing opportunities proposed will reflect the change from amount landed to amount caught.</w:t>
      </w:r>
    </w:p>
    <w:p w:rsidR="00440469" w:rsidRPr="007C5C38" w:rsidRDefault="00440469" w:rsidP="009D2ECD">
      <w:r>
        <w:t xml:space="preserve">In 2015, in view of the embargo imposed by the Russian federation on the importation of certain agricultural and fisheries productions from the EU, flexibility </w:t>
      </w:r>
      <w:r w:rsidR="009D2ECD">
        <w:t>to carry</w:t>
      </w:r>
      <w:r>
        <w:t xml:space="preserve"> forward unused fishing opportunities has been introduced for stocks most severely or directly affected by the embargo. As the Russian embargo has been extended, a similar measure will be applied </w:t>
      </w:r>
      <w:r w:rsidR="009F3FED">
        <w:t>and</w:t>
      </w:r>
      <w:r>
        <w:t xml:space="preserve"> some fishing opportunities for certain stocks which have not been used in 2015 </w:t>
      </w:r>
      <w:r w:rsidR="009F3FED">
        <w:t>will</w:t>
      </w:r>
      <w:r>
        <w:t xml:space="preserve"> be carried over to 2016.</w:t>
      </w:r>
    </w:p>
    <w:p w:rsidR="006C6135" w:rsidRDefault="00440469" w:rsidP="0051701B">
      <w:r w:rsidRPr="007C5C38">
        <w:t xml:space="preserve">The agreement primarily concerns the total allowable catches (TACs) and fishing quotas for member states in </w:t>
      </w:r>
      <w:r w:rsidR="0051701B">
        <w:t>Union</w:t>
      </w:r>
      <w:r w:rsidRPr="007C5C38">
        <w:t xml:space="preserve"> waters of the Baltic region, the main changes to which – in terms of reduction, increase or roll-over of TACs as compared with 201</w:t>
      </w:r>
      <w:r>
        <w:t>5</w:t>
      </w:r>
      <w:r w:rsidRPr="007C5C38">
        <w:t xml:space="preserve"> – are summarised in the table </w:t>
      </w:r>
      <w:r w:rsidR="0002653A">
        <w:t>below</w:t>
      </w:r>
      <w:r w:rsidRPr="007C5C38">
        <w:t>.</w:t>
      </w:r>
    </w:p>
    <w:p w:rsidR="001E3A78" w:rsidRDefault="006C6135" w:rsidP="006C6135">
      <w:r>
        <w:br w:type="page"/>
      </w:r>
    </w:p>
    <w:tbl>
      <w:tblPr>
        <w:tblW w:w="10116" w:type="dxa"/>
        <w:tblInd w:w="108" w:type="dxa"/>
        <w:tblLook w:val="0000" w:firstRow="0" w:lastRow="0" w:firstColumn="0" w:lastColumn="0" w:noHBand="0" w:noVBand="0"/>
      </w:tblPr>
      <w:tblGrid>
        <w:gridCol w:w="1365"/>
        <w:gridCol w:w="2520"/>
        <w:gridCol w:w="1080"/>
        <w:gridCol w:w="1080"/>
        <w:gridCol w:w="1622"/>
        <w:gridCol w:w="1255"/>
        <w:gridCol w:w="1194"/>
      </w:tblGrid>
      <w:tr w:rsidR="00440469" w:rsidRPr="00440469" w:rsidTr="00440469">
        <w:trPr>
          <w:trHeight w:val="485"/>
        </w:trPr>
        <w:tc>
          <w:tcPr>
            <w:tcW w:w="1011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440469" w:rsidRPr="00440469" w:rsidRDefault="001E3A78" w:rsidP="00440469">
            <w:pPr>
              <w:spacing w:before="0" w:after="0"/>
              <w:jc w:val="center"/>
              <w:rPr>
                <w:b/>
                <w:bCs/>
              </w:rPr>
            </w:pPr>
            <w:r>
              <w:br w:type="page"/>
            </w:r>
            <w:r w:rsidR="00216EB4">
              <w:br w:type="page"/>
            </w:r>
            <w:r w:rsidR="00DC79F8">
              <w:br w:type="page"/>
            </w:r>
            <w:r w:rsidR="00F128D3">
              <w:br w:type="page"/>
            </w:r>
            <w:r w:rsidR="00440469" w:rsidRPr="007C5C38">
              <w:br w:type="page"/>
            </w:r>
            <w:r w:rsidR="00440469" w:rsidRPr="00440469">
              <w:br w:type="page"/>
            </w:r>
            <w:r w:rsidR="00440469" w:rsidRPr="00440469">
              <w:rPr>
                <w:snapToGrid w:val="0"/>
              </w:rPr>
              <w:br w:type="page"/>
            </w:r>
            <w:r w:rsidR="00440469" w:rsidRPr="00440469">
              <w:rPr>
                <w:b/>
                <w:bCs/>
              </w:rPr>
              <w:t>COMMUNITY TOTAL ALLOWABLE CATCHES (TACs) IN THE BALTIC SEA FOR 2016</w:t>
            </w:r>
          </w:p>
        </w:tc>
      </w:tr>
      <w:tr w:rsidR="00440469" w:rsidRPr="00440469" w:rsidTr="00440469">
        <w:trPr>
          <w:trHeight w:val="76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sz w:val="22"/>
                <w:szCs w:val="22"/>
              </w:rPr>
            </w:pPr>
            <w:r w:rsidRPr="00440469">
              <w:rPr>
                <w:sz w:val="22"/>
                <w:szCs w:val="22"/>
              </w:rPr>
              <w:t> </w:t>
            </w:r>
          </w:p>
        </w:tc>
        <w:tc>
          <w:tcPr>
            <w:tcW w:w="2520" w:type="dxa"/>
            <w:tcBorders>
              <w:top w:val="nil"/>
              <w:left w:val="nil"/>
              <w:bottom w:val="single" w:sz="8" w:space="0" w:color="auto"/>
              <w:right w:val="single" w:sz="8" w:space="0" w:color="auto"/>
            </w:tcBorders>
            <w:shd w:val="clear" w:color="auto" w:fill="auto"/>
            <w:noWrap/>
            <w:vAlign w:val="bottom"/>
          </w:tcPr>
          <w:p w:rsidR="00440469" w:rsidRPr="00440469" w:rsidRDefault="00440469" w:rsidP="00440469">
            <w:pPr>
              <w:spacing w:before="0" w:after="0"/>
              <w:rPr>
                <w:sz w:val="22"/>
                <w:szCs w:val="22"/>
              </w:rPr>
            </w:pPr>
            <w:r w:rsidRPr="00440469">
              <w:rPr>
                <w:sz w:val="22"/>
                <w:szCs w:val="22"/>
              </w:rPr>
              <w:t> </w:t>
            </w:r>
          </w:p>
        </w:tc>
        <w:tc>
          <w:tcPr>
            <w:tcW w:w="2160" w:type="dxa"/>
            <w:gridSpan w:val="2"/>
            <w:tcBorders>
              <w:top w:val="single" w:sz="8" w:space="0" w:color="auto"/>
              <w:left w:val="nil"/>
              <w:bottom w:val="single" w:sz="8" w:space="0" w:color="auto"/>
              <w:right w:val="single" w:sz="8" w:space="0" w:color="000000"/>
            </w:tcBorders>
            <w:shd w:val="clear" w:color="auto" w:fill="auto"/>
            <w:noWrap/>
            <w:vAlign w:val="center"/>
          </w:tcPr>
          <w:p w:rsidR="00440469" w:rsidRPr="00440469" w:rsidRDefault="00440469" w:rsidP="00440469">
            <w:pPr>
              <w:spacing w:before="0" w:after="0"/>
              <w:jc w:val="center"/>
              <w:rPr>
                <w:sz w:val="22"/>
                <w:szCs w:val="22"/>
              </w:rPr>
            </w:pPr>
            <w:r w:rsidRPr="00440469">
              <w:rPr>
                <w:sz w:val="22"/>
                <w:szCs w:val="22"/>
              </w:rPr>
              <w:t>COMMISSION proposal</w:t>
            </w:r>
          </w:p>
        </w:tc>
        <w:tc>
          <w:tcPr>
            <w:tcW w:w="1622" w:type="dxa"/>
            <w:tcBorders>
              <w:top w:val="nil"/>
              <w:left w:val="nil"/>
              <w:bottom w:val="single" w:sz="8" w:space="0" w:color="auto"/>
              <w:right w:val="single" w:sz="8" w:space="0" w:color="auto"/>
            </w:tcBorders>
            <w:shd w:val="clear" w:color="auto" w:fill="auto"/>
            <w:vAlign w:val="center"/>
          </w:tcPr>
          <w:p w:rsidR="00440469" w:rsidRPr="00440469" w:rsidRDefault="00440469" w:rsidP="00440469">
            <w:pPr>
              <w:spacing w:before="0" w:after="0"/>
              <w:jc w:val="center"/>
              <w:rPr>
                <w:sz w:val="22"/>
                <w:szCs w:val="22"/>
              </w:rPr>
            </w:pPr>
            <w:r w:rsidRPr="00440469">
              <w:rPr>
                <w:sz w:val="22"/>
                <w:szCs w:val="22"/>
              </w:rPr>
              <w:t>COMMISSION targets</w:t>
            </w:r>
          </w:p>
        </w:tc>
        <w:tc>
          <w:tcPr>
            <w:tcW w:w="1255" w:type="dxa"/>
            <w:tcBorders>
              <w:top w:val="nil"/>
              <w:left w:val="nil"/>
              <w:bottom w:val="single" w:sz="8" w:space="0" w:color="auto"/>
              <w:right w:val="single" w:sz="8" w:space="0" w:color="auto"/>
            </w:tcBorders>
            <w:shd w:val="clear" w:color="auto" w:fill="auto"/>
            <w:vAlign w:val="center"/>
          </w:tcPr>
          <w:p w:rsidR="00440469" w:rsidRPr="00440469" w:rsidRDefault="00440469" w:rsidP="00440469">
            <w:pPr>
              <w:spacing w:before="0" w:after="0"/>
              <w:jc w:val="center"/>
              <w:rPr>
                <w:b/>
                <w:bCs/>
                <w:sz w:val="22"/>
                <w:szCs w:val="22"/>
              </w:rPr>
            </w:pPr>
            <w:r w:rsidRPr="00440469">
              <w:rPr>
                <w:b/>
                <w:bCs/>
                <w:sz w:val="22"/>
                <w:szCs w:val="22"/>
              </w:rPr>
              <w:t>COUNCIL agreement</w:t>
            </w:r>
          </w:p>
        </w:tc>
        <w:tc>
          <w:tcPr>
            <w:tcW w:w="1194" w:type="dxa"/>
            <w:vMerge w:val="restart"/>
            <w:tcBorders>
              <w:top w:val="nil"/>
              <w:left w:val="nil"/>
              <w:right w:val="single" w:sz="8" w:space="0" w:color="auto"/>
            </w:tcBorders>
            <w:shd w:val="clear" w:color="auto" w:fill="auto"/>
            <w:vAlign w:val="center"/>
          </w:tcPr>
          <w:p w:rsidR="00440469" w:rsidRPr="00440469" w:rsidRDefault="00440469" w:rsidP="00440469">
            <w:pPr>
              <w:spacing w:before="0" w:after="0"/>
              <w:jc w:val="center"/>
              <w:rPr>
                <w:b/>
                <w:bCs/>
                <w:sz w:val="22"/>
                <w:szCs w:val="22"/>
              </w:rPr>
            </w:pPr>
            <w:r w:rsidRPr="00440469">
              <w:rPr>
                <w:b/>
                <w:bCs/>
                <w:sz w:val="22"/>
                <w:szCs w:val="22"/>
              </w:rPr>
              <w:t>Difference from previous year</w:t>
            </w:r>
          </w:p>
        </w:tc>
      </w:tr>
      <w:tr w:rsidR="00440469" w:rsidRPr="00440469" w:rsidTr="00440469">
        <w:trPr>
          <w:trHeight w:val="255"/>
        </w:trPr>
        <w:tc>
          <w:tcPr>
            <w:tcW w:w="1365" w:type="dxa"/>
            <w:vMerge w:val="restart"/>
            <w:tcBorders>
              <w:top w:val="nil"/>
              <w:left w:val="single" w:sz="8" w:space="0" w:color="auto"/>
              <w:bottom w:val="single" w:sz="8" w:space="0" w:color="000000"/>
              <w:right w:val="single" w:sz="8" w:space="0" w:color="auto"/>
            </w:tcBorders>
            <w:shd w:val="clear" w:color="auto" w:fill="auto"/>
            <w:noWrap/>
            <w:vAlign w:val="center"/>
          </w:tcPr>
          <w:p w:rsidR="00440469" w:rsidRPr="00440469" w:rsidRDefault="00440469" w:rsidP="00440469">
            <w:pPr>
              <w:spacing w:before="0" w:after="0"/>
              <w:jc w:val="center"/>
              <w:rPr>
                <w:i/>
                <w:iCs/>
                <w:sz w:val="22"/>
                <w:szCs w:val="22"/>
              </w:rPr>
            </w:pPr>
            <w:r w:rsidRPr="00440469">
              <w:rPr>
                <w:i/>
                <w:iCs/>
                <w:sz w:val="22"/>
                <w:szCs w:val="22"/>
              </w:rPr>
              <w:t>Latin name</w:t>
            </w:r>
          </w:p>
        </w:tc>
        <w:tc>
          <w:tcPr>
            <w:tcW w:w="2520" w:type="dxa"/>
            <w:vMerge w:val="restart"/>
            <w:tcBorders>
              <w:top w:val="nil"/>
              <w:left w:val="single" w:sz="8" w:space="0" w:color="auto"/>
              <w:bottom w:val="single" w:sz="8" w:space="0" w:color="000000"/>
              <w:right w:val="single" w:sz="8" w:space="0" w:color="auto"/>
            </w:tcBorders>
            <w:shd w:val="clear" w:color="auto" w:fill="auto"/>
            <w:noWrap/>
            <w:vAlign w:val="center"/>
          </w:tcPr>
          <w:p w:rsidR="00440469" w:rsidRPr="00440469" w:rsidRDefault="00440469" w:rsidP="00440469">
            <w:pPr>
              <w:spacing w:before="0" w:after="0"/>
              <w:jc w:val="center"/>
              <w:rPr>
                <w:sz w:val="22"/>
                <w:szCs w:val="22"/>
              </w:rPr>
            </w:pPr>
            <w:r w:rsidRPr="00440469">
              <w:rPr>
                <w:sz w:val="22"/>
                <w:szCs w:val="22"/>
              </w:rPr>
              <w:t>ICES FISHING ZONES</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440469" w:rsidRPr="00440469" w:rsidRDefault="00440469" w:rsidP="00440469">
            <w:pPr>
              <w:spacing w:before="0" w:after="0"/>
              <w:jc w:val="center"/>
              <w:rPr>
                <w:sz w:val="22"/>
                <w:szCs w:val="22"/>
              </w:rPr>
            </w:pPr>
            <w:r w:rsidRPr="00440469">
              <w:rPr>
                <w:sz w:val="22"/>
                <w:szCs w:val="22"/>
              </w:rPr>
              <w:t>TAC 2015</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440469" w:rsidRPr="00440469" w:rsidRDefault="00440469" w:rsidP="00440469">
            <w:pPr>
              <w:spacing w:before="0" w:after="0"/>
              <w:jc w:val="center"/>
              <w:rPr>
                <w:sz w:val="22"/>
                <w:szCs w:val="22"/>
              </w:rPr>
            </w:pPr>
            <w:r w:rsidRPr="00440469">
              <w:rPr>
                <w:sz w:val="22"/>
                <w:szCs w:val="22"/>
              </w:rPr>
              <w:t>for 2016</w:t>
            </w:r>
          </w:p>
        </w:tc>
        <w:tc>
          <w:tcPr>
            <w:tcW w:w="1622" w:type="dxa"/>
            <w:vMerge w:val="restart"/>
            <w:tcBorders>
              <w:top w:val="nil"/>
              <w:left w:val="single" w:sz="8" w:space="0" w:color="auto"/>
              <w:bottom w:val="single" w:sz="8" w:space="0" w:color="000000"/>
              <w:right w:val="single" w:sz="8" w:space="0" w:color="auto"/>
            </w:tcBorders>
            <w:shd w:val="clear" w:color="auto" w:fill="auto"/>
            <w:noWrap/>
            <w:vAlign w:val="center"/>
          </w:tcPr>
          <w:p w:rsidR="00440469" w:rsidRPr="00440469" w:rsidRDefault="00440469" w:rsidP="00440469">
            <w:pPr>
              <w:spacing w:before="0" w:after="0"/>
              <w:jc w:val="center"/>
              <w:rPr>
                <w:sz w:val="22"/>
                <w:szCs w:val="22"/>
              </w:rPr>
            </w:pPr>
            <w:r w:rsidRPr="00440469">
              <w:rPr>
                <w:sz w:val="22"/>
                <w:szCs w:val="22"/>
              </w:rPr>
              <w:t>2016</w:t>
            </w:r>
          </w:p>
        </w:tc>
        <w:tc>
          <w:tcPr>
            <w:tcW w:w="1255" w:type="dxa"/>
            <w:tcBorders>
              <w:top w:val="nil"/>
              <w:left w:val="nil"/>
              <w:bottom w:val="nil"/>
              <w:right w:val="single" w:sz="8" w:space="0" w:color="auto"/>
            </w:tcBorders>
            <w:shd w:val="clear" w:color="auto" w:fill="auto"/>
            <w:noWrap/>
            <w:vAlign w:val="center"/>
          </w:tcPr>
          <w:p w:rsidR="00440469" w:rsidRPr="00440469" w:rsidRDefault="00440469" w:rsidP="00440469">
            <w:pPr>
              <w:spacing w:before="0" w:after="0"/>
              <w:jc w:val="center"/>
              <w:rPr>
                <w:b/>
                <w:bCs/>
                <w:sz w:val="22"/>
                <w:szCs w:val="22"/>
              </w:rPr>
            </w:pPr>
            <w:r w:rsidRPr="00440469">
              <w:rPr>
                <w:b/>
                <w:bCs/>
                <w:sz w:val="22"/>
                <w:szCs w:val="22"/>
              </w:rPr>
              <w:t>TAC</w:t>
            </w:r>
          </w:p>
        </w:tc>
        <w:tc>
          <w:tcPr>
            <w:tcW w:w="1194" w:type="dxa"/>
            <w:vMerge/>
            <w:tcBorders>
              <w:left w:val="nil"/>
              <w:right w:val="single" w:sz="8" w:space="0" w:color="auto"/>
            </w:tcBorders>
            <w:shd w:val="clear" w:color="auto" w:fill="auto"/>
            <w:noWrap/>
          </w:tcPr>
          <w:p w:rsidR="00440469" w:rsidRPr="00440469" w:rsidRDefault="00440469" w:rsidP="00440469">
            <w:pPr>
              <w:spacing w:before="0" w:after="0"/>
              <w:rPr>
                <w:b/>
                <w:bCs/>
                <w:sz w:val="22"/>
                <w:szCs w:val="22"/>
              </w:rPr>
            </w:pPr>
          </w:p>
        </w:tc>
      </w:tr>
      <w:tr w:rsidR="00440469" w:rsidRPr="00440469" w:rsidTr="00440469">
        <w:trPr>
          <w:trHeight w:val="255"/>
        </w:trPr>
        <w:tc>
          <w:tcPr>
            <w:tcW w:w="1365" w:type="dxa"/>
            <w:vMerge/>
            <w:tcBorders>
              <w:top w:val="nil"/>
              <w:left w:val="single" w:sz="8" w:space="0" w:color="auto"/>
              <w:bottom w:val="single" w:sz="8" w:space="0" w:color="000000"/>
              <w:right w:val="single" w:sz="8" w:space="0" w:color="auto"/>
            </w:tcBorders>
            <w:shd w:val="clear" w:color="auto" w:fill="auto"/>
            <w:vAlign w:val="center"/>
          </w:tcPr>
          <w:p w:rsidR="00440469" w:rsidRPr="00440469" w:rsidRDefault="00440469" w:rsidP="00440469">
            <w:pPr>
              <w:spacing w:before="0" w:after="0"/>
              <w:jc w:val="center"/>
              <w:rPr>
                <w:i/>
                <w:iCs/>
                <w:sz w:val="22"/>
                <w:szCs w:val="22"/>
              </w:rPr>
            </w:pPr>
          </w:p>
        </w:tc>
        <w:tc>
          <w:tcPr>
            <w:tcW w:w="2520" w:type="dxa"/>
            <w:vMerge/>
            <w:tcBorders>
              <w:top w:val="nil"/>
              <w:left w:val="single" w:sz="8" w:space="0" w:color="auto"/>
              <w:bottom w:val="single" w:sz="8" w:space="0" w:color="000000"/>
              <w:right w:val="single" w:sz="8" w:space="0" w:color="auto"/>
            </w:tcBorders>
            <w:shd w:val="clear" w:color="auto" w:fill="auto"/>
            <w:vAlign w:val="center"/>
          </w:tcPr>
          <w:p w:rsidR="00440469" w:rsidRPr="00440469" w:rsidRDefault="00440469" w:rsidP="00440469">
            <w:pPr>
              <w:spacing w:before="0" w:after="0"/>
              <w:jc w:val="center"/>
              <w:rPr>
                <w:sz w:val="22"/>
                <w:szCs w:val="22"/>
              </w:rPr>
            </w:pPr>
          </w:p>
        </w:tc>
        <w:tc>
          <w:tcPr>
            <w:tcW w:w="1080" w:type="dxa"/>
            <w:vMerge/>
            <w:tcBorders>
              <w:top w:val="nil"/>
              <w:left w:val="single" w:sz="8" w:space="0" w:color="auto"/>
              <w:bottom w:val="single" w:sz="8" w:space="0" w:color="000000"/>
              <w:right w:val="single" w:sz="8" w:space="0" w:color="auto"/>
            </w:tcBorders>
            <w:shd w:val="clear" w:color="auto" w:fill="auto"/>
            <w:vAlign w:val="center"/>
          </w:tcPr>
          <w:p w:rsidR="00440469" w:rsidRPr="00440469" w:rsidRDefault="00440469" w:rsidP="00440469">
            <w:pPr>
              <w:spacing w:before="0" w:after="0"/>
              <w:jc w:val="center"/>
              <w:rPr>
                <w:sz w:val="22"/>
                <w:szCs w:val="22"/>
              </w:rPr>
            </w:pPr>
          </w:p>
        </w:tc>
        <w:tc>
          <w:tcPr>
            <w:tcW w:w="1080" w:type="dxa"/>
            <w:vMerge/>
            <w:tcBorders>
              <w:top w:val="nil"/>
              <w:left w:val="single" w:sz="8" w:space="0" w:color="auto"/>
              <w:bottom w:val="single" w:sz="8" w:space="0" w:color="000000"/>
              <w:right w:val="single" w:sz="8" w:space="0" w:color="auto"/>
            </w:tcBorders>
            <w:shd w:val="clear" w:color="auto" w:fill="auto"/>
            <w:vAlign w:val="center"/>
          </w:tcPr>
          <w:p w:rsidR="00440469" w:rsidRPr="00440469" w:rsidRDefault="00440469" w:rsidP="00440469">
            <w:pPr>
              <w:spacing w:before="0" w:after="0"/>
              <w:jc w:val="center"/>
              <w:rPr>
                <w:sz w:val="22"/>
                <w:szCs w:val="22"/>
              </w:rPr>
            </w:pPr>
          </w:p>
        </w:tc>
        <w:tc>
          <w:tcPr>
            <w:tcW w:w="1622" w:type="dxa"/>
            <w:vMerge/>
            <w:tcBorders>
              <w:top w:val="nil"/>
              <w:left w:val="single" w:sz="8" w:space="0" w:color="auto"/>
              <w:bottom w:val="single" w:sz="8" w:space="0" w:color="000000"/>
              <w:right w:val="single" w:sz="8" w:space="0" w:color="auto"/>
            </w:tcBorders>
            <w:shd w:val="clear" w:color="auto" w:fill="auto"/>
            <w:vAlign w:val="center"/>
          </w:tcPr>
          <w:p w:rsidR="00440469" w:rsidRPr="00440469" w:rsidRDefault="00440469" w:rsidP="00440469">
            <w:pPr>
              <w:spacing w:before="0" w:after="0"/>
              <w:jc w:val="center"/>
              <w:rPr>
                <w:sz w:val="22"/>
                <w:szCs w:val="22"/>
              </w:rPr>
            </w:pPr>
          </w:p>
        </w:tc>
        <w:tc>
          <w:tcPr>
            <w:tcW w:w="1255"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b/>
                <w:bCs/>
                <w:sz w:val="22"/>
                <w:szCs w:val="22"/>
              </w:rPr>
            </w:pPr>
            <w:r w:rsidRPr="00440469">
              <w:rPr>
                <w:b/>
                <w:bCs/>
                <w:sz w:val="22"/>
                <w:szCs w:val="22"/>
              </w:rPr>
              <w:t>2016</w:t>
            </w:r>
          </w:p>
        </w:tc>
        <w:tc>
          <w:tcPr>
            <w:tcW w:w="1194" w:type="dxa"/>
            <w:vMerge/>
            <w:tcBorders>
              <w:left w:val="nil"/>
              <w:bottom w:val="single" w:sz="8" w:space="0" w:color="auto"/>
              <w:right w:val="single" w:sz="8" w:space="0" w:color="auto"/>
            </w:tcBorders>
            <w:shd w:val="clear" w:color="auto" w:fill="auto"/>
            <w:noWrap/>
          </w:tcPr>
          <w:p w:rsidR="00440469" w:rsidRPr="00440469" w:rsidRDefault="00440469" w:rsidP="00440469">
            <w:pPr>
              <w:spacing w:before="0" w:after="0"/>
              <w:rPr>
                <w:sz w:val="22"/>
                <w:szCs w:val="22"/>
              </w:rPr>
            </w:pP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sz w:val="22"/>
                <w:szCs w:val="22"/>
              </w:rPr>
            </w:pPr>
            <w:r w:rsidRPr="00440469">
              <w:rPr>
                <w:sz w:val="22"/>
                <w:szCs w:val="22"/>
              </w:rPr>
              <w:t> </w:t>
            </w:r>
          </w:p>
        </w:tc>
        <w:tc>
          <w:tcPr>
            <w:tcW w:w="2520" w:type="dxa"/>
            <w:tcBorders>
              <w:top w:val="nil"/>
              <w:left w:val="nil"/>
              <w:bottom w:val="single" w:sz="8" w:space="0" w:color="auto"/>
              <w:right w:val="single" w:sz="8" w:space="0" w:color="auto"/>
            </w:tcBorders>
            <w:shd w:val="clear" w:color="auto" w:fill="auto"/>
            <w:noWrap/>
            <w:vAlign w:val="bottom"/>
          </w:tcPr>
          <w:p w:rsidR="00440469" w:rsidRPr="00440469" w:rsidRDefault="00440469" w:rsidP="00440469">
            <w:pPr>
              <w:spacing w:before="0" w:after="0"/>
              <w:rPr>
                <w:sz w:val="22"/>
                <w:szCs w:val="22"/>
              </w:rPr>
            </w:pPr>
            <w:r w:rsidRPr="00440469">
              <w:rPr>
                <w:sz w:val="22"/>
                <w:szCs w:val="22"/>
              </w:rPr>
              <w:t> </w:t>
            </w:r>
          </w:p>
        </w:tc>
        <w:tc>
          <w:tcPr>
            <w:tcW w:w="1080" w:type="dxa"/>
            <w:tcBorders>
              <w:top w:val="nil"/>
              <w:left w:val="nil"/>
              <w:bottom w:val="single" w:sz="8" w:space="0" w:color="auto"/>
              <w:right w:val="single" w:sz="8" w:space="0" w:color="auto"/>
            </w:tcBorders>
            <w:shd w:val="clear" w:color="auto" w:fill="auto"/>
            <w:noWrap/>
            <w:vAlign w:val="bottom"/>
          </w:tcPr>
          <w:p w:rsidR="00440469" w:rsidRPr="00440469" w:rsidRDefault="00440469" w:rsidP="00440469">
            <w:pPr>
              <w:spacing w:before="0" w:after="0"/>
              <w:jc w:val="center"/>
              <w:rPr>
                <w:sz w:val="22"/>
                <w:szCs w:val="22"/>
              </w:rPr>
            </w:pPr>
            <w:r w:rsidRPr="00440469">
              <w:rPr>
                <w:sz w:val="22"/>
                <w:szCs w:val="22"/>
              </w:rPr>
              <w:t>in tonnes</w:t>
            </w:r>
          </w:p>
        </w:tc>
        <w:tc>
          <w:tcPr>
            <w:tcW w:w="1080" w:type="dxa"/>
            <w:tcBorders>
              <w:top w:val="nil"/>
              <w:left w:val="nil"/>
              <w:bottom w:val="single" w:sz="8" w:space="0" w:color="auto"/>
              <w:right w:val="single" w:sz="8" w:space="0" w:color="auto"/>
            </w:tcBorders>
            <w:shd w:val="clear" w:color="auto" w:fill="auto"/>
            <w:noWrap/>
            <w:vAlign w:val="bottom"/>
          </w:tcPr>
          <w:p w:rsidR="00440469" w:rsidRPr="00440469" w:rsidRDefault="00440469" w:rsidP="00440469">
            <w:pPr>
              <w:spacing w:before="0" w:after="0"/>
              <w:jc w:val="center"/>
              <w:rPr>
                <w:sz w:val="22"/>
                <w:szCs w:val="22"/>
              </w:rPr>
            </w:pPr>
            <w:r w:rsidRPr="00440469">
              <w:rPr>
                <w:sz w:val="22"/>
                <w:szCs w:val="22"/>
              </w:rPr>
              <w:t>in tonnes</w:t>
            </w:r>
          </w:p>
        </w:tc>
        <w:tc>
          <w:tcPr>
            <w:tcW w:w="1622" w:type="dxa"/>
            <w:tcBorders>
              <w:top w:val="nil"/>
              <w:left w:val="nil"/>
              <w:bottom w:val="single" w:sz="8" w:space="0" w:color="auto"/>
              <w:right w:val="single" w:sz="8" w:space="0" w:color="auto"/>
            </w:tcBorders>
            <w:shd w:val="clear" w:color="auto" w:fill="auto"/>
            <w:noWrap/>
            <w:vAlign w:val="bottom"/>
          </w:tcPr>
          <w:p w:rsidR="00440469" w:rsidRPr="00440469" w:rsidRDefault="00440469" w:rsidP="00440469">
            <w:pPr>
              <w:spacing w:before="0" w:after="0"/>
              <w:jc w:val="center"/>
              <w:rPr>
                <w:sz w:val="22"/>
                <w:szCs w:val="22"/>
              </w:rPr>
            </w:pPr>
            <w:r w:rsidRPr="00440469">
              <w:rPr>
                <w:sz w:val="22"/>
                <w:szCs w:val="22"/>
              </w:rPr>
              <w:t>in %</w:t>
            </w:r>
          </w:p>
        </w:tc>
        <w:tc>
          <w:tcPr>
            <w:tcW w:w="1255" w:type="dxa"/>
            <w:tcBorders>
              <w:top w:val="nil"/>
              <w:left w:val="nil"/>
              <w:bottom w:val="single" w:sz="8" w:space="0" w:color="auto"/>
              <w:right w:val="single" w:sz="8" w:space="0" w:color="auto"/>
            </w:tcBorders>
            <w:shd w:val="clear" w:color="auto" w:fill="auto"/>
            <w:noWrap/>
            <w:vAlign w:val="bottom"/>
          </w:tcPr>
          <w:p w:rsidR="00440469" w:rsidRPr="00440469" w:rsidRDefault="00440469" w:rsidP="00440469">
            <w:pPr>
              <w:spacing w:before="0" w:after="0"/>
              <w:jc w:val="center"/>
              <w:rPr>
                <w:b/>
                <w:bCs/>
                <w:sz w:val="22"/>
                <w:szCs w:val="22"/>
              </w:rPr>
            </w:pPr>
            <w:r w:rsidRPr="00440469">
              <w:rPr>
                <w:b/>
                <w:bCs/>
                <w:sz w:val="22"/>
                <w:szCs w:val="22"/>
              </w:rPr>
              <w:t>in tonnes</w:t>
            </w:r>
          </w:p>
        </w:tc>
        <w:tc>
          <w:tcPr>
            <w:tcW w:w="1194" w:type="dxa"/>
            <w:tcBorders>
              <w:top w:val="nil"/>
              <w:left w:val="nil"/>
              <w:bottom w:val="single" w:sz="8" w:space="0" w:color="auto"/>
              <w:right w:val="single" w:sz="8" w:space="0" w:color="auto"/>
            </w:tcBorders>
            <w:shd w:val="clear" w:color="auto" w:fill="auto"/>
            <w:noWrap/>
            <w:vAlign w:val="bottom"/>
          </w:tcPr>
          <w:p w:rsidR="00440469" w:rsidRPr="00440469" w:rsidRDefault="00440469" w:rsidP="00440469">
            <w:pPr>
              <w:spacing w:before="0" w:after="0"/>
              <w:jc w:val="center"/>
              <w:rPr>
                <w:b/>
                <w:bCs/>
                <w:sz w:val="22"/>
                <w:szCs w:val="22"/>
              </w:rPr>
            </w:pPr>
            <w:r w:rsidRPr="00440469">
              <w:rPr>
                <w:b/>
                <w:bCs/>
                <w:sz w:val="22"/>
                <w:szCs w:val="22"/>
              </w:rPr>
              <w:t>in %</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sz w:val="22"/>
                <w:szCs w:val="22"/>
              </w:rPr>
            </w:pPr>
            <w:r w:rsidRPr="00440469">
              <w:rPr>
                <w:sz w:val="22"/>
                <w:szCs w:val="22"/>
              </w:rPr>
              <w:t> </w:t>
            </w:r>
          </w:p>
        </w:tc>
        <w:tc>
          <w:tcPr>
            <w:tcW w:w="2520" w:type="dxa"/>
            <w:tcBorders>
              <w:top w:val="nil"/>
              <w:left w:val="nil"/>
              <w:bottom w:val="single" w:sz="8" w:space="0" w:color="auto"/>
              <w:right w:val="single" w:sz="8" w:space="0" w:color="auto"/>
            </w:tcBorders>
            <w:shd w:val="clear" w:color="auto" w:fill="auto"/>
            <w:noWrap/>
            <w:vAlign w:val="bottom"/>
          </w:tcPr>
          <w:p w:rsidR="00440469" w:rsidRPr="00440469" w:rsidRDefault="00440469" w:rsidP="00440469">
            <w:pPr>
              <w:spacing w:before="0" w:after="0"/>
              <w:rPr>
                <w:sz w:val="22"/>
                <w:szCs w:val="22"/>
              </w:rPr>
            </w:pPr>
            <w:r w:rsidRPr="00440469">
              <w:rPr>
                <w:sz w:val="22"/>
                <w:szCs w:val="22"/>
              </w:rPr>
              <w:t> </w:t>
            </w:r>
          </w:p>
        </w:tc>
        <w:tc>
          <w:tcPr>
            <w:tcW w:w="108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b/>
                <w:bCs/>
                <w:sz w:val="22"/>
                <w:szCs w:val="22"/>
              </w:rPr>
            </w:pPr>
            <w:r w:rsidRPr="00440469">
              <w:rPr>
                <w:b/>
                <w:bCs/>
                <w:sz w:val="22"/>
                <w:szCs w:val="22"/>
              </w:rPr>
              <w:t>1</w:t>
            </w:r>
          </w:p>
        </w:tc>
        <w:tc>
          <w:tcPr>
            <w:tcW w:w="108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b/>
                <w:bCs/>
                <w:sz w:val="22"/>
                <w:szCs w:val="22"/>
              </w:rPr>
            </w:pPr>
            <w:r w:rsidRPr="00440469">
              <w:rPr>
                <w:b/>
                <w:bCs/>
                <w:sz w:val="22"/>
                <w:szCs w:val="22"/>
              </w:rPr>
              <w:t>2</w:t>
            </w:r>
          </w:p>
        </w:tc>
        <w:tc>
          <w:tcPr>
            <w:tcW w:w="1622"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b/>
                <w:bCs/>
                <w:sz w:val="22"/>
                <w:szCs w:val="22"/>
              </w:rPr>
            </w:pPr>
            <w:r w:rsidRPr="00440469">
              <w:rPr>
                <w:b/>
                <w:bCs/>
                <w:sz w:val="22"/>
                <w:szCs w:val="22"/>
              </w:rPr>
              <w:t>3</w:t>
            </w:r>
          </w:p>
        </w:tc>
        <w:tc>
          <w:tcPr>
            <w:tcW w:w="1255"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b/>
                <w:bCs/>
                <w:sz w:val="22"/>
                <w:szCs w:val="22"/>
              </w:rPr>
            </w:pPr>
            <w:r w:rsidRPr="00440469">
              <w:rPr>
                <w:b/>
                <w:bCs/>
                <w:sz w:val="22"/>
                <w:szCs w:val="22"/>
              </w:rPr>
              <w:t>4</w:t>
            </w:r>
          </w:p>
        </w:tc>
        <w:tc>
          <w:tcPr>
            <w:tcW w:w="1194"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b/>
                <w:bCs/>
                <w:sz w:val="22"/>
                <w:szCs w:val="22"/>
              </w:rPr>
            </w:pPr>
            <w:r w:rsidRPr="00440469">
              <w:rPr>
                <w:b/>
                <w:bCs/>
                <w:sz w:val="22"/>
                <w:szCs w:val="22"/>
              </w:rPr>
              <w:t>5</w:t>
            </w:r>
            <w:r w:rsidRPr="00440469">
              <w:rPr>
                <w:bCs/>
                <w:sz w:val="22"/>
                <w:szCs w:val="22"/>
                <w:vertAlign w:val="superscript"/>
              </w:rPr>
              <w:footnoteReference w:customMarkFollows="1" w:id="1"/>
              <w:t>*</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proofErr w:type="spellStart"/>
            <w:r w:rsidRPr="00440469">
              <w:rPr>
                <w:i/>
                <w:iCs/>
                <w:sz w:val="22"/>
                <w:szCs w:val="22"/>
              </w:rPr>
              <w:t>Clupea</w:t>
            </w:r>
            <w:proofErr w:type="spellEnd"/>
            <w:r w:rsidRPr="00440469">
              <w:rPr>
                <w:i/>
                <w:iCs/>
                <w:sz w:val="22"/>
                <w:szCs w:val="22"/>
              </w:rPr>
              <w:t xml:space="preserve"> </w:t>
            </w:r>
            <w:proofErr w:type="spellStart"/>
            <w:r w:rsidRPr="00440469">
              <w:rPr>
                <w:i/>
                <w:iCs/>
                <w:sz w:val="22"/>
                <w:szCs w:val="22"/>
              </w:rPr>
              <w:t>harengus</w:t>
            </w:r>
            <w:proofErr w:type="spellEnd"/>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subdivisions 30-31 (Gulf of Bothnia)</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158.470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103.254</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-35%</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120.872</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-24%</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proofErr w:type="spellStart"/>
            <w:r w:rsidRPr="00440469">
              <w:rPr>
                <w:i/>
                <w:iCs/>
                <w:sz w:val="22"/>
                <w:szCs w:val="22"/>
              </w:rPr>
              <w:t>Clupea</w:t>
            </w:r>
            <w:proofErr w:type="spellEnd"/>
            <w:r w:rsidRPr="00440469">
              <w:rPr>
                <w:i/>
                <w:iCs/>
                <w:sz w:val="22"/>
                <w:szCs w:val="22"/>
              </w:rPr>
              <w:t xml:space="preserve"> </w:t>
            </w:r>
            <w:proofErr w:type="spellStart"/>
            <w:r w:rsidRPr="00440469">
              <w:rPr>
                <w:i/>
                <w:iCs/>
                <w:sz w:val="22"/>
                <w:szCs w:val="22"/>
              </w:rPr>
              <w:t>harengus</w:t>
            </w:r>
            <w:proofErr w:type="spellEnd"/>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subdivisions 22-24</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22.220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24.797</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12%</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26.274</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18%</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proofErr w:type="spellStart"/>
            <w:r w:rsidRPr="00440469">
              <w:rPr>
                <w:i/>
                <w:iCs/>
                <w:sz w:val="22"/>
                <w:szCs w:val="22"/>
              </w:rPr>
              <w:t>Clupea</w:t>
            </w:r>
            <w:proofErr w:type="spellEnd"/>
            <w:r w:rsidRPr="00440469">
              <w:rPr>
                <w:i/>
                <w:iCs/>
                <w:sz w:val="22"/>
                <w:szCs w:val="22"/>
              </w:rPr>
              <w:t xml:space="preserve"> </w:t>
            </w:r>
            <w:proofErr w:type="spellStart"/>
            <w:r w:rsidRPr="00440469">
              <w:rPr>
                <w:i/>
                <w:iCs/>
                <w:sz w:val="22"/>
                <w:szCs w:val="22"/>
              </w:rPr>
              <w:t>harengus</w:t>
            </w:r>
            <w:proofErr w:type="spellEnd"/>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subdivisions 25-27, 28.2, 29, 32</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163.461</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177.505</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9%</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177.505</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9%</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proofErr w:type="spellStart"/>
            <w:r w:rsidRPr="00440469">
              <w:rPr>
                <w:i/>
                <w:iCs/>
                <w:sz w:val="22"/>
                <w:szCs w:val="22"/>
              </w:rPr>
              <w:t>Clupea</w:t>
            </w:r>
            <w:proofErr w:type="spellEnd"/>
            <w:r w:rsidRPr="00440469">
              <w:rPr>
                <w:i/>
                <w:iCs/>
                <w:sz w:val="22"/>
                <w:szCs w:val="22"/>
              </w:rPr>
              <w:t xml:space="preserve"> </w:t>
            </w:r>
            <w:proofErr w:type="spellStart"/>
            <w:r w:rsidRPr="00440469">
              <w:rPr>
                <w:i/>
                <w:iCs/>
                <w:sz w:val="22"/>
                <w:szCs w:val="22"/>
              </w:rPr>
              <w:t>harengus</w:t>
            </w:r>
            <w:proofErr w:type="spellEnd"/>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 28-1 (Gulf of Riga)</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38.780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30.623</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-21%</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34.915</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-10%</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proofErr w:type="spellStart"/>
            <w:r w:rsidRPr="00440469">
              <w:rPr>
                <w:i/>
                <w:iCs/>
                <w:sz w:val="22"/>
                <w:szCs w:val="22"/>
              </w:rPr>
              <w:t>Gadus</w:t>
            </w:r>
            <w:proofErr w:type="spellEnd"/>
            <w:r w:rsidRPr="00440469">
              <w:rPr>
                <w:i/>
                <w:iCs/>
                <w:sz w:val="22"/>
                <w:szCs w:val="22"/>
              </w:rPr>
              <w:t xml:space="preserve"> </w:t>
            </w:r>
            <w:proofErr w:type="spellStart"/>
            <w:r w:rsidRPr="00440469">
              <w:rPr>
                <w:i/>
                <w:iCs/>
                <w:sz w:val="22"/>
                <w:szCs w:val="22"/>
              </w:rPr>
              <w:t>morhua</w:t>
            </w:r>
            <w:proofErr w:type="spellEnd"/>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subdivisions 25-32 (Eastern)</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51.429</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41.143</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-20%</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41.143</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-20%</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proofErr w:type="spellStart"/>
            <w:r w:rsidRPr="00440469">
              <w:rPr>
                <w:i/>
                <w:iCs/>
                <w:sz w:val="22"/>
                <w:szCs w:val="22"/>
              </w:rPr>
              <w:t>Gadus</w:t>
            </w:r>
            <w:proofErr w:type="spellEnd"/>
            <w:r w:rsidRPr="00440469">
              <w:rPr>
                <w:i/>
                <w:iCs/>
                <w:sz w:val="22"/>
                <w:szCs w:val="22"/>
              </w:rPr>
              <w:t xml:space="preserve"> </w:t>
            </w:r>
            <w:proofErr w:type="spellStart"/>
            <w:r w:rsidRPr="00440469">
              <w:rPr>
                <w:i/>
                <w:iCs/>
                <w:sz w:val="22"/>
                <w:szCs w:val="22"/>
              </w:rPr>
              <w:t>morhua</w:t>
            </w:r>
            <w:proofErr w:type="spellEnd"/>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subdivisions 22-24 (Western)</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15.900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10.363</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-35%</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12.720</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-20%</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proofErr w:type="spellStart"/>
            <w:r w:rsidRPr="00440469">
              <w:rPr>
                <w:i/>
                <w:iCs/>
                <w:sz w:val="22"/>
                <w:szCs w:val="22"/>
              </w:rPr>
              <w:t>Pleuronectes</w:t>
            </w:r>
            <w:proofErr w:type="spellEnd"/>
            <w:r w:rsidRPr="00440469">
              <w:rPr>
                <w:i/>
                <w:iCs/>
                <w:sz w:val="22"/>
                <w:szCs w:val="22"/>
              </w:rPr>
              <w:t xml:space="preserve"> </w:t>
            </w:r>
            <w:proofErr w:type="spellStart"/>
            <w:r w:rsidRPr="00440469">
              <w:rPr>
                <w:i/>
                <w:iCs/>
                <w:sz w:val="22"/>
                <w:szCs w:val="22"/>
              </w:rPr>
              <w:t>platessa</w:t>
            </w:r>
            <w:proofErr w:type="spellEnd"/>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subdivisions 22-32</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3.409</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4.034</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18%</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4.034</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18%</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r w:rsidRPr="00440469">
              <w:rPr>
                <w:i/>
                <w:iCs/>
                <w:sz w:val="22"/>
                <w:szCs w:val="22"/>
              </w:rPr>
              <w:t xml:space="preserve">Salmo </w:t>
            </w:r>
            <w:r w:rsidRPr="00440469">
              <w:rPr>
                <w:i/>
                <w:iCs/>
                <w:sz w:val="22"/>
                <w:szCs w:val="22"/>
              </w:rPr>
              <w:br/>
            </w:r>
            <w:proofErr w:type="spellStart"/>
            <w:r w:rsidRPr="00440469">
              <w:rPr>
                <w:i/>
                <w:iCs/>
                <w:sz w:val="22"/>
                <w:szCs w:val="22"/>
              </w:rPr>
              <w:t>salar</w:t>
            </w:r>
            <w:proofErr w:type="spellEnd"/>
            <w:r w:rsidRPr="00440469">
              <w:rPr>
                <w:b/>
                <w:i/>
                <w:iCs/>
                <w:sz w:val="22"/>
                <w:szCs w:val="22"/>
                <w:vertAlign w:val="superscript"/>
              </w:rPr>
              <w:footnoteReference w:customMarkFollows="1" w:id="2"/>
              <w:t>**</w:t>
            </w:r>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subdivisions 22-31</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95.928</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105.850</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10%</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95.928</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0%</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r w:rsidRPr="00440469">
              <w:rPr>
                <w:i/>
                <w:iCs/>
                <w:sz w:val="22"/>
                <w:szCs w:val="22"/>
              </w:rPr>
              <w:t xml:space="preserve">Salmo </w:t>
            </w:r>
            <w:r w:rsidRPr="00440469">
              <w:rPr>
                <w:i/>
                <w:iCs/>
                <w:sz w:val="22"/>
                <w:szCs w:val="22"/>
              </w:rPr>
              <w:br/>
            </w:r>
            <w:proofErr w:type="spellStart"/>
            <w:r w:rsidRPr="00440469">
              <w:rPr>
                <w:i/>
                <w:iCs/>
                <w:sz w:val="22"/>
                <w:szCs w:val="22"/>
              </w:rPr>
              <w:t>salar</w:t>
            </w:r>
            <w:proofErr w:type="spellEnd"/>
            <w:r w:rsidRPr="00440469">
              <w:rPr>
                <w:i/>
                <w:iCs/>
                <w:sz w:val="22"/>
                <w:szCs w:val="22"/>
                <w:vertAlign w:val="superscript"/>
              </w:rPr>
              <w:t>**</w:t>
            </w:r>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 32</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13.106</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10.024</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-24%</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13.106</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0%</w:t>
            </w:r>
          </w:p>
        </w:tc>
      </w:tr>
      <w:tr w:rsidR="00440469" w:rsidRPr="00440469" w:rsidTr="00440469">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440469" w:rsidRPr="00440469" w:rsidRDefault="00440469" w:rsidP="00440469">
            <w:pPr>
              <w:spacing w:before="0" w:after="0"/>
              <w:rPr>
                <w:i/>
                <w:iCs/>
                <w:sz w:val="22"/>
                <w:szCs w:val="22"/>
              </w:rPr>
            </w:pPr>
            <w:proofErr w:type="spellStart"/>
            <w:r w:rsidRPr="00440469">
              <w:rPr>
                <w:i/>
                <w:iCs/>
                <w:sz w:val="22"/>
                <w:szCs w:val="22"/>
              </w:rPr>
              <w:t>Sprattus</w:t>
            </w:r>
            <w:proofErr w:type="spellEnd"/>
            <w:r w:rsidRPr="00440469">
              <w:rPr>
                <w:i/>
                <w:iCs/>
                <w:sz w:val="22"/>
                <w:szCs w:val="22"/>
              </w:rPr>
              <w:t xml:space="preserve"> </w:t>
            </w:r>
            <w:proofErr w:type="spellStart"/>
            <w:r w:rsidRPr="00440469">
              <w:rPr>
                <w:i/>
                <w:iCs/>
                <w:sz w:val="22"/>
                <w:szCs w:val="22"/>
              </w:rPr>
              <w:t>sprattus</w:t>
            </w:r>
            <w:proofErr w:type="spellEnd"/>
          </w:p>
        </w:tc>
        <w:tc>
          <w:tcPr>
            <w:tcW w:w="2520" w:type="dxa"/>
            <w:tcBorders>
              <w:top w:val="nil"/>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rPr>
                <w:rFonts w:asciiTheme="majorBidi" w:hAnsiTheme="majorBidi" w:cstheme="majorBidi"/>
                <w:sz w:val="22"/>
                <w:szCs w:val="22"/>
                <w:lang w:eastAsia="en-GB"/>
              </w:rPr>
            </w:pPr>
            <w:r w:rsidRPr="00440469">
              <w:rPr>
                <w:rFonts w:asciiTheme="majorBidi" w:hAnsiTheme="majorBidi" w:cstheme="majorBidi"/>
                <w:sz w:val="22"/>
                <w:szCs w:val="22"/>
                <w:lang w:eastAsia="en-GB"/>
              </w:rPr>
              <w:t>Baltic Sea subdivisions 22-32</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213.581</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184.336</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-14%</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sz w:val="22"/>
                <w:szCs w:val="22"/>
                <w:lang w:eastAsia="en-GB"/>
              </w:rPr>
            </w:pPr>
            <w:r w:rsidRPr="00440469">
              <w:rPr>
                <w:rFonts w:asciiTheme="majorBidi" w:hAnsiTheme="majorBidi" w:cstheme="majorBidi"/>
                <w:sz w:val="22"/>
                <w:szCs w:val="22"/>
                <w:lang w:eastAsia="en-GB"/>
              </w:rPr>
              <w:t>202.320</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440469" w:rsidRPr="00440469" w:rsidRDefault="00440469" w:rsidP="00440469">
            <w:pPr>
              <w:spacing w:before="0" w:after="0"/>
              <w:jc w:val="center"/>
              <w:rPr>
                <w:rFonts w:asciiTheme="majorBidi" w:hAnsiTheme="majorBidi" w:cstheme="majorBidi"/>
                <w:b/>
                <w:bCs/>
                <w:sz w:val="22"/>
                <w:szCs w:val="22"/>
                <w:lang w:eastAsia="en-GB"/>
              </w:rPr>
            </w:pPr>
            <w:r w:rsidRPr="00440469">
              <w:rPr>
                <w:rFonts w:asciiTheme="majorBidi" w:hAnsiTheme="majorBidi" w:cstheme="majorBidi"/>
                <w:b/>
                <w:bCs/>
                <w:sz w:val="22"/>
                <w:szCs w:val="22"/>
                <w:lang w:eastAsia="en-GB"/>
              </w:rPr>
              <w:t>-5%</w:t>
            </w:r>
          </w:p>
        </w:tc>
      </w:tr>
      <w:tr w:rsidR="00440469" w:rsidRPr="00440469" w:rsidTr="00440469">
        <w:trPr>
          <w:trHeight w:val="255"/>
        </w:trPr>
        <w:tc>
          <w:tcPr>
            <w:tcW w:w="1365" w:type="dxa"/>
            <w:tcBorders>
              <w:top w:val="nil"/>
              <w:left w:val="nil"/>
              <w:bottom w:val="nil"/>
              <w:right w:val="nil"/>
            </w:tcBorders>
            <w:shd w:val="clear" w:color="auto" w:fill="auto"/>
            <w:noWrap/>
            <w:vAlign w:val="bottom"/>
          </w:tcPr>
          <w:p w:rsidR="00440469" w:rsidRPr="00440469" w:rsidRDefault="00440469" w:rsidP="00440469">
            <w:pPr>
              <w:spacing w:before="0" w:after="0"/>
              <w:rPr>
                <w:i/>
                <w:iCs/>
                <w:sz w:val="22"/>
                <w:szCs w:val="22"/>
              </w:rPr>
            </w:pPr>
          </w:p>
        </w:tc>
        <w:tc>
          <w:tcPr>
            <w:tcW w:w="2520" w:type="dxa"/>
            <w:tcBorders>
              <w:top w:val="nil"/>
              <w:left w:val="nil"/>
              <w:bottom w:val="nil"/>
              <w:right w:val="nil"/>
            </w:tcBorders>
            <w:shd w:val="clear" w:color="auto" w:fill="auto"/>
            <w:noWrap/>
            <w:vAlign w:val="bottom"/>
          </w:tcPr>
          <w:p w:rsidR="00440469" w:rsidRPr="00440469" w:rsidRDefault="00440469" w:rsidP="00440469">
            <w:pPr>
              <w:spacing w:before="0" w:after="0"/>
              <w:rPr>
                <w:sz w:val="22"/>
                <w:szCs w:val="22"/>
              </w:rPr>
            </w:pPr>
          </w:p>
        </w:tc>
        <w:tc>
          <w:tcPr>
            <w:tcW w:w="1080" w:type="dxa"/>
            <w:tcBorders>
              <w:top w:val="nil"/>
              <w:left w:val="nil"/>
              <w:bottom w:val="nil"/>
              <w:right w:val="nil"/>
            </w:tcBorders>
            <w:shd w:val="clear" w:color="auto" w:fill="auto"/>
            <w:noWrap/>
            <w:vAlign w:val="bottom"/>
          </w:tcPr>
          <w:p w:rsidR="00440469" w:rsidRPr="00440469" w:rsidRDefault="00440469" w:rsidP="00440469">
            <w:pPr>
              <w:spacing w:before="0" w:after="0"/>
              <w:jc w:val="right"/>
              <w:rPr>
                <w:sz w:val="22"/>
                <w:szCs w:val="22"/>
              </w:rPr>
            </w:pPr>
          </w:p>
        </w:tc>
        <w:tc>
          <w:tcPr>
            <w:tcW w:w="1080" w:type="dxa"/>
            <w:tcBorders>
              <w:top w:val="nil"/>
              <w:left w:val="nil"/>
              <w:bottom w:val="nil"/>
              <w:right w:val="nil"/>
            </w:tcBorders>
            <w:shd w:val="clear" w:color="auto" w:fill="auto"/>
            <w:noWrap/>
            <w:vAlign w:val="bottom"/>
          </w:tcPr>
          <w:p w:rsidR="00440469" w:rsidRPr="00440469" w:rsidRDefault="00440469" w:rsidP="00440469">
            <w:pPr>
              <w:spacing w:before="0" w:after="0"/>
              <w:jc w:val="right"/>
              <w:rPr>
                <w:sz w:val="22"/>
                <w:szCs w:val="22"/>
              </w:rPr>
            </w:pPr>
          </w:p>
        </w:tc>
        <w:tc>
          <w:tcPr>
            <w:tcW w:w="1622" w:type="dxa"/>
            <w:tcBorders>
              <w:top w:val="nil"/>
              <w:left w:val="nil"/>
              <w:bottom w:val="nil"/>
              <w:right w:val="nil"/>
            </w:tcBorders>
            <w:shd w:val="clear" w:color="auto" w:fill="auto"/>
            <w:noWrap/>
            <w:vAlign w:val="bottom"/>
          </w:tcPr>
          <w:p w:rsidR="00440469" w:rsidRPr="00440469" w:rsidRDefault="00440469" w:rsidP="00440469">
            <w:pPr>
              <w:spacing w:before="0" w:after="0"/>
              <w:jc w:val="right"/>
              <w:rPr>
                <w:sz w:val="22"/>
                <w:szCs w:val="22"/>
              </w:rPr>
            </w:pPr>
          </w:p>
        </w:tc>
        <w:tc>
          <w:tcPr>
            <w:tcW w:w="1255" w:type="dxa"/>
            <w:tcBorders>
              <w:top w:val="nil"/>
              <w:left w:val="nil"/>
              <w:bottom w:val="nil"/>
              <w:right w:val="nil"/>
            </w:tcBorders>
            <w:shd w:val="clear" w:color="auto" w:fill="auto"/>
            <w:noWrap/>
            <w:vAlign w:val="bottom"/>
          </w:tcPr>
          <w:p w:rsidR="00440469" w:rsidRPr="00440469" w:rsidRDefault="00440469" w:rsidP="00440469">
            <w:pPr>
              <w:spacing w:before="0" w:after="0"/>
              <w:jc w:val="right"/>
              <w:rPr>
                <w:sz w:val="22"/>
                <w:szCs w:val="22"/>
              </w:rPr>
            </w:pPr>
          </w:p>
        </w:tc>
        <w:tc>
          <w:tcPr>
            <w:tcW w:w="1194" w:type="dxa"/>
            <w:tcBorders>
              <w:top w:val="nil"/>
              <w:left w:val="nil"/>
              <w:bottom w:val="nil"/>
              <w:right w:val="nil"/>
            </w:tcBorders>
            <w:shd w:val="clear" w:color="auto" w:fill="auto"/>
            <w:noWrap/>
            <w:vAlign w:val="bottom"/>
          </w:tcPr>
          <w:p w:rsidR="00440469" w:rsidRPr="00440469" w:rsidRDefault="00440469" w:rsidP="00440469">
            <w:pPr>
              <w:spacing w:before="0" w:after="0"/>
              <w:jc w:val="right"/>
              <w:rPr>
                <w:sz w:val="22"/>
                <w:szCs w:val="22"/>
              </w:rPr>
            </w:pPr>
          </w:p>
        </w:tc>
      </w:tr>
      <w:tr w:rsidR="00440469" w:rsidRPr="00213944" w:rsidTr="00440469">
        <w:trPr>
          <w:trHeight w:val="255"/>
        </w:trPr>
        <w:tc>
          <w:tcPr>
            <w:tcW w:w="10116" w:type="dxa"/>
            <w:gridSpan w:val="7"/>
            <w:tcBorders>
              <w:top w:val="nil"/>
              <w:left w:val="nil"/>
              <w:bottom w:val="nil"/>
              <w:right w:val="nil"/>
            </w:tcBorders>
            <w:shd w:val="clear" w:color="auto" w:fill="auto"/>
            <w:noWrap/>
            <w:vAlign w:val="bottom"/>
          </w:tcPr>
          <w:p w:rsidR="00440469" w:rsidRPr="00440469" w:rsidRDefault="00440469" w:rsidP="00440469">
            <w:pPr>
              <w:spacing w:after="120"/>
              <w:rPr>
                <w:b/>
                <w:bCs/>
                <w:u w:val="single"/>
                <w:lang w:val="de-DE"/>
              </w:rPr>
            </w:pPr>
            <w:r w:rsidRPr="00440469">
              <w:rPr>
                <w:b/>
                <w:bCs/>
                <w:u w:val="single"/>
                <w:lang w:val="de-DE"/>
              </w:rPr>
              <w:t xml:space="preserve">Legend: </w:t>
            </w:r>
            <w:proofErr w:type="spellStart"/>
            <w:r w:rsidRPr="00440469">
              <w:rPr>
                <w:b/>
                <w:bCs/>
                <w:u w:val="single"/>
                <w:lang w:val="de-DE"/>
              </w:rPr>
              <w:t>Latin</w:t>
            </w:r>
            <w:proofErr w:type="spellEnd"/>
            <w:r w:rsidRPr="00440469">
              <w:rPr>
                <w:b/>
                <w:bCs/>
                <w:u w:val="single"/>
                <w:lang w:val="de-DE"/>
              </w:rPr>
              <w:t xml:space="preserve"> </w:t>
            </w:r>
            <w:proofErr w:type="spellStart"/>
            <w:r w:rsidRPr="00440469">
              <w:rPr>
                <w:b/>
                <w:bCs/>
                <w:u w:val="single"/>
                <w:lang w:val="de-DE"/>
              </w:rPr>
              <w:t>name</w:t>
            </w:r>
            <w:proofErr w:type="spellEnd"/>
            <w:r w:rsidRPr="00440469">
              <w:rPr>
                <w:b/>
                <w:bCs/>
                <w:u w:val="single"/>
                <w:lang w:val="de-DE"/>
              </w:rPr>
              <w:t xml:space="preserve"> - English </w:t>
            </w:r>
            <w:proofErr w:type="spellStart"/>
            <w:r w:rsidRPr="00440469">
              <w:rPr>
                <w:b/>
                <w:bCs/>
                <w:u w:val="single"/>
                <w:lang w:val="de-DE"/>
              </w:rPr>
              <w:t>name</w:t>
            </w:r>
            <w:proofErr w:type="spellEnd"/>
            <w:r w:rsidRPr="00440469">
              <w:rPr>
                <w:b/>
                <w:bCs/>
                <w:u w:val="single"/>
                <w:lang w:val="de-DE"/>
              </w:rPr>
              <w:t xml:space="preserve">/ </w:t>
            </w:r>
            <w:proofErr w:type="spellStart"/>
            <w:r w:rsidRPr="00440469">
              <w:rPr>
                <w:b/>
                <w:bCs/>
                <w:u w:val="single"/>
                <w:lang w:val="de-DE"/>
              </w:rPr>
              <w:t>Nom</w:t>
            </w:r>
            <w:proofErr w:type="spellEnd"/>
            <w:r w:rsidRPr="00440469">
              <w:rPr>
                <w:b/>
                <w:bCs/>
                <w:u w:val="single"/>
                <w:lang w:val="de-DE"/>
              </w:rPr>
              <w:t xml:space="preserve"> </w:t>
            </w:r>
            <w:proofErr w:type="spellStart"/>
            <w:r w:rsidRPr="00440469">
              <w:rPr>
                <w:b/>
                <w:bCs/>
                <w:u w:val="single"/>
                <w:lang w:val="de-DE"/>
              </w:rPr>
              <w:t>français</w:t>
            </w:r>
            <w:proofErr w:type="spellEnd"/>
            <w:r w:rsidRPr="00440469">
              <w:rPr>
                <w:b/>
                <w:bCs/>
                <w:u w:val="single"/>
                <w:lang w:val="de-DE"/>
              </w:rPr>
              <w:t>/ Deutsche Name</w:t>
            </w:r>
          </w:p>
        </w:tc>
      </w:tr>
      <w:tr w:rsidR="00440469" w:rsidRPr="00440469" w:rsidTr="00440469">
        <w:trPr>
          <w:trHeight w:val="255"/>
        </w:trPr>
        <w:tc>
          <w:tcPr>
            <w:tcW w:w="10116" w:type="dxa"/>
            <w:gridSpan w:val="7"/>
            <w:tcBorders>
              <w:top w:val="nil"/>
              <w:left w:val="nil"/>
              <w:bottom w:val="nil"/>
              <w:right w:val="nil"/>
            </w:tcBorders>
            <w:shd w:val="clear" w:color="auto" w:fill="auto"/>
            <w:noWrap/>
            <w:vAlign w:val="bottom"/>
          </w:tcPr>
          <w:p w:rsidR="00440469" w:rsidRPr="00440469" w:rsidRDefault="00440469" w:rsidP="00440469">
            <w:pPr>
              <w:spacing w:after="120"/>
              <w:rPr>
                <w:i/>
                <w:iCs/>
              </w:rPr>
            </w:pPr>
            <w:proofErr w:type="spellStart"/>
            <w:r w:rsidRPr="00440469">
              <w:rPr>
                <w:i/>
                <w:iCs/>
              </w:rPr>
              <w:t>Clupea</w:t>
            </w:r>
            <w:proofErr w:type="spellEnd"/>
            <w:r w:rsidRPr="00440469">
              <w:rPr>
                <w:i/>
                <w:iCs/>
              </w:rPr>
              <w:t xml:space="preserve"> </w:t>
            </w:r>
            <w:proofErr w:type="spellStart"/>
            <w:r w:rsidRPr="00440469">
              <w:rPr>
                <w:i/>
                <w:iCs/>
              </w:rPr>
              <w:t>harengus</w:t>
            </w:r>
            <w:proofErr w:type="spellEnd"/>
            <w:r w:rsidRPr="00440469">
              <w:rPr>
                <w:i/>
                <w:iCs/>
              </w:rPr>
              <w:t xml:space="preserve"> - herring/ </w:t>
            </w:r>
            <w:proofErr w:type="spellStart"/>
            <w:r w:rsidRPr="00440469">
              <w:rPr>
                <w:i/>
                <w:iCs/>
              </w:rPr>
              <w:t>hareng</w:t>
            </w:r>
            <w:proofErr w:type="spellEnd"/>
            <w:r w:rsidRPr="00440469">
              <w:rPr>
                <w:i/>
                <w:iCs/>
              </w:rPr>
              <w:t xml:space="preserve">/ </w:t>
            </w:r>
            <w:proofErr w:type="spellStart"/>
            <w:r w:rsidRPr="00440469">
              <w:rPr>
                <w:i/>
                <w:iCs/>
              </w:rPr>
              <w:t>Hering</w:t>
            </w:r>
            <w:proofErr w:type="spellEnd"/>
          </w:p>
        </w:tc>
      </w:tr>
      <w:tr w:rsidR="00440469" w:rsidRPr="00440469" w:rsidTr="00440469">
        <w:trPr>
          <w:trHeight w:val="255"/>
        </w:trPr>
        <w:tc>
          <w:tcPr>
            <w:tcW w:w="10116" w:type="dxa"/>
            <w:gridSpan w:val="7"/>
            <w:tcBorders>
              <w:top w:val="nil"/>
              <w:left w:val="nil"/>
              <w:bottom w:val="nil"/>
              <w:right w:val="nil"/>
            </w:tcBorders>
            <w:shd w:val="clear" w:color="auto" w:fill="auto"/>
            <w:noWrap/>
            <w:vAlign w:val="bottom"/>
          </w:tcPr>
          <w:p w:rsidR="00440469" w:rsidRPr="00440469" w:rsidRDefault="00440469" w:rsidP="00440469">
            <w:pPr>
              <w:spacing w:after="120"/>
              <w:rPr>
                <w:i/>
                <w:iCs/>
              </w:rPr>
            </w:pPr>
            <w:proofErr w:type="spellStart"/>
            <w:r w:rsidRPr="00440469">
              <w:rPr>
                <w:i/>
                <w:iCs/>
              </w:rPr>
              <w:t>Gadus</w:t>
            </w:r>
            <w:proofErr w:type="spellEnd"/>
            <w:r w:rsidRPr="00440469">
              <w:rPr>
                <w:i/>
                <w:iCs/>
              </w:rPr>
              <w:t xml:space="preserve"> </w:t>
            </w:r>
            <w:proofErr w:type="spellStart"/>
            <w:r w:rsidRPr="00440469">
              <w:rPr>
                <w:i/>
                <w:iCs/>
              </w:rPr>
              <w:t>morhua</w:t>
            </w:r>
            <w:proofErr w:type="spellEnd"/>
            <w:r w:rsidRPr="00440469">
              <w:rPr>
                <w:i/>
                <w:iCs/>
              </w:rPr>
              <w:t xml:space="preserve"> - cod/ </w:t>
            </w:r>
            <w:proofErr w:type="spellStart"/>
            <w:r w:rsidRPr="00440469">
              <w:rPr>
                <w:i/>
                <w:iCs/>
              </w:rPr>
              <w:t>morue</w:t>
            </w:r>
            <w:proofErr w:type="spellEnd"/>
            <w:r w:rsidRPr="00440469">
              <w:rPr>
                <w:i/>
                <w:iCs/>
              </w:rPr>
              <w:t xml:space="preserve">/ </w:t>
            </w:r>
            <w:proofErr w:type="spellStart"/>
            <w:r w:rsidRPr="00440469">
              <w:rPr>
                <w:i/>
                <w:iCs/>
              </w:rPr>
              <w:t>Dorsch</w:t>
            </w:r>
            <w:proofErr w:type="spellEnd"/>
          </w:p>
        </w:tc>
      </w:tr>
      <w:tr w:rsidR="00440469" w:rsidRPr="00213944" w:rsidTr="00440469">
        <w:trPr>
          <w:trHeight w:val="255"/>
        </w:trPr>
        <w:tc>
          <w:tcPr>
            <w:tcW w:w="10116" w:type="dxa"/>
            <w:gridSpan w:val="7"/>
            <w:tcBorders>
              <w:top w:val="nil"/>
              <w:left w:val="nil"/>
              <w:bottom w:val="nil"/>
              <w:right w:val="nil"/>
            </w:tcBorders>
            <w:shd w:val="clear" w:color="auto" w:fill="auto"/>
            <w:noWrap/>
            <w:vAlign w:val="bottom"/>
          </w:tcPr>
          <w:p w:rsidR="00440469" w:rsidRPr="00440469" w:rsidRDefault="00440469" w:rsidP="00440469">
            <w:pPr>
              <w:spacing w:after="120"/>
              <w:rPr>
                <w:i/>
                <w:iCs/>
                <w:lang w:val="fr-BE"/>
              </w:rPr>
            </w:pPr>
            <w:r w:rsidRPr="00440469">
              <w:rPr>
                <w:i/>
                <w:iCs/>
                <w:lang w:val="fr-BE"/>
              </w:rPr>
              <w:t xml:space="preserve">Pleuronectes </w:t>
            </w:r>
            <w:proofErr w:type="spellStart"/>
            <w:r w:rsidRPr="00440469">
              <w:rPr>
                <w:i/>
                <w:iCs/>
                <w:lang w:val="fr-BE"/>
              </w:rPr>
              <w:t>platessa</w:t>
            </w:r>
            <w:proofErr w:type="spellEnd"/>
            <w:r w:rsidRPr="00440469">
              <w:rPr>
                <w:i/>
                <w:iCs/>
                <w:lang w:val="fr-BE"/>
              </w:rPr>
              <w:t xml:space="preserve"> - </w:t>
            </w:r>
            <w:proofErr w:type="spellStart"/>
            <w:r w:rsidRPr="00440469">
              <w:rPr>
                <w:i/>
                <w:iCs/>
                <w:lang w:val="fr-BE"/>
              </w:rPr>
              <w:t>plaice</w:t>
            </w:r>
            <w:proofErr w:type="spellEnd"/>
            <w:r w:rsidRPr="00440469">
              <w:rPr>
                <w:i/>
                <w:iCs/>
                <w:lang w:val="fr-BE"/>
              </w:rPr>
              <w:t xml:space="preserve">/ plie/ </w:t>
            </w:r>
            <w:proofErr w:type="spellStart"/>
            <w:r w:rsidRPr="00440469">
              <w:rPr>
                <w:i/>
                <w:iCs/>
                <w:lang w:val="fr-BE"/>
              </w:rPr>
              <w:t>Scholle</w:t>
            </w:r>
            <w:proofErr w:type="spellEnd"/>
          </w:p>
        </w:tc>
      </w:tr>
      <w:tr w:rsidR="00440469" w:rsidRPr="00440469" w:rsidTr="00440469">
        <w:trPr>
          <w:trHeight w:val="255"/>
        </w:trPr>
        <w:tc>
          <w:tcPr>
            <w:tcW w:w="10116" w:type="dxa"/>
            <w:gridSpan w:val="7"/>
            <w:tcBorders>
              <w:top w:val="nil"/>
              <w:left w:val="nil"/>
              <w:bottom w:val="nil"/>
              <w:right w:val="nil"/>
            </w:tcBorders>
            <w:shd w:val="clear" w:color="auto" w:fill="auto"/>
            <w:noWrap/>
            <w:vAlign w:val="bottom"/>
          </w:tcPr>
          <w:p w:rsidR="00440469" w:rsidRPr="00440469" w:rsidRDefault="00440469" w:rsidP="00440469">
            <w:pPr>
              <w:spacing w:after="120"/>
              <w:rPr>
                <w:i/>
                <w:iCs/>
              </w:rPr>
            </w:pPr>
            <w:r w:rsidRPr="00440469">
              <w:rPr>
                <w:i/>
                <w:iCs/>
              </w:rPr>
              <w:t xml:space="preserve">Salmo </w:t>
            </w:r>
            <w:proofErr w:type="spellStart"/>
            <w:r w:rsidRPr="00440469">
              <w:rPr>
                <w:i/>
                <w:iCs/>
              </w:rPr>
              <w:t>salar</w:t>
            </w:r>
            <w:proofErr w:type="spellEnd"/>
            <w:r w:rsidRPr="00440469">
              <w:rPr>
                <w:i/>
                <w:iCs/>
              </w:rPr>
              <w:t xml:space="preserve"> - Atlantic salmon/ </w:t>
            </w:r>
            <w:proofErr w:type="spellStart"/>
            <w:r w:rsidRPr="00440469">
              <w:rPr>
                <w:i/>
                <w:iCs/>
              </w:rPr>
              <w:t>saumon</w:t>
            </w:r>
            <w:proofErr w:type="spellEnd"/>
            <w:r w:rsidRPr="00440469">
              <w:rPr>
                <w:i/>
                <w:iCs/>
              </w:rPr>
              <w:t xml:space="preserve"> </w:t>
            </w:r>
            <w:proofErr w:type="spellStart"/>
            <w:r w:rsidRPr="00440469">
              <w:rPr>
                <w:i/>
                <w:iCs/>
              </w:rPr>
              <w:t>atlantique</w:t>
            </w:r>
            <w:proofErr w:type="spellEnd"/>
            <w:r w:rsidRPr="00440469">
              <w:rPr>
                <w:i/>
                <w:iCs/>
              </w:rPr>
              <w:t xml:space="preserve">/ </w:t>
            </w:r>
            <w:proofErr w:type="spellStart"/>
            <w:r w:rsidRPr="00440469">
              <w:rPr>
                <w:i/>
                <w:iCs/>
              </w:rPr>
              <w:t>Lachs</w:t>
            </w:r>
            <w:proofErr w:type="spellEnd"/>
          </w:p>
        </w:tc>
      </w:tr>
      <w:tr w:rsidR="00440469" w:rsidRPr="00213944" w:rsidTr="00440469">
        <w:trPr>
          <w:trHeight w:val="255"/>
        </w:trPr>
        <w:tc>
          <w:tcPr>
            <w:tcW w:w="10116" w:type="dxa"/>
            <w:gridSpan w:val="7"/>
            <w:tcBorders>
              <w:top w:val="nil"/>
              <w:left w:val="nil"/>
              <w:bottom w:val="nil"/>
              <w:right w:val="nil"/>
            </w:tcBorders>
            <w:shd w:val="clear" w:color="auto" w:fill="auto"/>
            <w:noWrap/>
            <w:vAlign w:val="bottom"/>
          </w:tcPr>
          <w:p w:rsidR="00440469" w:rsidRPr="00440469" w:rsidRDefault="00440469" w:rsidP="00440469">
            <w:pPr>
              <w:spacing w:after="120"/>
              <w:rPr>
                <w:i/>
                <w:iCs/>
                <w:lang w:val="sv-SE"/>
              </w:rPr>
            </w:pPr>
            <w:proofErr w:type="spellStart"/>
            <w:r w:rsidRPr="00440469">
              <w:rPr>
                <w:i/>
                <w:iCs/>
                <w:lang w:val="sv-SE"/>
              </w:rPr>
              <w:t>Sprattus</w:t>
            </w:r>
            <w:proofErr w:type="spellEnd"/>
            <w:r w:rsidRPr="00440469">
              <w:rPr>
                <w:i/>
                <w:iCs/>
                <w:lang w:val="sv-SE"/>
              </w:rPr>
              <w:t xml:space="preserve"> </w:t>
            </w:r>
            <w:proofErr w:type="spellStart"/>
            <w:r w:rsidRPr="00440469">
              <w:rPr>
                <w:i/>
                <w:iCs/>
                <w:lang w:val="sv-SE"/>
              </w:rPr>
              <w:t>sprattus</w:t>
            </w:r>
            <w:proofErr w:type="spellEnd"/>
            <w:r w:rsidRPr="00440469">
              <w:rPr>
                <w:i/>
                <w:iCs/>
                <w:lang w:val="sv-SE"/>
              </w:rPr>
              <w:t xml:space="preserve"> - </w:t>
            </w:r>
            <w:proofErr w:type="spellStart"/>
            <w:r w:rsidRPr="00440469">
              <w:rPr>
                <w:i/>
                <w:iCs/>
                <w:lang w:val="sv-SE"/>
              </w:rPr>
              <w:t>sprat</w:t>
            </w:r>
            <w:proofErr w:type="spellEnd"/>
            <w:r w:rsidRPr="00440469">
              <w:rPr>
                <w:i/>
                <w:iCs/>
                <w:lang w:val="sv-SE"/>
              </w:rPr>
              <w:t xml:space="preserve">/ </w:t>
            </w:r>
            <w:proofErr w:type="spellStart"/>
            <w:r w:rsidRPr="00440469">
              <w:rPr>
                <w:i/>
                <w:iCs/>
                <w:lang w:val="sv-SE"/>
              </w:rPr>
              <w:t>sprat</w:t>
            </w:r>
            <w:proofErr w:type="spellEnd"/>
            <w:r w:rsidRPr="00440469">
              <w:rPr>
                <w:i/>
                <w:iCs/>
                <w:lang w:val="sv-SE"/>
              </w:rPr>
              <w:t xml:space="preserve"> (</w:t>
            </w:r>
            <w:proofErr w:type="spellStart"/>
            <w:r w:rsidRPr="00440469">
              <w:rPr>
                <w:i/>
                <w:iCs/>
                <w:lang w:val="sv-SE"/>
              </w:rPr>
              <w:t>esprot</w:t>
            </w:r>
            <w:proofErr w:type="spellEnd"/>
            <w:r w:rsidRPr="00440469">
              <w:rPr>
                <w:i/>
                <w:iCs/>
                <w:lang w:val="sv-SE"/>
              </w:rPr>
              <w:t xml:space="preserve">)/ </w:t>
            </w:r>
            <w:proofErr w:type="spellStart"/>
            <w:r w:rsidRPr="00440469">
              <w:rPr>
                <w:i/>
                <w:iCs/>
                <w:lang w:val="sv-SE"/>
              </w:rPr>
              <w:t>Sprotte</w:t>
            </w:r>
            <w:proofErr w:type="spellEnd"/>
          </w:p>
        </w:tc>
      </w:tr>
    </w:tbl>
    <w:p w:rsidR="00440469" w:rsidRPr="007C5C38" w:rsidRDefault="00440469" w:rsidP="00440469">
      <w:pPr>
        <w:spacing w:after="120"/>
        <w:rPr>
          <w:lang w:val="sv-SE"/>
        </w:rPr>
      </w:pPr>
    </w:p>
    <w:p w:rsidR="00440469" w:rsidRPr="007C5C38" w:rsidRDefault="00440469" w:rsidP="00500EEF">
      <w:r w:rsidRPr="00213944">
        <w:br w:type="page"/>
      </w:r>
      <w:r w:rsidRPr="007C5C38">
        <w:lastRenderedPageBreak/>
        <w:t>With a view to simplifying and clarifying the annual TAC and quota decisions, fishing opportunities in the Baltic Sea have been fixed by a separate regulation since 2006.</w:t>
      </w:r>
    </w:p>
    <w:p w:rsidR="00440469" w:rsidRPr="007C5C38" w:rsidRDefault="00440469" w:rsidP="00500EEF">
      <w:r w:rsidRPr="007C5C38">
        <w:t xml:space="preserve">These fisheries </w:t>
      </w:r>
      <w:r>
        <w:t>should be open on 1 January 2016</w:t>
      </w:r>
      <w:r w:rsidRPr="007C5C38">
        <w:t>.</w:t>
      </w:r>
    </w:p>
    <w:p w:rsidR="00440469" w:rsidRPr="007C5C38" w:rsidRDefault="00440469" w:rsidP="009D2ECD">
      <w:r w:rsidRPr="007C5C38">
        <w:t xml:space="preserve">Under article 43(3) </w:t>
      </w:r>
      <w:r w:rsidRPr="009D2ECD">
        <w:t xml:space="preserve">of </w:t>
      </w:r>
      <w:r w:rsidR="009D2ECD" w:rsidRPr="009D2ECD">
        <w:t>the Treaty on the Functioning of the European Union</w:t>
      </w:r>
      <w:r w:rsidR="009D2ECD">
        <w:t xml:space="preserve"> (TFEU)</w:t>
      </w:r>
      <w:r w:rsidRPr="009D2ECD">
        <w:t>, it is</w:t>
      </w:r>
      <w:r w:rsidRPr="007C5C38">
        <w:t xml:space="preserve"> incumbent upon the Council to adopt measures on the fixing and allocation of fishing opportunities within the framework of the common fisheries policy. The European Parliament's participation and the Economic and Social Committee's opinion are therefore not required for </w:t>
      </w:r>
      <w:r w:rsidR="0051701B">
        <w:t>the adoption of this regulation</w:t>
      </w:r>
      <w:r w:rsidRPr="007C5C38">
        <w:t>.</w:t>
      </w:r>
    </w:p>
    <w:p w:rsidR="00440469" w:rsidRPr="00440469" w:rsidRDefault="00440469" w:rsidP="00500EEF">
      <w:pPr>
        <w:pStyle w:val="Sub-sub-itemDebated"/>
        <w:spacing w:before="120"/>
      </w:pPr>
      <w:bookmarkStart w:id="8" w:name="_Toc436831220"/>
      <w:r w:rsidRPr="00440469">
        <w:t>EU/Norway: annual consultations for 2016</w:t>
      </w:r>
      <w:bookmarkEnd w:id="8"/>
    </w:p>
    <w:p w:rsidR="00440469" w:rsidRPr="007C5C38" w:rsidRDefault="00440469" w:rsidP="00500EEF">
      <w:pPr>
        <w:widowControl w:val="0"/>
        <w:spacing w:line="280" w:lineRule="atLeast"/>
        <w:rPr>
          <w:lang w:eastAsia="fr-BE"/>
        </w:rPr>
      </w:pPr>
      <w:r w:rsidRPr="007C5C38">
        <w:rPr>
          <w:lang w:eastAsia="fr-BE"/>
        </w:rPr>
        <w:t xml:space="preserve">The Council held an exchange of views on the annual consultations between the EU and Norway under their bilateral fisheries agreement. </w:t>
      </w:r>
      <w:r w:rsidRPr="00DC3A13">
        <w:rPr>
          <w:lang w:eastAsia="fr-BE"/>
        </w:rPr>
        <w:t xml:space="preserve">The first round of consultations will take place from </w:t>
      </w:r>
      <w:r w:rsidRPr="0093648E">
        <w:t xml:space="preserve">16 </w:t>
      </w:r>
      <w:r>
        <w:t>to</w:t>
      </w:r>
      <w:r w:rsidRPr="0093648E">
        <w:t xml:space="preserve"> 20 November </w:t>
      </w:r>
      <w:r>
        <w:t xml:space="preserve">2015 </w:t>
      </w:r>
      <w:r w:rsidRPr="00DC3A13">
        <w:rPr>
          <w:lang w:eastAsia="fr-BE"/>
        </w:rPr>
        <w:t xml:space="preserve">in </w:t>
      </w:r>
      <w:r w:rsidRPr="0093648E">
        <w:t xml:space="preserve">Copenhagen </w:t>
      </w:r>
      <w:r w:rsidRPr="00DC3A13">
        <w:rPr>
          <w:lang w:eastAsia="fr-BE"/>
        </w:rPr>
        <w:t>(</w:t>
      </w:r>
      <w:r>
        <w:rPr>
          <w:lang w:eastAsia="fr-BE"/>
        </w:rPr>
        <w:t>Denmark</w:t>
      </w:r>
      <w:r w:rsidRPr="00DC3A13">
        <w:rPr>
          <w:lang w:eastAsia="fr-BE"/>
        </w:rPr>
        <w:t xml:space="preserve">) and the second round from </w:t>
      </w:r>
      <w:r w:rsidR="00502C5A">
        <w:t>30 November to 4 </w:t>
      </w:r>
      <w:r w:rsidRPr="0093648E">
        <w:t>December 2015 in Bergen</w:t>
      </w:r>
      <w:r w:rsidRPr="00DC3A13">
        <w:rPr>
          <w:lang w:eastAsia="fr-BE"/>
        </w:rPr>
        <w:t xml:space="preserve"> (</w:t>
      </w:r>
      <w:r>
        <w:rPr>
          <w:lang w:eastAsia="fr-BE"/>
        </w:rPr>
        <w:t>Norway</w:t>
      </w:r>
      <w:r w:rsidRPr="00DC3A13">
        <w:rPr>
          <w:lang w:eastAsia="fr-BE"/>
        </w:rPr>
        <w:t>).</w:t>
      </w:r>
    </w:p>
    <w:p w:rsidR="00440469" w:rsidRPr="007C5C38" w:rsidRDefault="00440469" w:rsidP="009D2ECD">
      <w:r w:rsidRPr="007C5C38">
        <w:t xml:space="preserve">Most of the delegations recognised the usefulness of this agreement with Norway but would favour a cautious approach from the EU as regards TACs and other associated measures for the main jointly managed joint stocks </w:t>
      </w:r>
      <w:r w:rsidRPr="00DD65DD">
        <w:t>in the North Sea</w:t>
      </w:r>
      <w:r w:rsidRPr="007C5C38">
        <w:t xml:space="preserve">. They would also </w:t>
      </w:r>
      <w:r w:rsidR="009D2ECD">
        <w:t>advocate</w:t>
      </w:r>
      <w:r w:rsidRPr="007C5C38">
        <w:t xml:space="preserve"> a cautious approach for other stocks that might be worthwhile to identify</w:t>
      </w:r>
      <w:r w:rsidR="009D2ECD">
        <w:t>ing and using</w:t>
      </w:r>
      <w:r w:rsidRPr="007C5C38">
        <w:t xml:space="preserve"> for the reciprocal exchange of quotas.</w:t>
      </w:r>
    </w:p>
    <w:p w:rsidR="00440469" w:rsidRPr="007C5C38" w:rsidRDefault="00440469" w:rsidP="00500EEF">
      <w:r w:rsidRPr="007C5C38">
        <w:t>The main issues for the consultations this year are:</w:t>
      </w:r>
    </w:p>
    <w:p w:rsidR="00440469" w:rsidRDefault="00440469" w:rsidP="009D2ECD">
      <w:pPr>
        <w:numPr>
          <w:ilvl w:val="0"/>
          <w:numId w:val="2"/>
        </w:numPr>
      </w:pPr>
      <w:r>
        <w:t xml:space="preserve">detailed management arrangements for the seven jointly managed fish stocks in the North Sea (cod, haddock, plaice, whiting, herring, mackerel and </w:t>
      </w:r>
      <w:proofErr w:type="spellStart"/>
      <w:r>
        <w:t>saithe</w:t>
      </w:r>
      <w:proofErr w:type="spellEnd"/>
      <w:r>
        <w:t xml:space="preserve">) and Skagerrak (cod, haddock, whiting, plaice, shrimp, herring and sprat) involving </w:t>
      </w:r>
      <w:r w:rsidR="009D2ECD">
        <w:t>in particular</w:t>
      </w:r>
      <w:r>
        <w:t xml:space="preserve"> the establishment of TACs and quotas for the respective Parties, in accordance with the long-term management plans and agreed sharing arrangements;</w:t>
      </w:r>
    </w:p>
    <w:p w:rsidR="00440469" w:rsidRDefault="00440469" w:rsidP="00500EEF">
      <w:pPr>
        <w:numPr>
          <w:ilvl w:val="0"/>
          <w:numId w:val="2"/>
        </w:numPr>
      </w:pPr>
      <w:r>
        <w:t xml:space="preserve">possible adjustments to the long-term management plans for North Sea stocks of haddock and herring </w:t>
      </w:r>
      <w:r w:rsidR="009D2ECD">
        <w:t>in the light of new ICES advice,</w:t>
      </w:r>
      <w:r>
        <w:t xml:space="preserve"> and</w:t>
      </w:r>
    </w:p>
    <w:p w:rsidR="00440469" w:rsidRPr="007C5C38" w:rsidRDefault="00440469" w:rsidP="00500EEF">
      <w:pPr>
        <w:numPr>
          <w:ilvl w:val="0"/>
          <w:numId w:val="2"/>
        </w:numPr>
      </w:pPr>
      <w:r>
        <w:t xml:space="preserve">the exchange of reciprocal fishing possibilities in order, among other things, to enable the continuation of a number of fishing operations which are important for the fishermen of both parties, including fishing opportunities for </w:t>
      </w:r>
      <w:proofErr w:type="spellStart"/>
      <w:r>
        <w:t>Arcto</w:t>
      </w:r>
      <w:proofErr w:type="spellEnd"/>
      <w:r>
        <w:t>-Norwegian cod in Norwegian waters, as well as other measures in fis</w:t>
      </w:r>
      <w:r w:rsidR="009D2ECD">
        <w:t>heries of mutual interest</w:t>
      </w:r>
    </w:p>
    <w:p w:rsidR="00440469" w:rsidRPr="007C5C38" w:rsidRDefault="00440469" w:rsidP="00500EEF">
      <w:pPr>
        <w:rPr>
          <w:lang w:eastAsia="fr-BE"/>
        </w:rPr>
      </w:pPr>
      <w:r w:rsidRPr="007C5C38">
        <w:rPr>
          <w:lang w:eastAsia="fr-BE"/>
        </w:rPr>
        <w:t xml:space="preserve">The 1980 bilateral fisheries agreement between the EC and Norway covers joint stocks in the North Sea, some jointly managed, others not. Annual TACs are set jointly by the EU and Norway for the jointly managed joint stocks. There are joint long-term management plans for cod, haddock, herring and </w:t>
      </w:r>
      <w:proofErr w:type="spellStart"/>
      <w:r w:rsidRPr="007C5C38">
        <w:rPr>
          <w:lang w:eastAsia="fr-BE"/>
        </w:rPr>
        <w:t>saithe</w:t>
      </w:r>
      <w:proofErr w:type="spellEnd"/>
      <w:r w:rsidRPr="007C5C38">
        <w:rPr>
          <w:lang w:eastAsia="fr-BE"/>
        </w:rPr>
        <w:t xml:space="preserve"> and basic principles for a long-term management plan for plaice. A ten-year agreement with Norway on mackerel was concluded in January 2010, including mutual access in the North Sea. This agreement is contingent on a satisfactory overall bilateral agreement. The reciprocal exchange of quotas needs to be in overall balance across the agreement.</w:t>
      </w:r>
    </w:p>
    <w:p w:rsidR="00440469" w:rsidRPr="00440469" w:rsidRDefault="00440469" w:rsidP="00440469">
      <w:pPr>
        <w:pStyle w:val="ItemDebated"/>
      </w:pPr>
      <w:r>
        <w:br w:type="page"/>
      </w:r>
      <w:bookmarkStart w:id="9" w:name="_Toc436831221"/>
      <w:r w:rsidRPr="00440469">
        <w:lastRenderedPageBreak/>
        <w:t>AGRICULTURE</w:t>
      </w:r>
      <w:bookmarkEnd w:id="9"/>
    </w:p>
    <w:p w:rsidR="00440469" w:rsidRPr="00440469" w:rsidRDefault="000D29C5" w:rsidP="00500EEF">
      <w:pPr>
        <w:pStyle w:val="Sub-sub-itemDebated"/>
        <w:spacing w:before="120"/>
      </w:pPr>
      <w:bookmarkStart w:id="10" w:name="_Toc436831222"/>
      <w:r>
        <w:t>Climate-smart agriculture</w:t>
      </w:r>
      <w:bookmarkEnd w:id="10"/>
    </w:p>
    <w:p w:rsidR="00440469" w:rsidRDefault="00440469" w:rsidP="000D29C5">
      <w:pPr>
        <w:rPr>
          <w:lang w:eastAsia="fr-BE"/>
        </w:rPr>
      </w:pPr>
      <w:r>
        <w:rPr>
          <w:lang w:eastAsia="fr-BE"/>
        </w:rPr>
        <w:t>Ministers held an exchange of views on the contribution of agriculture to climate change mitigation on the basis of a document prepared by the Presidency (</w:t>
      </w:r>
      <w:hyperlink r:id="rId19" w:tooltip="http://data.consilium.europa.eu/doc/document/ST-12693-2015-INIT/en/pdf" w:history="1">
        <w:r w:rsidRPr="00C91852">
          <w:rPr>
            <w:rStyle w:val="Hyperlink"/>
            <w:i/>
            <w:iCs/>
            <w:lang w:eastAsia="fr-BE"/>
          </w:rPr>
          <w:t>12693/15</w:t>
        </w:r>
      </w:hyperlink>
      <w:r>
        <w:rPr>
          <w:lang w:eastAsia="fr-BE"/>
        </w:rPr>
        <w:t xml:space="preserve">). </w:t>
      </w:r>
      <w:r w:rsidRPr="00285B3A">
        <w:rPr>
          <w:lang w:eastAsia="fr-BE"/>
        </w:rPr>
        <w:t xml:space="preserve">This debate was organised in the light </w:t>
      </w:r>
      <w:r w:rsidR="000D29C5">
        <w:rPr>
          <w:lang w:eastAsia="fr-BE"/>
        </w:rPr>
        <w:t xml:space="preserve">of </w:t>
      </w:r>
      <w:r w:rsidRPr="00285B3A">
        <w:rPr>
          <w:lang w:eastAsia="fr-BE"/>
        </w:rPr>
        <w:t xml:space="preserve">the 2030 EU climate and energy </w:t>
      </w:r>
      <w:r w:rsidR="000D29C5">
        <w:rPr>
          <w:lang w:eastAsia="fr-BE"/>
        </w:rPr>
        <w:t>policy framework</w:t>
      </w:r>
      <w:r w:rsidRPr="00285B3A">
        <w:rPr>
          <w:lang w:eastAsia="fr-BE"/>
        </w:rPr>
        <w:t xml:space="preserve"> which </w:t>
      </w:r>
      <w:r w:rsidR="009D2ECD">
        <w:rPr>
          <w:lang w:eastAsia="fr-BE"/>
        </w:rPr>
        <w:t>aims to achieve</w:t>
      </w:r>
      <w:r w:rsidRPr="00285B3A">
        <w:rPr>
          <w:lang w:eastAsia="fr-BE"/>
        </w:rPr>
        <w:t xml:space="preserve"> substantial cuts in greenhouse gas emissions (GHG) </w:t>
      </w:r>
      <w:r w:rsidR="000D29C5">
        <w:rPr>
          <w:lang w:eastAsia="fr-BE"/>
        </w:rPr>
        <w:t>for period from 2020 to</w:t>
      </w:r>
      <w:r w:rsidRPr="00285B3A">
        <w:rPr>
          <w:lang w:eastAsia="fr-BE"/>
        </w:rPr>
        <w:t xml:space="preserve"> 2030. It comes also on the eve of the Conference of the Parties to the United Nations Framework Convention on Climate Change (COP 21) </w:t>
      </w:r>
      <w:r>
        <w:rPr>
          <w:lang w:eastAsia="fr-BE"/>
        </w:rPr>
        <w:t>which will take place in Paris from 30 November to 11 December this year.</w:t>
      </w:r>
    </w:p>
    <w:p w:rsidR="00440469" w:rsidRDefault="00440469" w:rsidP="009D2ECD">
      <w:r>
        <w:t xml:space="preserve">From this debate, it seems that agriculture </w:t>
      </w:r>
      <w:r w:rsidR="009D2ECD">
        <w:t>already contributes to mitigating</w:t>
      </w:r>
      <w:r>
        <w:t xml:space="preserve"> the effects of climate change. </w:t>
      </w:r>
      <w:r w:rsidR="009D2ECD">
        <w:t>M</w:t>
      </w:r>
      <w:r>
        <w:t xml:space="preserve">any member states noted that the reformed Common Agricultural Policy (CAP) proposes a number of instruments </w:t>
      </w:r>
      <w:r w:rsidR="009D2ECD">
        <w:t>which allow</w:t>
      </w:r>
      <w:r>
        <w:t xml:space="preserve"> </w:t>
      </w:r>
      <w:r w:rsidR="009D2ECD">
        <w:t xml:space="preserve">climate change mitigation </w:t>
      </w:r>
      <w:r>
        <w:t xml:space="preserve">to </w:t>
      </w:r>
      <w:r w:rsidR="009D2ECD">
        <w:t xml:space="preserve">be </w:t>
      </w:r>
      <w:r>
        <w:t>address</w:t>
      </w:r>
      <w:r w:rsidR="009D2ECD">
        <w:t>ed effectively through</w:t>
      </w:r>
      <w:r>
        <w:t xml:space="preserve"> the first or the second pillar.</w:t>
      </w:r>
    </w:p>
    <w:p w:rsidR="00440469" w:rsidRDefault="00440469" w:rsidP="009D2ECD">
      <w:r>
        <w:t xml:space="preserve">Several ministers listed existing measures </w:t>
      </w:r>
      <w:r w:rsidR="009D2ECD">
        <w:t>that contribute to climate change mitigation including</w:t>
      </w:r>
      <w:r>
        <w:t xml:space="preserve"> manure</w:t>
      </w:r>
      <w:r w:rsidR="009D2ECD">
        <w:t xml:space="preserve"> treatment</w:t>
      </w:r>
      <w:r>
        <w:t xml:space="preserve">, </w:t>
      </w:r>
      <w:r w:rsidR="009D2ECD">
        <w:t xml:space="preserve">biogas and soil </w:t>
      </w:r>
      <w:r>
        <w:t>optimisation. Certain delegations put forward new measures</w:t>
      </w:r>
      <w:r w:rsidR="00DD3DF2">
        <w:t xml:space="preserve"> such as the circular economy or</w:t>
      </w:r>
      <w:r>
        <w:t xml:space="preserve"> the '4 per</w:t>
      </w:r>
      <w:r w:rsidR="00DD3DF2">
        <w:t xml:space="preserve"> </w:t>
      </w:r>
      <w:r>
        <w:t xml:space="preserve">1000' initiative for soils </w:t>
      </w:r>
      <w:r w:rsidR="009D2ECD">
        <w:t xml:space="preserve">which the French delegation </w:t>
      </w:r>
      <w:r>
        <w:t xml:space="preserve">presented to the Council </w:t>
      </w:r>
      <w:r w:rsidR="009D2ECD">
        <w:t>in July</w:t>
      </w:r>
      <w:r>
        <w:t xml:space="preserve">. Several member states noted that the </w:t>
      </w:r>
      <w:r w:rsidR="009D2ECD">
        <w:t>impact</w:t>
      </w:r>
      <w:r>
        <w:t xml:space="preserve"> of agriculture on climate change may vary from region to region </w:t>
      </w:r>
      <w:r w:rsidR="009D2ECD">
        <w:t>and from</w:t>
      </w:r>
      <w:r>
        <w:t xml:space="preserve"> farm to farm. Some delegation</w:t>
      </w:r>
      <w:r w:rsidR="00DD3DF2">
        <w:t>s</w:t>
      </w:r>
      <w:r>
        <w:t xml:space="preserve"> pointed out that in any case, the costs involved s</w:t>
      </w:r>
      <w:r w:rsidR="009D2ECD">
        <w:t>hould not</w:t>
      </w:r>
      <w:r>
        <w:t xml:space="preserve"> exceed the benefits for farmers.</w:t>
      </w:r>
    </w:p>
    <w:p w:rsidR="00440469" w:rsidRDefault="00440469" w:rsidP="009D2ECD">
      <w:r>
        <w:t>Research financing in this area is essential. In this context, the European Innovation Partnership on Agricultural Productivity and Sustainability can play an important role. Knowledge transfer from research to agricultural practice as well as the involvement of farmers are also critical.</w:t>
      </w:r>
    </w:p>
    <w:p w:rsidR="00440469" w:rsidRPr="001539BC" w:rsidRDefault="00440469" w:rsidP="00500EEF">
      <w:r>
        <w:t>The President of the Agriculture Council will prepare a letter informing the President of the Environment Council of the outcome of this debate.</w:t>
      </w:r>
    </w:p>
    <w:p w:rsidR="00440469" w:rsidRPr="00440469" w:rsidRDefault="00440469" w:rsidP="00440469">
      <w:pPr>
        <w:pStyle w:val="ItemDebated"/>
      </w:pPr>
      <w:r w:rsidRPr="007C5C38">
        <w:br w:type="page"/>
      </w:r>
      <w:bookmarkStart w:id="11" w:name="_Toc436831223"/>
      <w:r w:rsidRPr="00440469">
        <w:lastRenderedPageBreak/>
        <w:t>Any other business</w:t>
      </w:r>
      <w:bookmarkEnd w:id="11"/>
    </w:p>
    <w:p w:rsidR="00440469" w:rsidRPr="00440469" w:rsidRDefault="00440469" w:rsidP="00500EEF">
      <w:pPr>
        <w:pStyle w:val="Sub-sub-itemDebated"/>
        <w:spacing w:before="120"/>
      </w:pPr>
      <w:bookmarkStart w:id="12" w:name="_Toc436831224"/>
      <w:r w:rsidRPr="00440469">
        <w:t>Sustainable plant protection</w:t>
      </w:r>
      <w:bookmarkEnd w:id="12"/>
    </w:p>
    <w:p w:rsidR="00440469" w:rsidRDefault="00440469" w:rsidP="009D2ECD">
      <w:pPr>
        <w:rPr>
          <w:rFonts w:ascii="Arial" w:eastAsia="Calibri" w:hAnsi="Arial" w:cs="Arial"/>
          <w:sz w:val="22"/>
          <w:szCs w:val="22"/>
        </w:rPr>
      </w:pPr>
      <w:r w:rsidRPr="00252740">
        <w:rPr>
          <w:lang w:eastAsia="fr-BE"/>
        </w:rPr>
        <w:t>The Netherlands</w:t>
      </w:r>
      <w:r w:rsidR="009D2ECD">
        <w:rPr>
          <w:lang w:eastAsia="fr-BE"/>
        </w:rPr>
        <w:t xml:space="preserve"> delegation</w:t>
      </w:r>
      <w:r w:rsidRPr="00252740">
        <w:rPr>
          <w:lang w:eastAsia="fr-BE"/>
        </w:rPr>
        <w:t xml:space="preserve"> </w:t>
      </w:r>
      <w:r>
        <w:rPr>
          <w:lang w:eastAsia="fr-BE"/>
        </w:rPr>
        <w:t>kept</w:t>
      </w:r>
      <w:r w:rsidRPr="00252740">
        <w:rPr>
          <w:lang w:eastAsia="fr-BE"/>
        </w:rPr>
        <w:t xml:space="preserve"> the ministers </w:t>
      </w:r>
      <w:r w:rsidR="009D2ECD">
        <w:rPr>
          <w:lang w:eastAsia="fr-BE"/>
        </w:rPr>
        <w:t>updated the ministers</w:t>
      </w:r>
      <w:r w:rsidRPr="00252740">
        <w:rPr>
          <w:lang w:eastAsia="fr-BE"/>
        </w:rPr>
        <w:t xml:space="preserve"> on an initiative for accelerating sustainable plant </w:t>
      </w:r>
      <w:r w:rsidRPr="00252740">
        <w:rPr>
          <w:rFonts w:asciiTheme="majorBidi" w:hAnsiTheme="majorBidi" w:cstheme="majorBidi"/>
          <w:lang w:eastAsia="fr-BE"/>
        </w:rPr>
        <w:t>protection</w:t>
      </w:r>
      <w:r w:rsidRPr="00252740">
        <w:rPr>
          <w:rFonts w:asciiTheme="majorBidi" w:eastAsia="Calibri" w:hAnsiTheme="majorBidi" w:cstheme="majorBidi"/>
        </w:rPr>
        <w:t xml:space="preserve"> </w:t>
      </w:r>
      <w:r>
        <w:rPr>
          <w:lang w:eastAsia="fr-BE"/>
        </w:rPr>
        <w:t>follow</w:t>
      </w:r>
      <w:r w:rsidR="009D2ECD">
        <w:rPr>
          <w:lang w:eastAsia="fr-BE"/>
        </w:rPr>
        <w:t>ing</w:t>
      </w:r>
      <w:r w:rsidRPr="00252740">
        <w:rPr>
          <w:lang w:eastAsia="fr-BE"/>
        </w:rPr>
        <w:t xml:space="preserve"> its prese</w:t>
      </w:r>
      <w:r>
        <w:rPr>
          <w:lang w:eastAsia="fr-BE"/>
        </w:rPr>
        <w:t xml:space="preserve">ntation at the Council in July </w:t>
      </w:r>
      <w:r w:rsidRPr="00252740">
        <w:rPr>
          <w:rFonts w:asciiTheme="majorBidi" w:eastAsia="Calibri" w:hAnsiTheme="majorBidi" w:cstheme="majorBidi"/>
        </w:rPr>
        <w:t>(</w:t>
      </w:r>
      <w:hyperlink r:id="rId20" w:tooltip="http://data.consilium.europa.eu/doc/document/ST-12769-2015-INIT/en/pdf" w:history="1">
        <w:r w:rsidRPr="00252740">
          <w:rPr>
            <w:rFonts w:asciiTheme="majorBidi" w:eastAsia="Calibri" w:hAnsiTheme="majorBidi" w:cstheme="majorBidi"/>
            <w:i/>
            <w:iCs/>
            <w:color w:val="0000FF"/>
            <w:u w:val="single"/>
          </w:rPr>
          <w:t>12769/15</w:t>
        </w:r>
      </w:hyperlink>
      <w:r w:rsidRPr="00252740">
        <w:rPr>
          <w:rFonts w:asciiTheme="majorBidi" w:eastAsia="Calibri" w:hAnsiTheme="majorBidi" w:cstheme="majorBidi"/>
        </w:rPr>
        <w:t>).</w:t>
      </w:r>
    </w:p>
    <w:p w:rsidR="00440469" w:rsidRPr="00AD35AD" w:rsidRDefault="00440469" w:rsidP="00DC38D9">
      <w:pPr>
        <w:rPr>
          <w:lang w:eastAsia="fr-BE"/>
        </w:rPr>
      </w:pPr>
      <w:r>
        <w:rPr>
          <w:lang w:eastAsia="fr-BE"/>
        </w:rPr>
        <w:t>A large number of delegations supported the</w:t>
      </w:r>
      <w:r w:rsidRPr="00252740">
        <w:rPr>
          <w:lang w:eastAsia="fr-BE"/>
        </w:rPr>
        <w:t xml:space="preserve"> initiative </w:t>
      </w:r>
      <w:r>
        <w:rPr>
          <w:lang w:eastAsia="fr-BE"/>
        </w:rPr>
        <w:t xml:space="preserve">which </w:t>
      </w:r>
      <w:r w:rsidRPr="00252740">
        <w:rPr>
          <w:lang w:eastAsia="fr-BE"/>
        </w:rPr>
        <w:t xml:space="preserve">aims at promoting a broader, greener range of measures and authorised substances, including alternative lower-risk plant protection methods and techniques, </w:t>
      </w:r>
      <w:r w:rsidR="00B375BE">
        <w:rPr>
          <w:lang w:eastAsia="fr-BE"/>
        </w:rPr>
        <w:t>as well as</w:t>
      </w:r>
      <w:r w:rsidRPr="00252740">
        <w:rPr>
          <w:lang w:eastAsia="fr-BE"/>
        </w:rPr>
        <w:t xml:space="preserve"> low-risk substances and products. </w:t>
      </w:r>
      <w:r>
        <w:rPr>
          <w:lang w:eastAsia="fr-BE"/>
        </w:rPr>
        <w:t xml:space="preserve">They agreed to participate </w:t>
      </w:r>
      <w:r w:rsidR="009D2ECD">
        <w:rPr>
          <w:lang w:eastAsia="fr-BE"/>
        </w:rPr>
        <w:t>in</w:t>
      </w:r>
      <w:r w:rsidRPr="00252740">
        <w:rPr>
          <w:lang w:eastAsia="fr-BE"/>
        </w:rPr>
        <w:t xml:space="preserve"> an expert group with all interested member states to explore short-term and long-term actions </w:t>
      </w:r>
      <w:r w:rsidR="009D2ECD">
        <w:rPr>
          <w:lang w:eastAsia="fr-BE"/>
        </w:rPr>
        <w:t xml:space="preserve">that </w:t>
      </w:r>
      <w:r w:rsidRPr="00252740">
        <w:rPr>
          <w:lang w:eastAsia="fr-BE"/>
        </w:rPr>
        <w:t>could contribute to the "greening" of farmers</w:t>
      </w:r>
      <w:r w:rsidR="00DC38D9">
        <w:rPr>
          <w:lang w:eastAsia="fr-BE"/>
        </w:rPr>
        <w:t>'</w:t>
      </w:r>
      <w:r w:rsidRPr="00252740">
        <w:rPr>
          <w:lang w:eastAsia="fr-BE"/>
        </w:rPr>
        <w:t xml:space="preserve"> </w:t>
      </w:r>
      <w:r w:rsidR="00DC38D9" w:rsidRPr="00252740">
        <w:rPr>
          <w:lang w:eastAsia="fr-BE"/>
        </w:rPr>
        <w:t xml:space="preserve">plant protection </w:t>
      </w:r>
      <w:r w:rsidRPr="00252740">
        <w:rPr>
          <w:lang w:eastAsia="fr-BE"/>
        </w:rPr>
        <w:t>toolbox.</w:t>
      </w:r>
      <w:r w:rsidRPr="00AD35AD">
        <w:rPr>
          <w:lang w:eastAsia="fr-BE"/>
        </w:rPr>
        <w:t xml:space="preserve"> </w:t>
      </w:r>
      <w:r w:rsidR="00DC38D9">
        <w:rPr>
          <w:lang w:eastAsia="fr-BE"/>
        </w:rPr>
        <w:t>H</w:t>
      </w:r>
      <w:r w:rsidR="00DC38D9" w:rsidRPr="00AD35AD">
        <w:rPr>
          <w:lang w:eastAsia="fr-BE"/>
        </w:rPr>
        <w:t>owever</w:t>
      </w:r>
      <w:r w:rsidR="00DC38D9">
        <w:rPr>
          <w:lang w:eastAsia="fr-BE"/>
        </w:rPr>
        <w:t>,</w:t>
      </w:r>
      <w:r w:rsidR="00DC38D9" w:rsidRPr="00B375BE">
        <w:rPr>
          <w:lang w:eastAsia="fr-BE"/>
        </w:rPr>
        <w:t xml:space="preserve"> </w:t>
      </w:r>
      <w:r w:rsidR="00DC38D9">
        <w:rPr>
          <w:lang w:eastAsia="fr-BE"/>
        </w:rPr>
        <w:t>s</w:t>
      </w:r>
      <w:r w:rsidRPr="00AD35AD">
        <w:rPr>
          <w:lang w:eastAsia="fr-BE"/>
        </w:rPr>
        <w:t xml:space="preserve">ome member states </w:t>
      </w:r>
      <w:r w:rsidR="00B375BE">
        <w:rPr>
          <w:lang w:eastAsia="fr-BE"/>
        </w:rPr>
        <w:t>stated</w:t>
      </w:r>
      <w:r w:rsidRPr="00AD35AD">
        <w:rPr>
          <w:lang w:eastAsia="fr-BE"/>
        </w:rPr>
        <w:t xml:space="preserve"> </w:t>
      </w:r>
      <w:r w:rsidR="00B375BE">
        <w:rPr>
          <w:lang w:eastAsia="fr-BE"/>
        </w:rPr>
        <w:t>that the competitiveness of the sector should also be looked at and requested that</w:t>
      </w:r>
      <w:r w:rsidRPr="00AD35AD">
        <w:rPr>
          <w:lang w:eastAsia="fr-BE"/>
        </w:rPr>
        <w:t xml:space="preserve"> the mandate of this group</w:t>
      </w:r>
      <w:r w:rsidR="00B375BE">
        <w:rPr>
          <w:lang w:eastAsia="fr-BE"/>
        </w:rPr>
        <w:t xml:space="preserve"> be clearly defined</w:t>
      </w:r>
      <w:r w:rsidRPr="00AD35AD">
        <w:rPr>
          <w:lang w:eastAsia="fr-BE"/>
        </w:rPr>
        <w:t xml:space="preserve">. </w:t>
      </w:r>
      <w:r>
        <w:rPr>
          <w:lang w:eastAsia="fr-BE"/>
        </w:rPr>
        <w:t xml:space="preserve">The Commission </w:t>
      </w:r>
      <w:r w:rsidR="00DC38D9">
        <w:rPr>
          <w:lang w:eastAsia="fr-BE"/>
        </w:rPr>
        <w:t xml:space="preserve">broadly </w:t>
      </w:r>
      <w:r>
        <w:rPr>
          <w:lang w:eastAsia="fr-BE"/>
        </w:rPr>
        <w:t>supported the initiative proposed by the Netherlands.</w:t>
      </w:r>
    </w:p>
    <w:p w:rsidR="00440469" w:rsidRPr="00440469" w:rsidRDefault="00440469" w:rsidP="00500EEF">
      <w:pPr>
        <w:pStyle w:val="Sub-sub-itemDebated"/>
        <w:spacing w:before="120"/>
      </w:pPr>
      <w:bookmarkStart w:id="13" w:name="_Toc436831225"/>
      <w:r w:rsidRPr="00440469">
        <w:t>Specialised nutrition</w:t>
      </w:r>
      <w:bookmarkEnd w:id="13"/>
    </w:p>
    <w:p w:rsidR="00440469" w:rsidRDefault="00440469" w:rsidP="00DC38D9">
      <w:pPr>
        <w:rPr>
          <w:lang w:eastAsia="fr-BE"/>
        </w:rPr>
      </w:pPr>
      <w:r w:rsidRPr="00252740">
        <w:rPr>
          <w:lang w:eastAsia="fr-BE"/>
        </w:rPr>
        <w:t xml:space="preserve">The ministers </w:t>
      </w:r>
      <w:r>
        <w:rPr>
          <w:lang w:eastAsia="fr-BE"/>
        </w:rPr>
        <w:t xml:space="preserve">took stock of the request </w:t>
      </w:r>
      <w:r w:rsidR="00DC38D9">
        <w:rPr>
          <w:lang w:eastAsia="fr-BE"/>
        </w:rPr>
        <w:t>from</w:t>
      </w:r>
      <w:r w:rsidRPr="00252740">
        <w:rPr>
          <w:lang w:eastAsia="fr-BE"/>
        </w:rPr>
        <w:t xml:space="preserve"> the French delegation on the continuation of the legislative work on foodstuffs intended for particular nutritional uses (PARNUTs) (</w:t>
      </w:r>
      <w:r w:rsidRPr="00C91852">
        <w:rPr>
          <w:i/>
          <w:iCs/>
          <w:lang w:eastAsia="fr-BE"/>
        </w:rPr>
        <w:t>12735/15</w:t>
      </w:r>
      <w:r w:rsidRPr="00252740">
        <w:rPr>
          <w:lang w:eastAsia="fr-BE"/>
        </w:rPr>
        <w:t>).</w:t>
      </w:r>
    </w:p>
    <w:p w:rsidR="00440469" w:rsidRDefault="00DC38D9" w:rsidP="00500EEF">
      <w:pPr>
        <w:rPr>
          <w:lang w:eastAsia="fr-BE"/>
        </w:rPr>
      </w:pPr>
      <w:r>
        <w:rPr>
          <w:lang w:eastAsia="fr-BE"/>
        </w:rPr>
        <w:t>Under</w:t>
      </w:r>
      <w:r w:rsidR="00440469" w:rsidRPr="00252740">
        <w:rPr>
          <w:lang w:eastAsia="fr-BE"/>
        </w:rPr>
        <w:t xml:space="preserve"> the existing legislation on PARNUTs, two reports on milk-based drinks and similar products for young children and food for sportsmen should have been published this summer. The conclusions of those reports are intended to provide guidelines for updating the regulatory framework applicable to those products. France </w:t>
      </w:r>
      <w:r w:rsidR="00440469">
        <w:rPr>
          <w:lang w:eastAsia="fr-BE"/>
        </w:rPr>
        <w:t>and some other member states are</w:t>
      </w:r>
      <w:r w:rsidR="00440469" w:rsidRPr="00252740">
        <w:rPr>
          <w:lang w:eastAsia="fr-BE"/>
        </w:rPr>
        <w:t xml:space="preserve"> therefore requesting the publication of those reports to ensure the continuation of the legislative work on foodstuffs intended for particular nutritional uses.</w:t>
      </w:r>
    </w:p>
    <w:p w:rsidR="00440469" w:rsidRDefault="00440469" w:rsidP="00DC38D9">
      <w:pPr>
        <w:rPr>
          <w:lang w:eastAsia="fr-BE"/>
        </w:rPr>
      </w:pPr>
      <w:r>
        <w:rPr>
          <w:lang w:eastAsia="fr-BE"/>
        </w:rPr>
        <w:t xml:space="preserve">The Commission explained that </w:t>
      </w:r>
      <w:r w:rsidR="00EC3A0C">
        <w:rPr>
          <w:lang w:eastAsia="fr-BE"/>
        </w:rPr>
        <w:t xml:space="preserve">the release of </w:t>
      </w:r>
      <w:r>
        <w:rPr>
          <w:lang w:eastAsia="fr-BE"/>
        </w:rPr>
        <w:t>those reports</w:t>
      </w:r>
      <w:r w:rsidR="00EC3A0C">
        <w:rPr>
          <w:lang w:eastAsia="fr-BE"/>
        </w:rPr>
        <w:t xml:space="preserve"> </w:t>
      </w:r>
      <w:r w:rsidR="00DC38D9">
        <w:rPr>
          <w:lang w:eastAsia="fr-BE"/>
        </w:rPr>
        <w:t>had been</w:t>
      </w:r>
      <w:r w:rsidR="00EC3A0C">
        <w:rPr>
          <w:lang w:eastAsia="fr-BE"/>
        </w:rPr>
        <w:t xml:space="preserve"> delayed but </w:t>
      </w:r>
      <w:r w:rsidR="00DC38D9">
        <w:rPr>
          <w:lang w:eastAsia="fr-BE"/>
        </w:rPr>
        <w:t>was</w:t>
      </w:r>
      <w:r w:rsidR="00EC3A0C">
        <w:rPr>
          <w:lang w:eastAsia="fr-BE"/>
        </w:rPr>
        <w:t xml:space="preserve"> planned </w:t>
      </w:r>
      <w:r w:rsidR="00DC38D9">
        <w:rPr>
          <w:lang w:eastAsia="fr-BE"/>
        </w:rPr>
        <w:t>to take place during</w:t>
      </w:r>
      <w:r>
        <w:rPr>
          <w:lang w:eastAsia="fr-BE"/>
        </w:rPr>
        <w:t xml:space="preserve"> the coming months.</w:t>
      </w:r>
    </w:p>
    <w:p w:rsidR="00440469" w:rsidRPr="00440469" w:rsidRDefault="00440469" w:rsidP="00500EEF">
      <w:pPr>
        <w:pStyle w:val="Sub-sub-itemDebated"/>
        <w:spacing w:before="120"/>
      </w:pPr>
      <w:r>
        <w:br w:type="page"/>
      </w:r>
      <w:bookmarkStart w:id="14" w:name="_Toc436831226"/>
      <w:r w:rsidRPr="00440469">
        <w:lastRenderedPageBreak/>
        <w:t>Ministerial conference - GMO-free agriculture in Europe</w:t>
      </w:r>
      <w:bookmarkEnd w:id="14"/>
    </w:p>
    <w:p w:rsidR="00440469" w:rsidRPr="00252740" w:rsidRDefault="00440469" w:rsidP="007B2F77">
      <w:pPr>
        <w:spacing w:line="280" w:lineRule="atLeast"/>
        <w:rPr>
          <w:rFonts w:ascii="Arial" w:eastAsia="Calibri" w:hAnsi="Arial" w:cs="Arial"/>
          <w:sz w:val="22"/>
          <w:szCs w:val="22"/>
        </w:rPr>
      </w:pPr>
      <w:r w:rsidRPr="00252740">
        <w:rPr>
          <w:lang w:eastAsia="fr-BE"/>
        </w:rPr>
        <w:t xml:space="preserve">Ministers </w:t>
      </w:r>
      <w:r>
        <w:rPr>
          <w:lang w:eastAsia="fr-BE"/>
        </w:rPr>
        <w:t>were</w:t>
      </w:r>
      <w:r w:rsidRPr="00252740">
        <w:rPr>
          <w:lang w:eastAsia="fr-BE"/>
        </w:rPr>
        <w:t xml:space="preserve"> briefed by the Slovenian delegation on the outcomes of a ministerial conference </w:t>
      </w:r>
      <w:r w:rsidR="007B2F77">
        <w:rPr>
          <w:lang w:eastAsia="fr-BE"/>
        </w:rPr>
        <w:t>entitled</w:t>
      </w:r>
      <w:r w:rsidRPr="00252740">
        <w:rPr>
          <w:lang w:eastAsia="fr-BE"/>
        </w:rPr>
        <w:t xml:space="preserve"> "How to maintain GMO-free agriculture in Europe" which took place on 21 August 2015 in </w:t>
      </w:r>
      <w:proofErr w:type="spellStart"/>
      <w:r w:rsidRPr="00252740">
        <w:rPr>
          <w:lang w:eastAsia="fr-BE"/>
        </w:rPr>
        <w:t>Ptuj</w:t>
      </w:r>
      <w:proofErr w:type="spellEnd"/>
      <w:r w:rsidRPr="00252740">
        <w:rPr>
          <w:lang w:eastAsia="fr-BE"/>
        </w:rPr>
        <w:t xml:space="preserve"> (Slovenia</w:t>
      </w:r>
      <w:r w:rsidRPr="00252740">
        <w:rPr>
          <w:rFonts w:asciiTheme="majorBidi" w:hAnsiTheme="majorBidi" w:cstheme="majorBidi"/>
          <w:lang w:eastAsia="fr-BE"/>
        </w:rPr>
        <w:t>)</w:t>
      </w:r>
      <w:r w:rsidRPr="00252740">
        <w:rPr>
          <w:rFonts w:asciiTheme="majorBidi" w:eastAsia="Calibri" w:hAnsiTheme="majorBidi" w:cstheme="majorBidi"/>
        </w:rPr>
        <w:t xml:space="preserve"> (</w:t>
      </w:r>
      <w:hyperlink r:id="rId21" w:tooltip="http://data.consilium.europa.eu/doc/document/ST-12600-2015-REV-1/en/pdf" w:history="1">
        <w:r w:rsidRPr="00252740">
          <w:rPr>
            <w:rFonts w:asciiTheme="majorBidi" w:eastAsia="Calibri" w:hAnsiTheme="majorBidi" w:cstheme="majorBidi"/>
            <w:i/>
            <w:iCs/>
            <w:color w:val="0000FF"/>
            <w:u w:val="single"/>
          </w:rPr>
          <w:t>12600/1/15 REV 1</w:t>
        </w:r>
      </w:hyperlink>
      <w:r w:rsidRPr="00252740">
        <w:rPr>
          <w:rFonts w:asciiTheme="majorBidi" w:eastAsia="Calibri" w:hAnsiTheme="majorBidi" w:cstheme="majorBidi"/>
        </w:rPr>
        <w:t>).</w:t>
      </w:r>
    </w:p>
    <w:p w:rsidR="00440469" w:rsidRDefault="00B375BE" w:rsidP="00B375BE">
      <w:pPr>
        <w:rPr>
          <w:lang w:eastAsia="fr-BE"/>
        </w:rPr>
      </w:pPr>
      <w:r>
        <w:rPr>
          <w:lang w:eastAsia="fr-BE"/>
        </w:rPr>
        <w:t>Several member states supported the conclusions of the conference establishing measures to add value to the choice of a GMO-free agriculture such as the labelling of non GMO products. Some delegations however highlighted that messages coming out of such conferences should not weaken the existing legal framework on GMOs and the scientific evaluation performed by the EFSA. Many delegations used this opportunity to recall their choice on cultivation of GMOs crops (directive 2015/412) and/or to restate their position against the recent proposal on the use of GM food and feed. The Commission recalled that there is now a possibility for member states to opt-out from the cultivation and defended strongly its proposal to extend the opt-out possibility to the GMO use.</w:t>
      </w:r>
    </w:p>
    <w:p w:rsidR="00440469" w:rsidRPr="00252740" w:rsidRDefault="003237A2" w:rsidP="00500EEF">
      <w:pPr>
        <w:rPr>
          <w:lang w:eastAsia="fr-BE"/>
        </w:rPr>
      </w:pPr>
      <w:r>
        <w:rPr>
          <w:lang w:eastAsia="fr-BE"/>
        </w:rPr>
        <w:t>In the conference m</w:t>
      </w:r>
      <w:r w:rsidR="00440469" w:rsidRPr="00252740">
        <w:rPr>
          <w:lang w:eastAsia="fr-BE"/>
        </w:rPr>
        <w:t>inisters and representatives from Austria, Bosnia and Herzegovina, Cyprus, Germany, Hungary, Italy, Kosovo, Lithuania, Luxembourg, Former Yugoslav Republic of Macedonia, Poland, Serbia and Slovenia exchanged views on whether maintaining GMO-free agriculture constitutes a competitive challenge but also an opportunity for agriculture in Europe, and what measures need to be adopted in this regard.</w:t>
      </w:r>
    </w:p>
    <w:p w:rsidR="00440469" w:rsidRPr="00440469" w:rsidRDefault="00440469" w:rsidP="00500EEF">
      <w:pPr>
        <w:pStyle w:val="Sub-sub-itemDebated"/>
        <w:spacing w:before="120"/>
      </w:pPr>
      <w:bookmarkStart w:id="15" w:name="_Toc436831227"/>
      <w:r w:rsidRPr="00440469">
        <w:t>G7 health ministers meeting - Antimicrobial resistance</w:t>
      </w:r>
      <w:bookmarkEnd w:id="15"/>
    </w:p>
    <w:p w:rsidR="00440469" w:rsidRPr="00252740" w:rsidRDefault="00440469" w:rsidP="00500EEF">
      <w:pPr>
        <w:rPr>
          <w:lang w:eastAsia="fr-BE"/>
        </w:rPr>
      </w:pPr>
      <w:r w:rsidRPr="00252740">
        <w:rPr>
          <w:lang w:eastAsia="fr-BE"/>
        </w:rPr>
        <w:t xml:space="preserve">The Council </w:t>
      </w:r>
      <w:r>
        <w:rPr>
          <w:lang w:eastAsia="fr-BE"/>
        </w:rPr>
        <w:t>was</w:t>
      </w:r>
      <w:r w:rsidRPr="00252740">
        <w:rPr>
          <w:lang w:eastAsia="fr-BE"/>
        </w:rPr>
        <w:t xml:space="preserve"> briefed by the German delegation on the outcome of a meeting of the G7 health ministers which took place in Berlin (G</w:t>
      </w:r>
      <w:r>
        <w:rPr>
          <w:lang w:eastAsia="fr-BE"/>
        </w:rPr>
        <w:t>ermany) on 8 and 9 October 2015.</w:t>
      </w:r>
      <w:r w:rsidRPr="006F1EEB">
        <w:rPr>
          <w:lang w:eastAsia="fr-BE"/>
        </w:rPr>
        <w:t xml:space="preserve"> </w:t>
      </w:r>
      <w:r w:rsidRPr="000D677F">
        <w:rPr>
          <w:lang w:eastAsia="fr-BE"/>
        </w:rPr>
        <w:t>The agenda of the meeting included an item on resistance to antibiotics.</w:t>
      </w:r>
      <w:r>
        <w:rPr>
          <w:lang w:eastAsia="fr-BE"/>
        </w:rPr>
        <w:t xml:space="preserve"> </w:t>
      </w:r>
      <w:r>
        <w:t>(</w:t>
      </w:r>
      <w:hyperlink r:id="rId22" w:tooltip="http://data.consilium.europa.eu/doc/document/ST-12933-2015-INIT/en/pdf" w:history="1">
        <w:r>
          <w:rPr>
            <w:rStyle w:val="Hyperlink"/>
            <w:i/>
            <w:iCs/>
          </w:rPr>
          <w:t>12933/15</w:t>
        </w:r>
      </w:hyperlink>
      <w:r>
        <w:t>)</w:t>
      </w:r>
      <w:r w:rsidRPr="00252740">
        <w:rPr>
          <w:lang w:eastAsia="fr-BE"/>
        </w:rPr>
        <w:t>.</w:t>
      </w:r>
    </w:p>
    <w:p w:rsidR="00440469" w:rsidRPr="000D677F" w:rsidRDefault="00440469" w:rsidP="003E316B">
      <w:pPr>
        <w:rPr>
          <w:lang w:eastAsia="fr-BE"/>
        </w:rPr>
      </w:pPr>
      <w:r>
        <w:rPr>
          <w:lang w:eastAsia="fr-BE"/>
        </w:rPr>
        <w:t xml:space="preserve">Many member states supported the presentation made by Germany insisting on </w:t>
      </w:r>
      <w:r w:rsidRPr="000D677F">
        <w:rPr>
          <w:lang w:eastAsia="fr-BE"/>
        </w:rPr>
        <w:t xml:space="preserve">the need to set up measures in </w:t>
      </w:r>
      <w:r w:rsidR="003E316B">
        <w:rPr>
          <w:lang w:eastAsia="fr-BE"/>
        </w:rPr>
        <w:t>human</w:t>
      </w:r>
      <w:r w:rsidRPr="000D677F">
        <w:rPr>
          <w:lang w:eastAsia="fr-BE"/>
        </w:rPr>
        <w:t xml:space="preserve"> and veterinary medicine to ensure responsible use of antibiotics and detailed its own experience in minimising the administration of antibiotics to livestock.</w:t>
      </w:r>
    </w:p>
    <w:p w:rsidR="00440469" w:rsidRPr="00440469" w:rsidRDefault="00440469" w:rsidP="00500EEF">
      <w:pPr>
        <w:pStyle w:val="Sub-sub-itemDebated"/>
        <w:spacing w:before="120"/>
      </w:pPr>
      <w:bookmarkStart w:id="16" w:name="_Toc436831228"/>
      <w:r w:rsidRPr="00440469">
        <w:t>New techniques for plant and animal breeding</w:t>
      </w:r>
      <w:bookmarkEnd w:id="16"/>
    </w:p>
    <w:p w:rsidR="00440469" w:rsidRDefault="00440469" w:rsidP="003E316B">
      <w:pPr>
        <w:rPr>
          <w:lang w:eastAsia="fr-BE"/>
        </w:rPr>
      </w:pPr>
      <w:r>
        <w:rPr>
          <w:lang w:eastAsia="fr-BE"/>
        </w:rPr>
        <w:t xml:space="preserve">The German delegation </w:t>
      </w:r>
      <w:r w:rsidR="003E316B">
        <w:rPr>
          <w:lang w:eastAsia="fr-BE"/>
        </w:rPr>
        <w:t>informed</w:t>
      </w:r>
      <w:r>
        <w:rPr>
          <w:lang w:eastAsia="fr-BE"/>
        </w:rPr>
        <w:t xml:space="preserve"> the ministers about the legal background of new techniques developed for plant and animal breeding (</w:t>
      </w:r>
      <w:hyperlink r:id="rId23" w:tooltip="http://data.consilium.europa.eu/doc/document/ST-13179-2015-INIT/en/pdf" w:history="1">
        <w:r w:rsidRPr="00C91852">
          <w:rPr>
            <w:rStyle w:val="Hyperlink"/>
            <w:i/>
            <w:iCs/>
            <w:lang w:eastAsia="fr-BE"/>
          </w:rPr>
          <w:t>13179/15</w:t>
        </w:r>
      </w:hyperlink>
      <w:r>
        <w:rPr>
          <w:lang w:eastAsia="fr-BE"/>
        </w:rPr>
        <w:t>).</w:t>
      </w:r>
    </w:p>
    <w:p w:rsidR="00440469" w:rsidRPr="00D5133A" w:rsidRDefault="003E316B" w:rsidP="00252600">
      <w:pPr>
        <w:rPr>
          <w:lang w:eastAsia="fr-BE"/>
        </w:rPr>
      </w:pPr>
      <w:r>
        <w:rPr>
          <w:lang w:eastAsia="fr-BE"/>
        </w:rPr>
        <w:t xml:space="preserve">Several member states agreed with Germany that the legal framework for the use of the new breeding techniques should be clarified. Certain delegations underscored that those new techniques should not be considered </w:t>
      </w:r>
      <w:r w:rsidR="00CE66A6">
        <w:rPr>
          <w:lang w:eastAsia="fr-BE"/>
        </w:rPr>
        <w:t>to be</w:t>
      </w:r>
      <w:r>
        <w:rPr>
          <w:lang w:eastAsia="fr-BE"/>
        </w:rPr>
        <w:t xml:space="preserve"> covered by the EU legislation on genetically modified organisms (GMOs) to facilitate further research and innovation. The Commission confirmed that </w:t>
      </w:r>
      <w:r w:rsidR="00252600">
        <w:rPr>
          <w:lang w:eastAsia="fr-BE"/>
        </w:rPr>
        <w:t>it</w:t>
      </w:r>
      <w:r>
        <w:rPr>
          <w:lang w:eastAsia="fr-BE"/>
        </w:rPr>
        <w:t xml:space="preserve"> would provide an analysis by the end of the year.</w:t>
      </w:r>
    </w:p>
    <w:p w:rsidR="00440469" w:rsidRPr="00440469" w:rsidRDefault="00440469" w:rsidP="00B375BE">
      <w:pPr>
        <w:pStyle w:val="Sub-sub-itemDebated"/>
        <w:spacing w:before="120"/>
      </w:pPr>
      <w:r>
        <w:br w:type="page"/>
      </w:r>
      <w:bookmarkStart w:id="17" w:name="_Toc436831229"/>
      <w:proofErr w:type="spellStart"/>
      <w:r w:rsidRPr="00440469">
        <w:lastRenderedPageBreak/>
        <w:t>Visegrad</w:t>
      </w:r>
      <w:proofErr w:type="spellEnd"/>
      <w:r w:rsidRPr="00440469">
        <w:t xml:space="preserve"> group meeting - Agricultural markets</w:t>
      </w:r>
      <w:r w:rsidR="00B375BE">
        <w:t>, food chain and land management</w:t>
      </w:r>
      <w:bookmarkEnd w:id="17"/>
    </w:p>
    <w:p w:rsidR="00440469" w:rsidRPr="000D677F" w:rsidRDefault="00440469" w:rsidP="00500EEF">
      <w:pPr>
        <w:rPr>
          <w:lang w:eastAsia="fr-BE"/>
        </w:rPr>
      </w:pPr>
      <w:r w:rsidRPr="000D677F">
        <w:rPr>
          <w:lang w:eastAsia="fr-BE"/>
        </w:rPr>
        <w:t>The</w:t>
      </w:r>
      <w:r>
        <w:rPr>
          <w:lang w:eastAsia="fr-BE"/>
        </w:rPr>
        <w:t xml:space="preserve"> Council took note of the information from the</w:t>
      </w:r>
      <w:r w:rsidRPr="000D677F">
        <w:rPr>
          <w:lang w:eastAsia="fr-BE"/>
        </w:rPr>
        <w:t xml:space="preserve"> Czech delegation </w:t>
      </w:r>
      <w:r>
        <w:rPr>
          <w:lang w:eastAsia="fr-BE"/>
        </w:rPr>
        <w:t xml:space="preserve">on </w:t>
      </w:r>
      <w:r w:rsidRPr="000D677F">
        <w:rPr>
          <w:lang w:eastAsia="fr-BE"/>
        </w:rPr>
        <w:t xml:space="preserve">the main conclusions of the meeting of the </w:t>
      </w:r>
      <w:proofErr w:type="spellStart"/>
      <w:r w:rsidRPr="000D677F">
        <w:rPr>
          <w:lang w:eastAsia="fr-BE"/>
        </w:rPr>
        <w:t>Visegrad</w:t>
      </w:r>
      <w:proofErr w:type="spellEnd"/>
      <w:r w:rsidRPr="000D677F">
        <w:rPr>
          <w:lang w:eastAsia="fr-BE"/>
        </w:rPr>
        <w:t xml:space="preserve"> group countries (Poland, Hungary, Slovakia, Czech Republic) plus Bulgaria, Austria, Romania and Slovenia (V4+4) which took place on 26 August 2015, in </w:t>
      </w:r>
      <w:proofErr w:type="spellStart"/>
      <w:r w:rsidRPr="000D677F">
        <w:rPr>
          <w:lang w:eastAsia="fr-BE"/>
        </w:rPr>
        <w:t>České</w:t>
      </w:r>
      <w:proofErr w:type="spellEnd"/>
      <w:r w:rsidRPr="000D677F">
        <w:rPr>
          <w:lang w:eastAsia="fr-BE"/>
        </w:rPr>
        <w:t xml:space="preserve"> </w:t>
      </w:r>
      <w:proofErr w:type="spellStart"/>
      <w:r w:rsidRPr="000D677F">
        <w:rPr>
          <w:lang w:eastAsia="fr-BE"/>
        </w:rPr>
        <w:t>Budějovice</w:t>
      </w:r>
      <w:proofErr w:type="spellEnd"/>
      <w:r w:rsidRPr="000D677F">
        <w:rPr>
          <w:lang w:eastAsia="fr-BE"/>
        </w:rPr>
        <w:t xml:space="preserve"> (Czech Republic) </w:t>
      </w:r>
      <w:r w:rsidRPr="00D5133A">
        <w:rPr>
          <w:lang w:eastAsia="fr-BE"/>
        </w:rPr>
        <w:t>(</w:t>
      </w:r>
      <w:hyperlink r:id="rId24" w:tooltip="http://data.consilium.europa.eu/doc/document/ST-12914-2015-INIT/en/pdf" w:history="1">
        <w:r w:rsidRPr="00D5133A">
          <w:rPr>
            <w:rStyle w:val="Hyperlink"/>
            <w:i/>
            <w:iCs/>
            <w:lang w:eastAsia="fr-BE"/>
          </w:rPr>
          <w:t>12914/15</w:t>
        </w:r>
      </w:hyperlink>
      <w:r w:rsidRPr="00D5133A">
        <w:rPr>
          <w:lang w:eastAsia="fr-BE"/>
        </w:rPr>
        <w:t>)</w:t>
      </w:r>
      <w:r w:rsidRPr="000D677F">
        <w:rPr>
          <w:lang w:eastAsia="fr-BE"/>
        </w:rPr>
        <w:t>.</w:t>
      </w:r>
    </w:p>
    <w:p w:rsidR="000B14EB" w:rsidRDefault="00B375BE" w:rsidP="00CE66A6">
      <w:pPr>
        <w:rPr>
          <w:lang w:eastAsia="fr-BE"/>
        </w:rPr>
      </w:pPr>
      <w:r>
        <w:rPr>
          <w:lang w:eastAsia="fr-BE"/>
        </w:rPr>
        <w:t>During the V4+4 meeting, t</w:t>
      </w:r>
      <w:r w:rsidRPr="000D677F">
        <w:rPr>
          <w:lang w:eastAsia="fr-BE"/>
        </w:rPr>
        <w:t xml:space="preserve">he debate between agriculture ministers of those countries focused on the agricultural markets </w:t>
      </w:r>
      <w:r>
        <w:rPr>
          <w:lang w:eastAsia="fr-BE"/>
        </w:rPr>
        <w:t>development</w:t>
      </w:r>
      <w:r w:rsidRPr="000D677F">
        <w:rPr>
          <w:lang w:eastAsia="fr-BE"/>
        </w:rPr>
        <w:t xml:space="preserve"> </w:t>
      </w:r>
      <w:r>
        <w:rPr>
          <w:lang w:eastAsia="fr-BE"/>
        </w:rPr>
        <w:t>(</w:t>
      </w:r>
      <w:r w:rsidRPr="000D677F">
        <w:rPr>
          <w:lang w:eastAsia="fr-BE"/>
        </w:rPr>
        <w:t xml:space="preserve">in particular </w:t>
      </w:r>
      <w:r>
        <w:rPr>
          <w:lang w:eastAsia="fr-BE"/>
        </w:rPr>
        <w:t xml:space="preserve">in </w:t>
      </w:r>
      <w:r w:rsidRPr="000D677F">
        <w:rPr>
          <w:lang w:eastAsia="fr-BE"/>
        </w:rPr>
        <w:t xml:space="preserve">the dairy </w:t>
      </w:r>
      <w:r>
        <w:rPr>
          <w:lang w:eastAsia="fr-BE"/>
        </w:rPr>
        <w:t xml:space="preserve">sector), </w:t>
      </w:r>
      <w:r w:rsidRPr="000D677F">
        <w:rPr>
          <w:lang w:eastAsia="fr-BE"/>
        </w:rPr>
        <w:t xml:space="preserve">frauds in the food chain and best practices in land management. </w:t>
      </w:r>
      <w:r>
        <w:rPr>
          <w:lang w:eastAsia="fr-BE"/>
        </w:rPr>
        <w:t xml:space="preserve">At the Council meeting the Commission recalled the recent measures </w:t>
      </w:r>
      <w:r w:rsidR="00CE66A6">
        <w:rPr>
          <w:lang w:eastAsia="fr-BE"/>
        </w:rPr>
        <w:t>designed</w:t>
      </w:r>
      <w:r>
        <w:rPr>
          <w:lang w:eastAsia="fr-BE"/>
        </w:rPr>
        <w:t xml:space="preserve"> to alleviate the difficulties faced by the farmers. Regarding frauds in the food chain, the Commission was convinced that the new IT platform will help to fight against cross-border non-compliance in the food chain. In addition, the Commission supported the idea of exchanging national best practices.</w:t>
      </w:r>
    </w:p>
    <w:p w:rsidR="000B14EB" w:rsidRDefault="000B14EB" w:rsidP="00500EEF">
      <w:pPr>
        <w:sectPr w:rsidR="000B14EB" w:rsidSect="00F84A6E">
          <w:footnotePr>
            <w:numRestart w:val="eachPage"/>
          </w:footnotePr>
          <w:pgSz w:w="11907" w:h="16840" w:code="9"/>
          <w:pgMar w:top="1134" w:right="1134" w:bottom="1134" w:left="1134" w:header="567" w:footer="567" w:gutter="0"/>
          <w:cols w:space="708"/>
          <w:docGrid w:linePitch="360"/>
        </w:sectPr>
      </w:pPr>
    </w:p>
    <w:p w:rsidR="000B14EB" w:rsidRDefault="000B14EB" w:rsidP="00500EEF">
      <w:pPr>
        <w:pStyle w:val="ItemsApprovedHeading"/>
        <w:spacing w:before="120"/>
      </w:pPr>
      <w:r w:rsidRPr="000B14EB">
        <w:lastRenderedPageBreak/>
        <w:t>OTHER ITEMS APPROVED</w:t>
      </w:r>
    </w:p>
    <w:p w:rsidR="00B019FC" w:rsidRPr="00472D03" w:rsidRDefault="00B019FC" w:rsidP="00500EEF">
      <w:pPr>
        <w:pStyle w:val="ItemApproved"/>
        <w:spacing w:before="120"/>
      </w:pPr>
      <w:r w:rsidRPr="00472D03">
        <w:t>AGRICULTURE</w:t>
      </w:r>
    </w:p>
    <w:p w:rsidR="00B019FC" w:rsidRPr="00472D03" w:rsidRDefault="00B019FC" w:rsidP="00500EEF">
      <w:pPr>
        <w:pStyle w:val="Sub-itemApproved"/>
        <w:spacing w:before="120"/>
      </w:pPr>
      <w:bookmarkStart w:id="18" w:name="_Toc436831231"/>
      <w:r w:rsidRPr="00472D03">
        <w:t>Live bivalve molluscs - Controls and microbiological criteria</w:t>
      </w:r>
      <w:bookmarkEnd w:id="18"/>
    </w:p>
    <w:p w:rsidR="00B019FC" w:rsidRDefault="00B019FC" w:rsidP="00500EEF">
      <w:r>
        <w:t>The Council decided not to oppos</w:t>
      </w:r>
      <w:r w:rsidR="00CE66A6">
        <w:t>e the adoption of a Commission</w:t>
      </w:r>
      <w:r>
        <w:t xml:space="preserve"> amendment to</w:t>
      </w:r>
    </w:p>
    <w:p w:rsidR="00B019FC" w:rsidRDefault="00B019FC" w:rsidP="00500EEF">
      <w:r>
        <w:t>a</w:t>
      </w:r>
      <w:r w:rsidRPr="00EB427A">
        <w:t xml:space="preserve">nnex II to </w:t>
      </w:r>
      <w:r>
        <w:t>r</w:t>
      </w:r>
      <w:r w:rsidRPr="00EB427A">
        <w:t>egulation 854/2004</w:t>
      </w:r>
      <w:r w:rsidRPr="008A1237">
        <w:rPr>
          <w:rFonts w:eastAsia="Calibri"/>
          <w:noProof/>
          <w:vertAlign w:val="superscript"/>
        </w:rPr>
        <w:footnoteReference w:id="3"/>
      </w:r>
      <w:r w:rsidRPr="00EB427A">
        <w:t xml:space="preserve"> laying down specific rules for the organisation of official controls on products of animal origin intended for human consumption as regards certain requirements for live bivalve molluscs, echinoderms, tunicates and marine gastropods and </w:t>
      </w:r>
      <w:r>
        <w:t>a</w:t>
      </w:r>
      <w:r w:rsidRPr="00EB427A">
        <w:t xml:space="preserve">nnex I to </w:t>
      </w:r>
      <w:r>
        <w:t>r</w:t>
      </w:r>
      <w:r w:rsidRPr="00EB427A">
        <w:t>egulation 2073/2005 on microbiological criteria for foodstuffs</w:t>
      </w:r>
      <w:r>
        <w:t xml:space="preserve"> (</w:t>
      </w:r>
      <w:hyperlink r:id="rId25" w:tooltip="http://data.consilium.europa.eu/doc/document/ST-11584-2015-INIT/en/pdf" w:history="1">
        <w:r w:rsidR="005B4CD7" w:rsidRPr="005B4CD7">
          <w:rPr>
            <w:rStyle w:val="Hyperlink"/>
            <w:i/>
            <w:iCs/>
          </w:rPr>
          <w:t>11584/15</w:t>
        </w:r>
      </w:hyperlink>
      <w:r>
        <w:t>)</w:t>
      </w:r>
      <w:r w:rsidR="00CE66A6">
        <w:t>.</w:t>
      </w:r>
    </w:p>
    <w:p w:rsidR="00B019FC" w:rsidRDefault="00B019FC" w:rsidP="00CE66A6">
      <w:r w:rsidRPr="00733503">
        <w:t>Regulation 854/2004 lays down specific rules for the organisation of official controls on products of animal origin</w:t>
      </w:r>
      <w:r>
        <w:t xml:space="preserve"> intended for human consumption</w:t>
      </w:r>
      <w:r w:rsidRPr="00733503">
        <w:t xml:space="preserve">. </w:t>
      </w:r>
      <w:r>
        <w:t xml:space="preserve">It provides that member states are to ensure that the production and placing on the market of </w:t>
      </w:r>
      <w:r w:rsidRPr="00FC44B0">
        <w:t>live</w:t>
      </w:r>
      <w:r>
        <w:t xml:space="preserve"> bivalve molluscs undergo official controls as described in Annex II thereto. The r</w:t>
      </w:r>
      <w:r w:rsidRPr="00FD638E">
        <w:t xml:space="preserve">egulation </w:t>
      </w:r>
      <w:r>
        <w:t xml:space="preserve">also provides </w:t>
      </w:r>
      <w:r w:rsidRPr="00FD638E">
        <w:t xml:space="preserve">that the competent authority </w:t>
      </w:r>
      <w:r w:rsidRPr="00444C76">
        <w:t>must classify production areas from which it authorises the harvesting of live bivalve molluscs according to the level of faecal contamination.</w:t>
      </w:r>
      <w:r>
        <w:t xml:space="preserve"> In addition, </w:t>
      </w:r>
      <w:r w:rsidRPr="006740AE">
        <w:rPr>
          <w:rFonts w:eastAsia="Calibri"/>
          <w:szCs w:val="22"/>
        </w:rPr>
        <w:t xml:space="preserve">Commission </w:t>
      </w:r>
      <w:r>
        <w:rPr>
          <w:rFonts w:eastAsia="Calibri"/>
          <w:szCs w:val="22"/>
        </w:rPr>
        <w:t>r</w:t>
      </w:r>
      <w:r w:rsidRPr="006740AE">
        <w:rPr>
          <w:rFonts w:eastAsia="Calibri"/>
          <w:szCs w:val="22"/>
        </w:rPr>
        <w:t>egulation 2073/2005</w:t>
      </w:r>
      <w:r w:rsidRPr="006740AE">
        <w:rPr>
          <w:rFonts w:eastAsia="Calibri"/>
          <w:noProof/>
          <w:szCs w:val="22"/>
          <w:vertAlign w:val="superscript"/>
        </w:rPr>
        <w:footnoteReference w:id="4"/>
      </w:r>
      <w:r w:rsidRPr="006740AE">
        <w:rPr>
          <w:rFonts w:eastAsia="Calibri"/>
          <w:szCs w:val="22"/>
        </w:rPr>
        <w:t xml:space="preserve"> </w:t>
      </w:r>
      <w:r w:rsidRPr="006740AE">
        <w:rPr>
          <w:rFonts w:eastAsia="Calibri"/>
          <w:noProof/>
          <w:szCs w:val="22"/>
        </w:rPr>
        <w:t xml:space="preserve">lays down the microbiological criteria for certain micro-organisms </w:t>
      </w:r>
      <w:r>
        <w:rPr>
          <w:rFonts w:eastAsia="Calibri"/>
          <w:noProof/>
          <w:szCs w:val="22"/>
        </w:rPr>
        <w:t>in particular a</w:t>
      </w:r>
      <w:r w:rsidRPr="006740AE">
        <w:rPr>
          <w:rFonts w:eastAsia="Calibri"/>
          <w:szCs w:val="22"/>
        </w:rPr>
        <w:t xml:space="preserve"> food safety criterion for </w:t>
      </w:r>
      <w:r w:rsidRPr="006740AE">
        <w:rPr>
          <w:rFonts w:eastAsia="Calibri"/>
          <w:i/>
          <w:szCs w:val="22"/>
        </w:rPr>
        <w:t>E.coli</w:t>
      </w:r>
      <w:r w:rsidRPr="006740AE">
        <w:rPr>
          <w:rFonts w:eastAsia="Calibri"/>
          <w:szCs w:val="22"/>
        </w:rPr>
        <w:t xml:space="preserve"> on live bivalve molluscs.</w:t>
      </w:r>
      <w:r>
        <w:t xml:space="preserve"> T</w:t>
      </w:r>
      <w:r w:rsidRPr="00FD638E">
        <w:t xml:space="preserve">he Codex </w:t>
      </w:r>
      <w:proofErr w:type="spellStart"/>
      <w:r w:rsidRPr="00FD638E">
        <w:t>Alimentarius</w:t>
      </w:r>
      <w:proofErr w:type="spellEnd"/>
      <w:r w:rsidRPr="00FD638E">
        <w:t xml:space="preserve"> criterion for </w:t>
      </w:r>
      <w:r>
        <w:rPr>
          <w:i/>
        </w:rPr>
        <w:t>E. </w:t>
      </w:r>
      <w:r w:rsidRPr="001204F1">
        <w:rPr>
          <w:i/>
        </w:rPr>
        <w:t>coli</w:t>
      </w:r>
      <w:r w:rsidRPr="00FD638E">
        <w:t xml:space="preserve"> differs from the </w:t>
      </w:r>
      <w:r>
        <w:t xml:space="preserve">criterion contained in EU </w:t>
      </w:r>
      <w:r w:rsidRPr="00907C9A">
        <w:t>legislation</w:t>
      </w:r>
      <w:r>
        <w:rPr>
          <w:noProof/>
        </w:rPr>
        <w:t xml:space="preserve">. </w:t>
      </w:r>
      <w:r w:rsidR="00CE66A6">
        <w:t>The</w:t>
      </w:r>
      <w:r>
        <w:t xml:space="preserve"> amendment aligns the EU criterion on the Codex </w:t>
      </w:r>
      <w:proofErr w:type="spellStart"/>
      <w:r>
        <w:t>Alimentarius</w:t>
      </w:r>
      <w:proofErr w:type="spellEnd"/>
      <w:r w:rsidRPr="00610B92">
        <w:t xml:space="preserve"> </w:t>
      </w:r>
      <w:r>
        <w:rPr>
          <w:noProof/>
        </w:rPr>
        <w:t>which is</w:t>
      </w:r>
      <w:r w:rsidRPr="00766EAB">
        <w:rPr>
          <w:noProof/>
        </w:rPr>
        <w:t xml:space="preserve"> more likely to detect non-compliant </w:t>
      </w:r>
      <w:r>
        <w:rPr>
          <w:noProof/>
        </w:rPr>
        <w:t>batches</w:t>
      </w:r>
      <w:r>
        <w:t>.</w:t>
      </w:r>
    </w:p>
    <w:p w:rsidR="00B019FC" w:rsidRDefault="00B019FC" w:rsidP="00500EEF">
      <w:r>
        <w:t>This</w:t>
      </w:r>
      <w:r w:rsidRPr="003F24FA">
        <w:t xml:space="preserve"> Commission regulation </w:t>
      </w:r>
      <w:r>
        <w:t>is</w:t>
      </w:r>
      <w:r w:rsidRPr="003F24FA">
        <w:t xml:space="preserve"> subject to the regulatory procedure with scrutiny. This means that now that the Council has given its consent, the Commission may adopt the regulation, unless the European Parliament objects.</w:t>
      </w:r>
    </w:p>
    <w:p w:rsidR="00B019FC" w:rsidRPr="00472D03" w:rsidRDefault="00B019FC" w:rsidP="00500EEF">
      <w:pPr>
        <w:pStyle w:val="Sub-itemApproved"/>
        <w:spacing w:before="120"/>
      </w:pPr>
      <w:bookmarkStart w:id="19" w:name="_Toc436831232"/>
      <w:r w:rsidRPr="00472D03">
        <w:t>Pesticides - maximum residue levels</w:t>
      </w:r>
      <w:bookmarkEnd w:id="19"/>
    </w:p>
    <w:p w:rsidR="00B019FC" w:rsidRDefault="00B019FC" w:rsidP="00500EEF">
      <w:r w:rsidRPr="003F24FA">
        <w:t>The Council decided not to oppose the adoption of</w:t>
      </w:r>
      <w:r>
        <w:t xml:space="preserve"> three Commission regulations amending annexes II and III to regulation 396/2005</w:t>
      </w:r>
      <w:r w:rsidRPr="00FC6DB5">
        <w:rPr>
          <w:noProof/>
          <w:szCs w:val="22"/>
          <w:vertAlign w:val="superscript"/>
        </w:rPr>
        <w:footnoteReference w:id="5"/>
      </w:r>
      <w:r>
        <w:t xml:space="preserve"> as regards:</w:t>
      </w:r>
    </w:p>
    <w:p w:rsidR="00B019FC" w:rsidRPr="00472D03" w:rsidRDefault="00B019FC" w:rsidP="00CE66A6">
      <w:pPr>
        <w:pStyle w:val="Tiret0"/>
        <w:numPr>
          <w:ilvl w:val="0"/>
          <w:numId w:val="1"/>
        </w:numPr>
      </w:pPr>
      <w:r w:rsidRPr="00472D03">
        <w:t xml:space="preserve">maximum residue levels for </w:t>
      </w:r>
      <w:proofErr w:type="spellStart"/>
      <w:r w:rsidRPr="00472D03">
        <w:t>abamectin</w:t>
      </w:r>
      <w:proofErr w:type="spellEnd"/>
      <w:r w:rsidRPr="00472D03">
        <w:t xml:space="preserve">, </w:t>
      </w:r>
      <w:proofErr w:type="spellStart"/>
      <w:r w:rsidRPr="00472D03">
        <w:t>desmedipham</w:t>
      </w:r>
      <w:proofErr w:type="spellEnd"/>
      <w:r w:rsidRPr="00472D03">
        <w:t xml:space="preserve">, </w:t>
      </w:r>
      <w:proofErr w:type="spellStart"/>
      <w:r w:rsidRPr="00472D03">
        <w:t>dichlorprop</w:t>
      </w:r>
      <w:proofErr w:type="spellEnd"/>
      <w:r w:rsidRPr="00472D03">
        <w:t xml:space="preserve">-P, </w:t>
      </w:r>
      <w:proofErr w:type="spellStart"/>
      <w:r w:rsidRPr="00472D03">
        <w:t>haloxyfop</w:t>
      </w:r>
      <w:proofErr w:type="spellEnd"/>
      <w:r w:rsidRPr="00472D03">
        <w:t xml:space="preserve">-P, </w:t>
      </w:r>
      <w:proofErr w:type="spellStart"/>
      <w:r w:rsidRPr="00472D03">
        <w:t>oryzalin</w:t>
      </w:r>
      <w:proofErr w:type="spellEnd"/>
      <w:r w:rsidRPr="00472D03">
        <w:t xml:space="preserve"> and </w:t>
      </w:r>
      <w:proofErr w:type="spellStart"/>
      <w:r w:rsidRPr="00472D03">
        <w:t>phenmedipham</w:t>
      </w:r>
      <w:proofErr w:type="spellEnd"/>
      <w:r w:rsidRPr="00472D03">
        <w:t xml:space="preserve"> in or on certain products (</w:t>
      </w:r>
      <w:hyperlink r:id="rId26" w:tooltip="http://data.consilium.europa.eu/doc/document/ST-11892-2015-INIT/en/pdf" w:history="1">
        <w:r w:rsidR="00472D03" w:rsidRPr="00472D03">
          <w:rPr>
            <w:rStyle w:val="Hyperlink"/>
            <w:i/>
            <w:iCs/>
          </w:rPr>
          <w:t>11892/15</w:t>
        </w:r>
      </w:hyperlink>
      <w:r w:rsidRPr="00472D03">
        <w:t>)</w:t>
      </w:r>
    </w:p>
    <w:p w:rsidR="00B019FC" w:rsidRPr="00472D03" w:rsidRDefault="00B019FC" w:rsidP="00500EEF">
      <w:pPr>
        <w:pStyle w:val="Tiret0"/>
      </w:pPr>
      <w:r w:rsidRPr="00472D03">
        <w:t xml:space="preserve">maximum residue levels for </w:t>
      </w:r>
      <w:proofErr w:type="spellStart"/>
      <w:r w:rsidRPr="00472D03">
        <w:t>bifenazate</w:t>
      </w:r>
      <w:proofErr w:type="spellEnd"/>
      <w:r w:rsidRPr="00472D03">
        <w:t xml:space="preserve">, </w:t>
      </w:r>
      <w:proofErr w:type="spellStart"/>
      <w:r w:rsidRPr="00472D03">
        <w:t>boscalid</w:t>
      </w:r>
      <w:proofErr w:type="spellEnd"/>
      <w:r w:rsidRPr="00472D03">
        <w:t xml:space="preserve">, </w:t>
      </w:r>
      <w:proofErr w:type="spellStart"/>
      <w:r w:rsidRPr="00472D03">
        <w:t>cyazofamid</w:t>
      </w:r>
      <w:proofErr w:type="spellEnd"/>
      <w:r w:rsidRPr="00472D03">
        <w:t xml:space="preserve">, </w:t>
      </w:r>
      <w:proofErr w:type="spellStart"/>
      <w:r w:rsidRPr="00472D03">
        <w:t>cyromazine</w:t>
      </w:r>
      <w:proofErr w:type="spellEnd"/>
      <w:r w:rsidRPr="00472D03">
        <w:t xml:space="preserve">, </w:t>
      </w:r>
      <w:proofErr w:type="spellStart"/>
      <w:r w:rsidRPr="00472D03">
        <w:t>dazomet</w:t>
      </w:r>
      <w:proofErr w:type="spellEnd"/>
      <w:r w:rsidRPr="00472D03">
        <w:t xml:space="preserve">, </w:t>
      </w:r>
      <w:proofErr w:type="spellStart"/>
      <w:r w:rsidRPr="00472D03">
        <w:t>dithiocarbamates</w:t>
      </w:r>
      <w:proofErr w:type="spellEnd"/>
      <w:r w:rsidRPr="00472D03">
        <w:t xml:space="preserve">, </w:t>
      </w:r>
      <w:proofErr w:type="spellStart"/>
      <w:r w:rsidRPr="00472D03">
        <w:t>fluazifop</w:t>
      </w:r>
      <w:proofErr w:type="spellEnd"/>
      <w:r w:rsidRPr="00472D03">
        <w:t xml:space="preserve">-P, </w:t>
      </w:r>
      <w:proofErr w:type="spellStart"/>
      <w:r w:rsidRPr="00472D03">
        <w:t>mepanipyrim</w:t>
      </w:r>
      <w:proofErr w:type="spellEnd"/>
      <w:r w:rsidRPr="00472D03">
        <w:t xml:space="preserve">, </w:t>
      </w:r>
      <w:proofErr w:type="spellStart"/>
      <w:r w:rsidRPr="00472D03">
        <w:t>metrafenone</w:t>
      </w:r>
      <w:proofErr w:type="spellEnd"/>
      <w:r w:rsidRPr="00472D03">
        <w:t xml:space="preserve">, </w:t>
      </w:r>
      <w:proofErr w:type="spellStart"/>
      <w:r w:rsidRPr="00472D03">
        <w:t>picloram</w:t>
      </w:r>
      <w:proofErr w:type="spellEnd"/>
      <w:r w:rsidRPr="00472D03">
        <w:t xml:space="preserve">, </w:t>
      </w:r>
      <w:proofErr w:type="spellStart"/>
      <w:r w:rsidRPr="00472D03">
        <w:t>propamocarb</w:t>
      </w:r>
      <w:proofErr w:type="spellEnd"/>
      <w:r w:rsidRPr="00472D03">
        <w:t xml:space="preserve">, </w:t>
      </w:r>
      <w:proofErr w:type="spellStart"/>
      <w:r w:rsidRPr="00472D03">
        <w:t>pyridaben</w:t>
      </w:r>
      <w:proofErr w:type="spellEnd"/>
      <w:r w:rsidRPr="00472D03">
        <w:t xml:space="preserve">, </w:t>
      </w:r>
      <w:proofErr w:type="spellStart"/>
      <w:r w:rsidRPr="00472D03">
        <w:t>pyriofenone</w:t>
      </w:r>
      <w:proofErr w:type="spellEnd"/>
      <w:r w:rsidRPr="00472D03">
        <w:t xml:space="preserve">, </w:t>
      </w:r>
      <w:proofErr w:type="spellStart"/>
      <w:r w:rsidRPr="00472D03">
        <w:t>sulfoxaflor</w:t>
      </w:r>
      <w:proofErr w:type="spellEnd"/>
      <w:r w:rsidRPr="00472D03">
        <w:t xml:space="preserve">, </w:t>
      </w:r>
      <w:proofErr w:type="spellStart"/>
      <w:r w:rsidRPr="00472D03">
        <w:t>tebuconazole</w:t>
      </w:r>
      <w:proofErr w:type="spellEnd"/>
      <w:r w:rsidRPr="00472D03">
        <w:t xml:space="preserve">, </w:t>
      </w:r>
      <w:proofErr w:type="spellStart"/>
      <w:r w:rsidRPr="00472D03">
        <w:t>tebufenpyrad</w:t>
      </w:r>
      <w:proofErr w:type="spellEnd"/>
      <w:r w:rsidRPr="00472D03">
        <w:t xml:space="preserve"> and </w:t>
      </w:r>
      <w:proofErr w:type="spellStart"/>
      <w:r w:rsidRPr="00472D03">
        <w:t>thiram</w:t>
      </w:r>
      <w:proofErr w:type="spellEnd"/>
      <w:r w:rsidRPr="00472D03">
        <w:t xml:space="preserve"> in or on certain products (</w:t>
      </w:r>
      <w:hyperlink r:id="rId27" w:tooltip="http://data.consilium.europa.eu/doc/document/ST-11820-2015-INIT/en/pdf" w:history="1">
        <w:r w:rsidR="00472D03" w:rsidRPr="00472D03">
          <w:rPr>
            <w:rStyle w:val="Hyperlink"/>
            <w:i/>
            <w:iCs/>
          </w:rPr>
          <w:t>11820/15</w:t>
        </w:r>
      </w:hyperlink>
      <w:r w:rsidR="00CE66A6">
        <w:t>)</w:t>
      </w:r>
    </w:p>
    <w:p w:rsidR="00B019FC" w:rsidRDefault="00472D03" w:rsidP="00500EEF">
      <w:r>
        <w:br w:type="page"/>
      </w:r>
      <w:r w:rsidR="00B019FC" w:rsidRPr="00EC0845">
        <w:lastRenderedPageBreak/>
        <w:t xml:space="preserve">Regulation 396/2005 </w:t>
      </w:r>
      <w:r w:rsidR="00B019FC">
        <w:t>establishes the maximum quantities of pesticide residues permitted in products of animal or vegetable origin intended for human or animal consumption. These maximum residue levels (MRLs) include, on the one hand, MRLs which are specific to particular foodstuffs intended for human or animal consumption and, on the other, a general limit which applies where no specific MRL has been set. MRL applications are communicated to the European Food Safety Authority (EFSA) which issue a scientific opinion on each intended new MRL. Based on EFSA's opinion, the Commission proposes a regulation such as those listed above to establish a new MRL or to amend or remove an existing MRL and modifying the annexes of regulation 396/2005 accordingly.</w:t>
      </w:r>
    </w:p>
    <w:p w:rsidR="00B019FC" w:rsidRPr="00A11134" w:rsidRDefault="00B019FC" w:rsidP="00500EEF">
      <w:r>
        <w:t>These</w:t>
      </w:r>
      <w:r w:rsidRPr="003F24FA">
        <w:t xml:space="preserve"> Commission regulation</w:t>
      </w:r>
      <w:r>
        <w:t>s</w:t>
      </w:r>
      <w:r w:rsidRPr="003F24FA">
        <w:t xml:space="preserve"> </w:t>
      </w:r>
      <w:r>
        <w:t>are</w:t>
      </w:r>
      <w:r w:rsidRPr="003F24FA">
        <w:t xml:space="preserve"> subject to the regulatory procedure with scrutiny. This means that now that the Council has given its consent, the Commission may adopt the regulation</w:t>
      </w:r>
      <w:r>
        <w:t>s</w:t>
      </w:r>
      <w:r w:rsidRPr="003F24FA">
        <w:t>, unless the European Parliament objects.</w:t>
      </w:r>
    </w:p>
    <w:p w:rsidR="00B019FC" w:rsidRPr="00472D03" w:rsidRDefault="00B019FC" w:rsidP="00500EEF">
      <w:pPr>
        <w:pStyle w:val="Sub-itemApproved"/>
        <w:spacing w:before="120"/>
      </w:pPr>
      <w:bookmarkStart w:id="20" w:name="_Toc436831233"/>
      <w:r w:rsidRPr="00472D03">
        <w:t>Animal feed - New functional group of feed additives</w:t>
      </w:r>
      <w:bookmarkEnd w:id="20"/>
    </w:p>
    <w:p w:rsidR="00B019FC" w:rsidRPr="00A80614" w:rsidRDefault="00B019FC" w:rsidP="00500EEF">
      <w:r w:rsidRPr="00A80614">
        <w:t xml:space="preserve">The Council decided not to oppose the adoption of a Commission amendment to regulation 1831/2003 </w:t>
      </w:r>
      <w:r>
        <w:t>as regards the establishment of a new functional group of feed additives</w:t>
      </w:r>
      <w:r w:rsidRPr="00A80614">
        <w:t xml:space="preserve"> (</w:t>
      </w:r>
      <w:hyperlink r:id="rId28" w:tooltip="http://data.consilium.europa.eu/doc/document/ST-11580-2015-INIT/en/pdf" w:history="1">
        <w:r w:rsidR="00472D03" w:rsidRPr="00472D03">
          <w:rPr>
            <w:rStyle w:val="Hyperlink"/>
            <w:i/>
            <w:iCs/>
          </w:rPr>
          <w:t>11580/15</w:t>
        </w:r>
      </w:hyperlink>
      <w:r w:rsidRPr="00097D59">
        <w:t>).</w:t>
      </w:r>
    </w:p>
    <w:p w:rsidR="00B019FC" w:rsidRDefault="00B019FC" w:rsidP="00500EEF">
      <w:r w:rsidRPr="00A80614">
        <w:t>Regulation 1831/2003</w:t>
      </w:r>
      <w:r w:rsidRPr="00A80614">
        <w:rPr>
          <w:b/>
          <w:vertAlign w:val="superscript"/>
        </w:rPr>
        <w:footnoteReference w:id="6"/>
      </w:r>
      <w:r w:rsidRPr="00A80614">
        <w:t xml:space="preserve"> on additives for use in animal nutrition </w:t>
      </w:r>
      <w:r>
        <w:t>provides for the allocation of feed additives to categories and further to functional groups within those categories according to their functions and properties</w:t>
      </w:r>
      <w:r w:rsidRPr="00C759AF">
        <w:t>.</w:t>
      </w:r>
    </w:p>
    <w:p w:rsidR="00B019FC" w:rsidRPr="00A80614" w:rsidRDefault="00B019FC" w:rsidP="00500EEF">
      <w:r>
        <w:t>As a result of technological and scientific development, some feed additives may improve the hygienic condition of a feed, in particular by reducing a specific microbiological contamination. Since such feed additives cannot currently be allocated to any of the functional groups provided for in regulation 1831/2003, the amendment creates the new functional group "hygiene condition enhancers" in the category "technological additives".</w:t>
      </w:r>
    </w:p>
    <w:p w:rsidR="00B019FC" w:rsidRPr="000029EA" w:rsidRDefault="00B019FC" w:rsidP="00500EEF">
      <w:r w:rsidRPr="000029EA">
        <w:t>This Commission regulation is subject to the regulatory procedure with scrutiny. This means that now that the Council has given its consent, the Commission may adopt the regulation, unless the European Parliament objects.</w:t>
      </w:r>
    </w:p>
    <w:p w:rsidR="00B019FC" w:rsidRPr="00472D03" w:rsidRDefault="00472D03" w:rsidP="00500EEF">
      <w:pPr>
        <w:pStyle w:val="ItemApproved"/>
        <w:spacing w:before="120"/>
      </w:pPr>
      <w:r>
        <w:br w:type="page"/>
      </w:r>
      <w:r w:rsidR="00B019FC" w:rsidRPr="00472D03">
        <w:lastRenderedPageBreak/>
        <w:t>FISHERIES</w:t>
      </w:r>
    </w:p>
    <w:p w:rsidR="00B019FC" w:rsidRPr="00472D03" w:rsidRDefault="00B019FC" w:rsidP="00500EEF">
      <w:pPr>
        <w:pStyle w:val="Sub-itemApproved"/>
        <w:spacing w:before="120"/>
      </w:pPr>
      <w:bookmarkStart w:id="21" w:name="_Toc436831235"/>
      <w:r w:rsidRPr="00472D03">
        <w:t>EU and Gabon - Negotiations for a renewal of the protocol to the agreement</w:t>
      </w:r>
      <w:bookmarkEnd w:id="21"/>
    </w:p>
    <w:p w:rsidR="00B019FC" w:rsidRDefault="00B019FC" w:rsidP="00CE66A6">
      <w:r w:rsidRPr="00D27003">
        <w:t xml:space="preserve">The Council adopted a decision </w:t>
      </w:r>
      <w:r w:rsidR="00CE66A6">
        <w:t>authorising</w:t>
      </w:r>
      <w:r w:rsidRPr="00F32A24">
        <w:t xml:space="preserve"> the Commission to </w:t>
      </w:r>
      <w:r w:rsidRPr="001F6F62">
        <w:t xml:space="preserve">open negotiations on behalf of the </w:t>
      </w:r>
      <w:r>
        <w:t>EU</w:t>
      </w:r>
      <w:r w:rsidRPr="001F6F62">
        <w:t xml:space="preserve"> for the renewal of the protocol setting out the fishing opportunities and the financial contribution provided for by the </w:t>
      </w:r>
      <w:r w:rsidR="00CE66A6" w:rsidRPr="001F6F62">
        <w:t>fisheries partnership agreement</w:t>
      </w:r>
      <w:r w:rsidR="00CE66A6">
        <w:t xml:space="preserve"> </w:t>
      </w:r>
      <w:r>
        <w:t>(FPA)</w:t>
      </w:r>
      <w:r w:rsidRPr="001F6F62">
        <w:t xml:space="preserve"> between the </w:t>
      </w:r>
      <w:r>
        <w:t>EU</w:t>
      </w:r>
      <w:r w:rsidRPr="001F6F62">
        <w:t xml:space="preserve"> and the Gabonese Republic</w:t>
      </w:r>
      <w:r>
        <w:t>.</w:t>
      </w:r>
    </w:p>
    <w:p w:rsidR="00B019FC" w:rsidRPr="00CA73B8" w:rsidRDefault="00B019FC" w:rsidP="00500EEF">
      <w:r w:rsidRPr="00D27003">
        <w:t xml:space="preserve">The new </w:t>
      </w:r>
      <w:r>
        <w:t>protocol to the FPA</w:t>
      </w:r>
      <w:r w:rsidRPr="00D27003">
        <w:t xml:space="preserve"> between the EU and </w:t>
      </w:r>
      <w:r>
        <w:t>Gabon</w:t>
      </w:r>
      <w:r w:rsidRPr="00D27003">
        <w:t xml:space="preserve"> should be in line with the Council conclusions of 19 March 2012 on the Commission communication of 13 July 2011 on the external dimension of the Common Fisheries Policy (CFP) as well as Regulation No 1380/2013 on the CFP</w:t>
      </w:r>
      <w:r w:rsidRPr="00D27003">
        <w:rPr>
          <w:b/>
          <w:bCs/>
          <w:vertAlign w:val="superscript"/>
        </w:rPr>
        <w:footnoteReference w:id="7"/>
      </w:r>
      <w:r w:rsidRPr="00CA73B8">
        <w:t>.</w:t>
      </w:r>
    </w:p>
    <w:p w:rsidR="00B019FC" w:rsidRPr="00472D03" w:rsidRDefault="00B019FC" w:rsidP="00500EEF">
      <w:pPr>
        <w:pStyle w:val="ItemApproved"/>
        <w:spacing w:before="120"/>
      </w:pPr>
      <w:r w:rsidRPr="00472D03">
        <w:t>STABILISATION AND ASSOCIATION PROCESS</w:t>
      </w:r>
    </w:p>
    <w:p w:rsidR="00B019FC" w:rsidRPr="00416988" w:rsidRDefault="00B019FC" w:rsidP="00500EEF">
      <w:pPr>
        <w:pStyle w:val="Sub-itemApproved"/>
        <w:spacing w:before="120"/>
      </w:pPr>
      <w:bookmarkStart w:id="22" w:name="_Toc436831237"/>
      <w:r w:rsidRPr="00472D03">
        <w:t>Stabilisation and Association Agreement with Kosovo</w:t>
      </w:r>
      <w:r w:rsidR="00472D03" w:rsidRPr="00472D03">
        <w:rPr>
          <w:rStyle w:val="FootnoteReference"/>
        </w:rPr>
        <w:footnoteReference w:customMarkFollows="1" w:id="8"/>
        <w:sym w:font="Symbol" w:char="F02A"/>
      </w:r>
      <w:bookmarkEnd w:id="22"/>
    </w:p>
    <w:p w:rsidR="00B019FC" w:rsidRDefault="00B019FC" w:rsidP="00500EEF">
      <w:r>
        <w:t>The Council has authorised the signature of a Stabilisation and Association Agreement with Kosovo.</w:t>
      </w:r>
    </w:p>
    <w:p w:rsidR="00B019FC" w:rsidRPr="00472D03" w:rsidRDefault="00B019FC" w:rsidP="00500EEF">
      <w:pPr>
        <w:pStyle w:val="ItemApproved"/>
        <w:spacing w:before="120"/>
      </w:pPr>
      <w:r w:rsidRPr="00472D03">
        <w:t>BUDGETS</w:t>
      </w:r>
    </w:p>
    <w:p w:rsidR="00B019FC" w:rsidRPr="00472D03" w:rsidRDefault="00B019FC" w:rsidP="00500EEF">
      <w:pPr>
        <w:pStyle w:val="Sub-itemApproved"/>
        <w:spacing w:before="120"/>
      </w:pPr>
      <w:bookmarkStart w:id="23" w:name="_Toc436831239"/>
      <w:r w:rsidRPr="00472D03">
        <w:t>Revised EU financial regulation - Alignment to new procurement rules</w:t>
      </w:r>
      <w:bookmarkEnd w:id="23"/>
    </w:p>
    <w:p w:rsidR="00CE66A6" w:rsidRDefault="00CE66A6" w:rsidP="00CE66A6">
      <w:r>
        <w:t>The Council adopted a regulation amending the financial rules applicable to the EU budget (</w:t>
      </w:r>
      <w:hyperlink r:id="rId29" w:tooltip="http://data.consilium.europa.eu/doc/document/PE-43-2015-INIT/en/pdf" w:history="1">
        <w:r w:rsidR="00213944">
          <w:rPr>
            <w:rStyle w:val="Hyperlink"/>
          </w:rPr>
          <w:t>PE-CONS 43/15</w:t>
        </w:r>
      </w:hyperlink>
      <w:r>
        <w:t>). The aim of the new regulation is to align the procurement procedures used by the EU institutions for awarding contracts to the new procurement rules applicable to member states, set out in directives 2014/24/EU and 2014/23.</w:t>
      </w:r>
    </w:p>
    <w:p w:rsidR="00B019FC" w:rsidRDefault="00CE66A6" w:rsidP="00CE66A6">
      <w:r>
        <w:t>The revised EU financial regulation also sets up a system for early detection of risks to the EU's financial interests, such as fraud or corruption. In duly justified cases it also allows EU institutions to exclude economic operators from procurement procedures and grants.</w:t>
      </w:r>
    </w:p>
    <w:p w:rsidR="00B019FC" w:rsidRPr="00472D03" w:rsidRDefault="00472D03" w:rsidP="00500EEF">
      <w:pPr>
        <w:pStyle w:val="ItemApproved"/>
        <w:spacing w:before="120"/>
      </w:pPr>
      <w:bookmarkStart w:id="24" w:name="AC"/>
      <w:r>
        <w:br w:type="page"/>
      </w:r>
      <w:bookmarkStart w:id="25" w:name="ControlPages"/>
      <w:bookmarkEnd w:id="25"/>
      <w:r w:rsidR="00B019FC" w:rsidRPr="00472D03">
        <w:lastRenderedPageBreak/>
        <w:t>TRADE POLICY</w:t>
      </w:r>
    </w:p>
    <w:p w:rsidR="00B019FC" w:rsidRPr="00472D03" w:rsidRDefault="00B019FC" w:rsidP="00500EEF">
      <w:pPr>
        <w:pStyle w:val="Sub-itemApproved"/>
        <w:spacing w:before="120"/>
      </w:pPr>
      <w:bookmarkStart w:id="26" w:name="_Toc436831241"/>
      <w:bookmarkEnd w:id="24"/>
      <w:r w:rsidRPr="00472D03">
        <w:t>WTO government procurement: Ukraine</w:t>
      </w:r>
      <w:bookmarkEnd w:id="26"/>
    </w:p>
    <w:p w:rsidR="00B019FC" w:rsidRPr="00BB5963" w:rsidRDefault="00B019FC" w:rsidP="00500EEF">
      <w:r w:rsidRPr="00BB5963">
        <w:t>The Council adopted a decision establishing the EU's position within the</w:t>
      </w:r>
      <w:r>
        <w:t xml:space="preserve"> WTO c</w:t>
      </w:r>
      <w:r w:rsidRPr="00BB5963">
        <w:t xml:space="preserve">ommittee on </w:t>
      </w:r>
      <w:r>
        <w:t>government p</w:t>
      </w:r>
      <w:r w:rsidRPr="00BB5963">
        <w:t>rocurement as supporting the accession of Ukraine to the revised agreement on government procurement.</w:t>
      </w:r>
    </w:p>
    <w:p w:rsidR="00B019FC" w:rsidRPr="00BB5963" w:rsidRDefault="00B019FC" w:rsidP="00500EEF">
      <w:r w:rsidRPr="00BB5963">
        <w:t>Specific terms of accession are set out in an annex to the decision.</w:t>
      </w:r>
    </w:p>
    <w:p w:rsidR="00B019FC" w:rsidRDefault="00B019FC" w:rsidP="00500EEF">
      <w:r>
        <w:t>Ukraine applied for accession in December 2012. It laid down its commitments on coverage in its final offer on 29 June 2015.</w:t>
      </w:r>
    </w:p>
    <w:p w:rsidR="00B019FC" w:rsidRPr="00472D03" w:rsidRDefault="00B019FC" w:rsidP="00500EEF">
      <w:pPr>
        <w:pStyle w:val="ItemApproved"/>
        <w:spacing w:before="120"/>
      </w:pPr>
      <w:r w:rsidRPr="00472D03">
        <w:t>FOREIGN POLICY</w:t>
      </w:r>
    </w:p>
    <w:p w:rsidR="00B019FC" w:rsidRPr="00472D03" w:rsidRDefault="00B019FC" w:rsidP="00500EEF">
      <w:pPr>
        <w:pStyle w:val="Sub-itemApproved"/>
        <w:spacing w:before="120"/>
      </w:pPr>
      <w:bookmarkStart w:id="27" w:name="_Toc436831243"/>
      <w:r w:rsidRPr="00472D03">
        <w:t>Global reporting mechanism on illicit small arms and light weapons</w:t>
      </w:r>
      <w:bookmarkEnd w:id="27"/>
    </w:p>
    <w:p w:rsidR="00B019FC" w:rsidRDefault="00B019FC" w:rsidP="00500EEF">
      <w:pPr>
        <w:rPr>
          <w:rFonts w:asciiTheme="majorBidi" w:hAnsiTheme="majorBidi" w:cstheme="majorBidi"/>
        </w:rPr>
      </w:pPr>
      <w:r w:rsidRPr="001547B6">
        <w:rPr>
          <w:rFonts w:asciiTheme="majorBidi" w:hAnsiTheme="majorBidi" w:cstheme="majorBidi"/>
        </w:rPr>
        <w:t>The Council adopted a decision in support of a global reporting mechanism on illicit small arms and light weapons (SALW)</w:t>
      </w:r>
      <w:r>
        <w:t xml:space="preserve"> </w:t>
      </w:r>
      <w:r>
        <w:rPr>
          <w:sz w:val="23"/>
          <w:szCs w:val="23"/>
        </w:rPr>
        <w:t>and other illicit conventional weapons and ammunition to reduce the risk of their illicit trade ("</w:t>
      </w:r>
      <w:proofErr w:type="spellStart"/>
      <w:r>
        <w:rPr>
          <w:sz w:val="23"/>
          <w:szCs w:val="23"/>
        </w:rPr>
        <w:t>iTrace</w:t>
      </w:r>
      <w:proofErr w:type="spellEnd"/>
      <w:r>
        <w:rPr>
          <w:sz w:val="23"/>
          <w:szCs w:val="23"/>
        </w:rPr>
        <w:t xml:space="preserve"> II")</w:t>
      </w:r>
      <w:r w:rsidRPr="001547B6">
        <w:rPr>
          <w:rFonts w:asciiTheme="majorBidi" w:hAnsiTheme="majorBidi" w:cstheme="majorBidi"/>
        </w:rPr>
        <w:t>. The EU will provide financial support for the mechanism</w:t>
      </w:r>
      <w:r>
        <w:rPr>
          <w:rFonts w:asciiTheme="majorBidi" w:hAnsiTheme="majorBidi" w:cstheme="majorBidi"/>
        </w:rPr>
        <w:t xml:space="preserve"> amounting to EUR 2.53 million</w:t>
      </w:r>
      <w:r w:rsidRPr="001547B6">
        <w:rPr>
          <w:rFonts w:asciiTheme="majorBidi" w:hAnsiTheme="majorBidi" w:cstheme="majorBidi"/>
        </w:rPr>
        <w:t>. The decision is part of a wider EU Strategy to combat the illicit accumulation and trafficking of SALW.</w:t>
      </w:r>
    </w:p>
    <w:p w:rsidR="00B019FC" w:rsidRPr="00472D03" w:rsidRDefault="00B019FC" w:rsidP="00500EEF">
      <w:pPr>
        <w:pStyle w:val="ItemApproved"/>
        <w:spacing w:before="120"/>
      </w:pPr>
      <w:r w:rsidRPr="00472D03">
        <w:t>FOOD LAW</w:t>
      </w:r>
    </w:p>
    <w:p w:rsidR="00B019FC" w:rsidRPr="00472D03" w:rsidRDefault="00B019FC" w:rsidP="00500EEF">
      <w:pPr>
        <w:pStyle w:val="Sub-itemApproved"/>
        <w:spacing w:before="120"/>
      </w:pPr>
      <w:bookmarkStart w:id="28" w:name="_Toc436831245"/>
      <w:r w:rsidRPr="00472D03">
        <w:t>Removal of a flavouring substance from the list of approved substances</w:t>
      </w:r>
      <w:bookmarkEnd w:id="28"/>
    </w:p>
    <w:p w:rsidR="00CE66A6" w:rsidRDefault="00CE66A6" w:rsidP="00CE66A6">
      <w:r w:rsidRPr="00FB7164">
        <w:t>The Council decided not to oppose the adoption of a Commission regulation</w:t>
      </w:r>
      <w:r>
        <w:t xml:space="preserve"> </w:t>
      </w:r>
      <w:r w:rsidRPr="00EB0EF7">
        <w:t>remo</w:t>
      </w:r>
      <w:r>
        <w:t>ving</w:t>
      </w:r>
      <w:r w:rsidRPr="00EB0EF7">
        <w:t xml:space="preserve"> </w:t>
      </w:r>
      <w:r>
        <w:t xml:space="preserve">the </w:t>
      </w:r>
      <w:r w:rsidRPr="0062202A">
        <w:t xml:space="preserve">flavouring substance </w:t>
      </w:r>
      <w:r w:rsidRPr="0062202A">
        <w:rPr>
          <w:i/>
        </w:rPr>
        <w:t>p</w:t>
      </w:r>
      <w:r w:rsidRPr="0062202A">
        <w:t xml:space="preserve">-mentha-1,8-dien-7-al </w:t>
      </w:r>
      <w:r w:rsidRPr="00EB0EF7">
        <w:t>from the list</w:t>
      </w:r>
      <w:r>
        <w:t xml:space="preserve"> of flavourings approved for use in and on foods in the EU (</w:t>
      </w:r>
      <w:hyperlink r:id="rId30" w:tooltip="http://data.consilium.europa.eu/doc/document/ST-12626-2015-INIT/en/pdf" w:history="1">
        <w:r w:rsidRPr="00AA7E63">
          <w:rPr>
            <w:rStyle w:val="Hyperlink"/>
            <w:i/>
            <w:iCs/>
          </w:rPr>
          <w:t>12626/15</w:t>
        </w:r>
      </w:hyperlink>
      <w:r>
        <w:t>).</w:t>
      </w:r>
    </w:p>
    <w:p w:rsidR="00CE66A6" w:rsidRPr="008906EA" w:rsidRDefault="00CE66A6" w:rsidP="00CE66A6">
      <w:r w:rsidRPr="008906EA">
        <w:t xml:space="preserve">The Commission drafted the regulation </w:t>
      </w:r>
      <w:r>
        <w:t xml:space="preserve">following the evaluation by </w:t>
      </w:r>
      <w:r w:rsidRPr="008906EA">
        <w:t xml:space="preserve">the European Food Safety Authority </w:t>
      </w:r>
      <w:r>
        <w:t xml:space="preserve">(EFSA) of new data. In its scientific opinion of 24 June 2015 EFSA concluded that </w:t>
      </w:r>
      <w:r w:rsidRPr="008906EA">
        <w:t>p-mentha-1,8-dien-7-al is genotoxic in vivo and th</w:t>
      </w:r>
      <w:r>
        <w:t xml:space="preserve">at </w:t>
      </w:r>
      <w:r w:rsidRPr="008906EA">
        <w:t>its use as a flavouring substance raises a safety concern.</w:t>
      </w:r>
    </w:p>
    <w:p w:rsidR="00B019FC" w:rsidRDefault="00CE66A6" w:rsidP="00CE66A6">
      <w:r>
        <w:t xml:space="preserve">The Commission regulation is subject to the </w:t>
      </w:r>
      <w:r w:rsidRPr="00FB7164">
        <w:t>regulatory procedure with scrutiny</w:t>
      </w:r>
      <w:r>
        <w:t>. This means that now that the Council has given its consent, the Commission may adopt it, unless the European Parliament objects.</w:t>
      </w:r>
    </w:p>
    <w:p w:rsidR="00895676" w:rsidRPr="000B14EB" w:rsidRDefault="00895676" w:rsidP="00500EEF">
      <w:pPr>
        <w:pStyle w:val="FinalLine"/>
        <w:spacing w:before="120" w:after="240"/>
      </w:pPr>
    </w:p>
    <w:sectPr w:rsidR="00895676" w:rsidRPr="000B14EB" w:rsidSect="00F84A6E">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EB" w:rsidRDefault="000B14EB">
      <w:pPr>
        <w:spacing w:before="0" w:after="0"/>
      </w:pPr>
      <w:r>
        <w:separator/>
      </w:r>
    </w:p>
  </w:endnote>
  <w:endnote w:type="continuationSeparator" w:id="0">
    <w:p w:rsidR="000B14EB" w:rsidRDefault="000B14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6E" w:rsidRPr="00F84A6E" w:rsidRDefault="00F84A6E" w:rsidP="00F84A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84A6E" w:rsidRPr="007410E8" w:rsidTr="00F84A6E">
      <w:trPr>
        <w:jc w:val="center"/>
      </w:trPr>
      <w:tc>
        <w:tcPr>
          <w:tcW w:w="2604" w:type="pct"/>
          <w:shd w:val="clear" w:color="auto" w:fill="auto"/>
        </w:tcPr>
        <w:p w:rsidR="00F84A6E" w:rsidRPr="007410E8" w:rsidRDefault="00F84A6E" w:rsidP="0035025C">
          <w:pPr>
            <w:pStyle w:val="FooterText"/>
            <w:rPr>
              <w:sz w:val="16"/>
              <w:szCs w:val="16"/>
            </w:rPr>
          </w:pPr>
          <w:bookmarkStart w:id="2" w:name="FOOTER_PR_STANDARD"/>
        </w:p>
      </w:tc>
      <w:tc>
        <w:tcPr>
          <w:tcW w:w="1319" w:type="pct"/>
          <w:shd w:val="clear" w:color="auto" w:fill="auto"/>
        </w:tcPr>
        <w:p w:rsidR="00F84A6E" w:rsidRPr="007410E8" w:rsidRDefault="00F84A6E" w:rsidP="0035025C">
          <w:pPr>
            <w:pStyle w:val="FooterText"/>
            <w:rPr>
              <w:sz w:val="16"/>
              <w:szCs w:val="16"/>
            </w:rPr>
          </w:pPr>
        </w:p>
      </w:tc>
      <w:tc>
        <w:tcPr>
          <w:tcW w:w="1077" w:type="pct"/>
          <w:shd w:val="clear" w:color="auto" w:fill="auto"/>
        </w:tcPr>
        <w:p w:rsidR="00F84A6E" w:rsidRPr="007410E8" w:rsidRDefault="00F84A6E" w:rsidP="0035025C">
          <w:pPr>
            <w:pStyle w:val="FooterText"/>
            <w:jc w:val="right"/>
            <w:rPr>
              <w:sz w:val="16"/>
              <w:szCs w:val="16"/>
            </w:rPr>
          </w:pPr>
        </w:p>
      </w:tc>
    </w:tr>
    <w:tr w:rsidR="00F84A6E" w:rsidRPr="007410E8" w:rsidTr="00F84A6E">
      <w:trPr>
        <w:jc w:val="center"/>
      </w:trPr>
      <w:tc>
        <w:tcPr>
          <w:tcW w:w="2604" w:type="pct"/>
          <w:shd w:val="clear" w:color="auto" w:fill="auto"/>
        </w:tcPr>
        <w:p w:rsidR="00F84A6E" w:rsidRPr="007410E8" w:rsidRDefault="00F84A6E" w:rsidP="0035025C">
          <w:pPr>
            <w:pStyle w:val="FooterText"/>
            <w:rPr>
              <w:sz w:val="16"/>
            </w:rPr>
          </w:pPr>
          <w:r>
            <w:t>13328/15</w:t>
          </w:r>
          <w:r w:rsidRPr="002511D8">
            <w:t xml:space="preserve"> </w:t>
          </w:r>
        </w:p>
      </w:tc>
      <w:tc>
        <w:tcPr>
          <w:tcW w:w="1319" w:type="pct"/>
          <w:shd w:val="clear" w:color="auto" w:fill="auto"/>
        </w:tcPr>
        <w:p w:rsidR="00F84A6E" w:rsidRPr="007410E8" w:rsidRDefault="00F84A6E" w:rsidP="0035025C">
          <w:pPr>
            <w:pStyle w:val="FooterText"/>
            <w:rPr>
              <w:sz w:val="16"/>
            </w:rPr>
          </w:pPr>
        </w:p>
      </w:tc>
      <w:tc>
        <w:tcPr>
          <w:tcW w:w="1077" w:type="pct"/>
          <w:shd w:val="clear" w:color="auto" w:fill="auto"/>
        </w:tcPr>
        <w:p w:rsidR="00F84A6E" w:rsidRPr="007410E8" w:rsidRDefault="00F84A6E" w:rsidP="0035025C">
          <w:pPr>
            <w:pStyle w:val="FooterText"/>
            <w:jc w:val="right"/>
            <w:rPr>
              <w:sz w:val="16"/>
            </w:rPr>
          </w:pPr>
          <w:r>
            <w:fldChar w:fldCharType="begin"/>
          </w:r>
          <w:r>
            <w:instrText xml:space="preserve"> PAGE  \* MERGEFORMAT </w:instrText>
          </w:r>
          <w:r>
            <w:fldChar w:fldCharType="separate"/>
          </w:r>
          <w:r>
            <w:rPr>
              <w:noProof/>
            </w:rPr>
            <w:t>3</w:t>
          </w:r>
          <w:r>
            <w:fldChar w:fldCharType="end"/>
          </w:r>
        </w:p>
      </w:tc>
    </w:tr>
    <w:tr w:rsidR="00F84A6E" w:rsidRPr="007410E8" w:rsidTr="00F84A6E">
      <w:trPr>
        <w:jc w:val="center"/>
      </w:trPr>
      <w:tc>
        <w:tcPr>
          <w:tcW w:w="2604" w:type="pct"/>
          <w:shd w:val="clear" w:color="auto" w:fill="auto"/>
        </w:tcPr>
        <w:p w:rsidR="00F84A6E" w:rsidRPr="007410E8" w:rsidRDefault="00F84A6E" w:rsidP="0035025C">
          <w:pPr>
            <w:pStyle w:val="FooterText"/>
            <w:rPr>
              <w:sz w:val="16"/>
            </w:rPr>
          </w:pPr>
        </w:p>
      </w:tc>
      <w:tc>
        <w:tcPr>
          <w:tcW w:w="1319" w:type="pct"/>
          <w:shd w:val="clear" w:color="auto" w:fill="auto"/>
        </w:tcPr>
        <w:p w:rsidR="00F84A6E" w:rsidRPr="007410E8" w:rsidRDefault="00F84A6E" w:rsidP="0035025C">
          <w:pPr>
            <w:pStyle w:val="FooterText"/>
            <w:rPr>
              <w:sz w:val="16"/>
            </w:rPr>
          </w:pPr>
        </w:p>
      </w:tc>
      <w:tc>
        <w:tcPr>
          <w:tcW w:w="1077" w:type="pct"/>
          <w:shd w:val="clear" w:color="auto" w:fill="auto"/>
        </w:tcPr>
        <w:p w:rsidR="00F84A6E" w:rsidRPr="007410E8" w:rsidRDefault="00F84A6E" w:rsidP="0035025C">
          <w:pPr>
            <w:pStyle w:val="FooterText"/>
            <w:jc w:val="right"/>
            <w:rPr>
              <w:sz w:val="16"/>
            </w:rPr>
          </w:pPr>
          <w:r>
            <w:rPr>
              <w:b/>
              <w:position w:val="-4"/>
              <w:sz w:val="36"/>
            </w:rPr>
            <w:t>EN</w:t>
          </w:r>
        </w:p>
      </w:tc>
    </w:tr>
    <w:bookmarkEnd w:id="2"/>
  </w:tbl>
  <w:p w:rsidR="00926EAF" w:rsidRPr="00F84A6E" w:rsidRDefault="00926EAF" w:rsidP="00F84A6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84A6E" w:rsidRPr="009C2FB3" w:rsidTr="00F84A6E">
      <w:trPr>
        <w:jc w:val="center"/>
      </w:trPr>
      <w:tc>
        <w:tcPr>
          <w:tcW w:w="569" w:type="pct"/>
          <w:shd w:val="clear" w:color="auto" w:fill="auto"/>
        </w:tcPr>
        <w:p w:rsidR="00F84A6E" w:rsidRPr="009C2FB3" w:rsidRDefault="00F84A6E" w:rsidP="0035025C">
          <w:pPr>
            <w:pStyle w:val="FooterText"/>
          </w:pPr>
          <w:bookmarkStart w:id="3" w:name="FOOTER_PR_COVERPAGE"/>
        </w:p>
      </w:tc>
      <w:tc>
        <w:tcPr>
          <w:tcW w:w="3760" w:type="pct"/>
          <w:gridSpan w:val="3"/>
          <w:shd w:val="clear" w:color="auto" w:fill="auto"/>
          <w:noWrap/>
        </w:tcPr>
        <w:p w:rsidR="00F84A6E" w:rsidRPr="00F37CD6" w:rsidRDefault="00F84A6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F84A6E" w:rsidRPr="009C2FB3" w:rsidRDefault="00F84A6E" w:rsidP="0035025C">
          <w:pPr>
            <w:pStyle w:val="FooterText"/>
          </w:pPr>
        </w:p>
      </w:tc>
    </w:tr>
    <w:tr w:rsidR="00F84A6E" w:rsidRPr="007410E8" w:rsidTr="00F84A6E">
      <w:trPr>
        <w:jc w:val="center"/>
      </w:trPr>
      <w:tc>
        <w:tcPr>
          <w:tcW w:w="5000" w:type="pct"/>
          <w:gridSpan w:val="5"/>
          <w:shd w:val="clear" w:color="auto" w:fill="auto"/>
        </w:tcPr>
        <w:p w:rsidR="00F84A6E" w:rsidRPr="00827A78" w:rsidRDefault="00F84A6E" w:rsidP="0035025C">
          <w:pPr>
            <w:pStyle w:val="FooterAddressText"/>
          </w:pPr>
        </w:p>
        <w:p w:rsidR="00F84A6E" w:rsidRPr="007410E8" w:rsidRDefault="00F84A6E" w:rsidP="0035025C">
          <w:pPr>
            <w:pStyle w:val="FooterAddressText"/>
          </w:pPr>
          <w:r>
            <w:t xml:space="preserve">Rue de la </w:t>
          </w:r>
          <w:proofErr w:type="spellStart"/>
          <w:r>
            <w:t>Loi</w:t>
          </w:r>
          <w:proofErr w:type="spellEnd"/>
          <w:r>
            <w:t xml:space="preserve"> 175  B – 1048 BRUSSELS  Tel.: +32 (0)2 281 6319  Fax: +32 (0)2 281 8026</w:t>
          </w:r>
        </w:p>
      </w:tc>
    </w:tr>
    <w:tr w:rsidR="00F84A6E" w:rsidRPr="007410E8" w:rsidTr="00F84A6E">
      <w:trPr>
        <w:jc w:val="center"/>
      </w:trPr>
      <w:tc>
        <w:tcPr>
          <w:tcW w:w="5000" w:type="pct"/>
          <w:gridSpan w:val="5"/>
          <w:shd w:val="clear" w:color="auto" w:fill="auto"/>
        </w:tcPr>
        <w:p w:rsidR="00F84A6E" w:rsidRPr="007410E8" w:rsidRDefault="00F84A6E" w:rsidP="0035025C">
          <w:pPr>
            <w:pStyle w:val="FooterText"/>
            <w:jc w:val="center"/>
            <w:rPr>
              <w:sz w:val="20"/>
              <w:szCs w:val="20"/>
            </w:rPr>
          </w:pPr>
          <w:hyperlink r:id="rId1" w:history="1">
            <w:r w:rsidRPr="00F84A6E">
              <w:rPr>
                <w:rStyle w:val="Hyperlink"/>
                <w:sz w:val="20"/>
              </w:rPr>
              <w:t>press.office@consilium.europa.eu</w:t>
            </w:r>
          </w:hyperlink>
          <w:r w:rsidRPr="007410E8">
            <w:rPr>
              <w:sz w:val="20"/>
              <w:szCs w:val="20"/>
            </w:rPr>
            <w:t xml:space="preserve">  </w:t>
          </w:r>
          <w:hyperlink r:id="rId2" w:history="1">
            <w:r w:rsidRPr="00F84A6E">
              <w:rPr>
                <w:rStyle w:val="Hyperlink"/>
                <w:sz w:val="20"/>
              </w:rPr>
              <w:t>http://www.consilium.europa.eu/press</w:t>
            </w:r>
          </w:hyperlink>
        </w:p>
      </w:tc>
    </w:tr>
    <w:tr w:rsidR="00F84A6E" w:rsidRPr="007410E8" w:rsidTr="00F84A6E">
      <w:trPr>
        <w:jc w:val="center"/>
      </w:trPr>
      <w:tc>
        <w:tcPr>
          <w:tcW w:w="2604" w:type="pct"/>
          <w:gridSpan w:val="2"/>
          <w:shd w:val="clear" w:color="auto" w:fill="auto"/>
        </w:tcPr>
        <w:p w:rsidR="00F84A6E" w:rsidRPr="007410E8" w:rsidRDefault="00F84A6E" w:rsidP="0035025C">
          <w:pPr>
            <w:pStyle w:val="FooterText"/>
            <w:spacing w:before="60"/>
            <w:rPr>
              <w:sz w:val="16"/>
            </w:rPr>
          </w:pPr>
          <w:r>
            <w:t>13328/15</w:t>
          </w:r>
          <w:r w:rsidRPr="002511D8">
            <w:t xml:space="preserve"> </w:t>
          </w:r>
        </w:p>
      </w:tc>
      <w:tc>
        <w:tcPr>
          <w:tcW w:w="1319" w:type="pct"/>
          <w:shd w:val="clear" w:color="auto" w:fill="auto"/>
        </w:tcPr>
        <w:p w:rsidR="00F84A6E" w:rsidRPr="007410E8" w:rsidRDefault="00F84A6E" w:rsidP="0035025C">
          <w:pPr>
            <w:pStyle w:val="FooterText"/>
            <w:spacing w:before="120"/>
            <w:rPr>
              <w:sz w:val="16"/>
            </w:rPr>
          </w:pPr>
        </w:p>
      </w:tc>
      <w:tc>
        <w:tcPr>
          <w:tcW w:w="1077" w:type="pct"/>
          <w:gridSpan w:val="2"/>
          <w:shd w:val="clear" w:color="auto" w:fill="auto"/>
        </w:tcPr>
        <w:p w:rsidR="00F84A6E" w:rsidRPr="007410E8" w:rsidRDefault="00F84A6E"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F84A6E" w:rsidRPr="007410E8" w:rsidTr="00F84A6E">
      <w:trPr>
        <w:jc w:val="center"/>
      </w:trPr>
      <w:tc>
        <w:tcPr>
          <w:tcW w:w="2604" w:type="pct"/>
          <w:gridSpan w:val="2"/>
          <w:shd w:val="clear" w:color="auto" w:fill="auto"/>
        </w:tcPr>
        <w:p w:rsidR="00F84A6E" w:rsidRPr="007410E8" w:rsidRDefault="00F84A6E" w:rsidP="0035025C">
          <w:pPr>
            <w:pStyle w:val="FooterText"/>
            <w:rPr>
              <w:sz w:val="16"/>
            </w:rPr>
          </w:pPr>
        </w:p>
      </w:tc>
      <w:tc>
        <w:tcPr>
          <w:tcW w:w="1319" w:type="pct"/>
          <w:shd w:val="clear" w:color="auto" w:fill="auto"/>
        </w:tcPr>
        <w:p w:rsidR="00F84A6E" w:rsidRPr="007410E8" w:rsidRDefault="00F84A6E" w:rsidP="0035025C">
          <w:pPr>
            <w:pStyle w:val="FooterText"/>
            <w:rPr>
              <w:sz w:val="16"/>
            </w:rPr>
          </w:pPr>
        </w:p>
      </w:tc>
      <w:tc>
        <w:tcPr>
          <w:tcW w:w="1077" w:type="pct"/>
          <w:gridSpan w:val="2"/>
          <w:shd w:val="clear" w:color="auto" w:fill="auto"/>
        </w:tcPr>
        <w:p w:rsidR="00F84A6E" w:rsidRPr="007410E8" w:rsidRDefault="00F84A6E" w:rsidP="0035025C">
          <w:pPr>
            <w:pStyle w:val="FooterText"/>
            <w:jc w:val="right"/>
            <w:rPr>
              <w:sz w:val="16"/>
            </w:rPr>
          </w:pPr>
          <w:r>
            <w:rPr>
              <w:b/>
              <w:position w:val="-4"/>
              <w:sz w:val="36"/>
            </w:rPr>
            <w:t>EN</w:t>
          </w:r>
        </w:p>
      </w:tc>
    </w:tr>
    <w:bookmarkEnd w:id="3"/>
  </w:tbl>
  <w:p w:rsidR="00926EAF" w:rsidRPr="00F84A6E" w:rsidRDefault="00926EAF" w:rsidP="00F84A6E">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84A6E" w:rsidRPr="007410E8" w:rsidTr="00F84A6E">
      <w:trPr>
        <w:jc w:val="center"/>
      </w:trPr>
      <w:tc>
        <w:tcPr>
          <w:tcW w:w="5000" w:type="pct"/>
          <w:gridSpan w:val="3"/>
          <w:shd w:val="clear" w:color="auto" w:fill="auto"/>
        </w:tcPr>
        <w:p w:rsidR="00F84A6E" w:rsidRPr="007410E8" w:rsidRDefault="00F84A6E"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F84A6E" w:rsidRPr="007410E8" w:rsidRDefault="00F84A6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F84A6E" w:rsidRPr="007410E8" w:rsidRDefault="00F84A6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F84A6E" w:rsidRPr="007410E8" w:rsidRDefault="00F84A6E" w:rsidP="0035025C">
          <w:pPr>
            <w:pStyle w:val="FooterText"/>
            <w:tabs>
              <w:tab w:val="left" w:pos="285"/>
              <w:tab w:val="left" w:pos="585"/>
            </w:tabs>
            <w:rPr>
              <w:sz w:val="21"/>
              <w:szCs w:val="21"/>
            </w:rPr>
          </w:pPr>
        </w:p>
      </w:tc>
    </w:tr>
    <w:tr w:rsidR="00F84A6E" w:rsidRPr="007410E8" w:rsidTr="00F84A6E">
      <w:trPr>
        <w:jc w:val="center"/>
      </w:trPr>
      <w:tc>
        <w:tcPr>
          <w:tcW w:w="2604" w:type="pct"/>
          <w:shd w:val="clear" w:color="auto" w:fill="auto"/>
        </w:tcPr>
        <w:p w:rsidR="00F84A6E" w:rsidRPr="007410E8" w:rsidRDefault="00F84A6E" w:rsidP="0035025C">
          <w:pPr>
            <w:pStyle w:val="FooterText"/>
            <w:rPr>
              <w:sz w:val="16"/>
            </w:rPr>
          </w:pPr>
          <w:r>
            <w:t>13328/15</w:t>
          </w:r>
          <w:r w:rsidRPr="002511D8">
            <w:t xml:space="preserve"> </w:t>
          </w:r>
        </w:p>
      </w:tc>
      <w:tc>
        <w:tcPr>
          <w:tcW w:w="1319" w:type="pct"/>
          <w:shd w:val="clear" w:color="auto" w:fill="auto"/>
        </w:tcPr>
        <w:p w:rsidR="00F84A6E" w:rsidRPr="007410E8" w:rsidRDefault="00F84A6E" w:rsidP="0035025C">
          <w:pPr>
            <w:pStyle w:val="FooterText"/>
            <w:rPr>
              <w:sz w:val="16"/>
            </w:rPr>
          </w:pPr>
        </w:p>
      </w:tc>
      <w:tc>
        <w:tcPr>
          <w:tcW w:w="1077" w:type="pct"/>
          <w:shd w:val="clear" w:color="auto" w:fill="auto"/>
        </w:tcPr>
        <w:p w:rsidR="00F84A6E" w:rsidRPr="007410E8" w:rsidRDefault="00F84A6E"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F84A6E" w:rsidRPr="007410E8" w:rsidTr="00F84A6E">
      <w:trPr>
        <w:jc w:val="center"/>
      </w:trPr>
      <w:tc>
        <w:tcPr>
          <w:tcW w:w="2604" w:type="pct"/>
          <w:shd w:val="clear" w:color="auto" w:fill="auto"/>
        </w:tcPr>
        <w:p w:rsidR="00F84A6E" w:rsidRPr="007410E8" w:rsidRDefault="00F84A6E" w:rsidP="0035025C">
          <w:pPr>
            <w:pStyle w:val="FooterText"/>
            <w:rPr>
              <w:sz w:val="16"/>
            </w:rPr>
          </w:pPr>
        </w:p>
      </w:tc>
      <w:tc>
        <w:tcPr>
          <w:tcW w:w="1319" w:type="pct"/>
          <w:shd w:val="clear" w:color="auto" w:fill="auto"/>
        </w:tcPr>
        <w:p w:rsidR="00F84A6E" w:rsidRPr="007410E8" w:rsidRDefault="00F84A6E" w:rsidP="0035025C">
          <w:pPr>
            <w:pStyle w:val="FooterText"/>
            <w:rPr>
              <w:sz w:val="16"/>
            </w:rPr>
          </w:pPr>
        </w:p>
      </w:tc>
      <w:tc>
        <w:tcPr>
          <w:tcW w:w="1077" w:type="pct"/>
          <w:shd w:val="clear" w:color="auto" w:fill="auto"/>
        </w:tcPr>
        <w:p w:rsidR="00F84A6E" w:rsidRPr="007410E8" w:rsidRDefault="00F84A6E" w:rsidP="0035025C">
          <w:pPr>
            <w:pStyle w:val="FooterText"/>
            <w:jc w:val="right"/>
            <w:rPr>
              <w:sz w:val="16"/>
            </w:rPr>
          </w:pPr>
          <w:r>
            <w:rPr>
              <w:b/>
              <w:position w:val="-4"/>
              <w:sz w:val="36"/>
            </w:rPr>
            <w:t>EN</w:t>
          </w:r>
        </w:p>
      </w:tc>
    </w:tr>
    <w:bookmarkEnd w:id="5"/>
  </w:tbl>
  <w:p w:rsidR="000B14EB" w:rsidRPr="00F84A6E" w:rsidRDefault="000B14EB" w:rsidP="00F84A6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EB" w:rsidRDefault="000B14EB">
      <w:pPr>
        <w:spacing w:before="0" w:after="0"/>
      </w:pPr>
      <w:r>
        <w:separator/>
      </w:r>
    </w:p>
  </w:footnote>
  <w:footnote w:type="continuationSeparator" w:id="0">
    <w:p w:rsidR="000B14EB" w:rsidRDefault="000B14EB">
      <w:pPr>
        <w:spacing w:before="0" w:after="0"/>
      </w:pPr>
      <w:r>
        <w:continuationSeparator/>
      </w:r>
    </w:p>
  </w:footnote>
  <w:footnote w:id="1">
    <w:p w:rsidR="00440469" w:rsidRPr="004C35FA" w:rsidRDefault="00440469" w:rsidP="00440469">
      <w:pPr>
        <w:pStyle w:val="FootnoteText"/>
      </w:pPr>
      <w:r>
        <w:rPr>
          <w:rStyle w:val="FootnoteReference"/>
        </w:rPr>
        <w:t>*</w:t>
      </w:r>
      <w:r>
        <w:tab/>
      </w:r>
      <w:r>
        <w:rPr>
          <w:szCs w:val="24"/>
        </w:rPr>
        <w:t>A</w:t>
      </w:r>
      <w:r w:rsidRPr="004C35FA">
        <w:rPr>
          <w:szCs w:val="24"/>
        </w:rPr>
        <w:t xml:space="preserve"> negative % indicates a reduction in the TAC, a positive % indicates an increase in the TAC and 0 % indicates a roll-over of the TAC</w:t>
      </w:r>
    </w:p>
  </w:footnote>
  <w:footnote w:id="2">
    <w:p w:rsidR="00440469" w:rsidRPr="004C35FA" w:rsidRDefault="00440469" w:rsidP="00440469">
      <w:pPr>
        <w:pStyle w:val="FootnoteText"/>
      </w:pPr>
      <w:r>
        <w:rPr>
          <w:rStyle w:val="FootnoteReference"/>
        </w:rPr>
        <w:t>**</w:t>
      </w:r>
      <w:r>
        <w:tab/>
      </w:r>
      <w:r w:rsidR="004640DA">
        <w:t>T</w:t>
      </w:r>
      <w:r w:rsidRPr="004C35FA">
        <w:rPr>
          <w:szCs w:val="24"/>
        </w:rPr>
        <w:t>AC expressed as number of individuals</w:t>
      </w:r>
    </w:p>
  </w:footnote>
  <w:footnote w:id="3">
    <w:p w:rsidR="00B019FC" w:rsidRPr="005B4CD7" w:rsidRDefault="00B019FC" w:rsidP="00B019FC">
      <w:pPr>
        <w:pStyle w:val="FootnoteText"/>
        <w:rPr>
          <w:lang w:val="pl-PL"/>
        </w:rPr>
      </w:pPr>
      <w:r w:rsidRPr="00A734AF">
        <w:rPr>
          <w:rStyle w:val="FootnoteReference"/>
        </w:rPr>
        <w:footnoteRef/>
      </w:r>
      <w:r w:rsidRPr="005B4CD7">
        <w:rPr>
          <w:lang w:val="pl-PL"/>
        </w:rPr>
        <w:tab/>
        <w:t>OJ L 139, 30.4.2004, p. 206.</w:t>
      </w:r>
    </w:p>
  </w:footnote>
  <w:footnote w:id="4">
    <w:p w:rsidR="00B019FC" w:rsidRPr="005B4CD7" w:rsidRDefault="00B019FC" w:rsidP="00B019FC">
      <w:pPr>
        <w:pStyle w:val="FootnoteText"/>
        <w:rPr>
          <w:lang w:val="pl-PL"/>
        </w:rPr>
      </w:pPr>
      <w:r w:rsidRPr="00FD638E">
        <w:rPr>
          <w:rStyle w:val="FootnoteReference"/>
        </w:rPr>
        <w:footnoteRef/>
      </w:r>
      <w:r w:rsidRPr="005B4CD7">
        <w:rPr>
          <w:lang w:val="pl-PL"/>
        </w:rPr>
        <w:tab/>
        <w:t>OJ L 338, 22.12.2005, p. 1.</w:t>
      </w:r>
    </w:p>
  </w:footnote>
  <w:footnote w:id="5">
    <w:p w:rsidR="00B019FC" w:rsidRPr="005B4CD7" w:rsidRDefault="00B019FC" w:rsidP="00B019FC">
      <w:pPr>
        <w:pStyle w:val="FootnoteText"/>
        <w:rPr>
          <w:lang w:val="pl-PL"/>
        </w:rPr>
      </w:pPr>
      <w:r w:rsidRPr="00E91F8C">
        <w:rPr>
          <w:rStyle w:val="FootnoteReference"/>
        </w:rPr>
        <w:footnoteRef/>
      </w:r>
      <w:r w:rsidR="00AA7E63">
        <w:rPr>
          <w:lang w:val="pl-PL"/>
        </w:rPr>
        <w:tab/>
      </w:r>
      <w:r w:rsidRPr="005B4CD7">
        <w:rPr>
          <w:lang w:val="pl-PL"/>
        </w:rPr>
        <w:t>OJ L 070, 16.3.2005, p. 1.</w:t>
      </w:r>
    </w:p>
  </w:footnote>
  <w:footnote w:id="6">
    <w:p w:rsidR="00B019FC" w:rsidRDefault="00B019FC" w:rsidP="00B019FC">
      <w:pPr>
        <w:pStyle w:val="FootnoteText"/>
      </w:pPr>
      <w:r>
        <w:rPr>
          <w:rStyle w:val="FootnoteReference"/>
        </w:rPr>
        <w:footnoteRef/>
      </w:r>
      <w:r w:rsidR="00DC79F8">
        <w:tab/>
      </w:r>
      <w:r>
        <w:t>OJ L 268 18.10.2003, p. 29.</w:t>
      </w:r>
    </w:p>
  </w:footnote>
  <w:footnote w:id="7">
    <w:p w:rsidR="00B019FC" w:rsidRDefault="00B019FC" w:rsidP="00472D03">
      <w:pPr>
        <w:pStyle w:val="FootnoteText"/>
      </w:pPr>
      <w:r>
        <w:rPr>
          <w:rStyle w:val="FootnoteReference"/>
        </w:rPr>
        <w:footnoteRef/>
      </w:r>
      <w:r w:rsidR="00AA7E63">
        <w:tab/>
      </w:r>
      <w:r>
        <w:t>OJ L 354/2013, p. 22.</w:t>
      </w:r>
    </w:p>
  </w:footnote>
  <w:footnote w:id="8">
    <w:p w:rsidR="00472D03" w:rsidRDefault="00472D03">
      <w:pPr>
        <w:pStyle w:val="FootnoteText"/>
      </w:pPr>
      <w:r w:rsidRPr="00472D03">
        <w:rPr>
          <w:rStyle w:val="FootnoteReference"/>
        </w:rPr>
        <w:sym w:font="Symbol" w:char="F02A"/>
      </w:r>
      <w:r w:rsidR="00AA7E63">
        <w:tab/>
      </w:r>
      <w:r>
        <w:t>This designation is without prejudice to positions on status, and is in line with UNSCR 1244/99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6E" w:rsidRPr="00F84A6E" w:rsidRDefault="00F84A6E" w:rsidP="00F84A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6E" w:rsidRPr="00F84A6E" w:rsidRDefault="00F84A6E" w:rsidP="00F84A6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6E" w:rsidRPr="00F84A6E" w:rsidRDefault="00F84A6E" w:rsidP="00F84A6E">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84A6E" w:rsidRPr="007410E8" w:rsidTr="00F84A6E">
      <w:trPr>
        <w:jc w:val="center"/>
      </w:trPr>
      <w:tc>
        <w:tcPr>
          <w:tcW w:w="2500" w:type="pct"/>
          <w:shd w:val="clear" w:color="auto" w:fill="auto"/>
        </w:tcPr>
        <w:p w:rsidR="00F84A6E" w:rsidRPr="007410E8" w:rsidRDefault="00F84A6E" w:rsidP="0035025C">
          <w:pPr>
            <w:pStyle w:val="HeaderText"/>
            <w:rPr>
              <w:b/>
              <w:i/>
              <w:sz w:val="16"/>
              <w:u w:val="single"/>
            </w:rPr>
          </w:pPr>
          <w:bookmarkStart w:id="4" w:name="HEADER_PRMEET"/>
        </w:p>
      </w:tc>
      <w:tc>
        <w:tcPr>
          <w:tcW w:w="2500" w:type="pct"/>
          <w:shd w:val="clear" w:color="auto" w:fill="auto"/>
        </w:tcPr>
        <w:p w:rsidR="00F84A6E" w:rsidRPr="007410E8" w:rsidRDefault="00F84A6E" w:rsidP="00F84A6E">
          <w:pPr>
            <w:pStyle w:val="HeaderText"/>
            <w:jc w:val="right"/>
            <w:rPr>
              <w:sz w:val="16"/>
            </w:rPr>
          </w:pPr>
          <w:r w:rsidRPr="00F84A6E">
            <w:t>22 October 2015</w:t>
          </w:r>
        </w:p>
      </w:tc>
    </w:tr>
    <w:bookmarkEnd w:id="4"/>
  </w:tbl>
  <w:p w:rsidR="000B14EB" w:rsidRPr="00F84A6E" w:rsidRDefault="000B14EB" w:rsidP="00F84A6E">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84A6E" w:rsidRPr="007410E8" w:rsidTr="00F84A6E">
      <w:trPr>
        <w:jc w:val="center"/>
      </w:trPr>
      <w:tc>
        <w:tcPr>
          <w:tcW w:w="2500" w:type="pct"/>
          <w:shd w:val="clear" w:color="auto" w:fill="auto"/>
        </w:tcPr>
        <w:p w:rsidR="00F84A6E" w:rsidRPr="007410E8" w:rsidRDefault="00F84A6E" w:rsidP="0035025C">
          <w:pPr>
            <w:pStyle w:val="HeaderText"/>
            <w:rPr>
              <w:b/>
              <w:i/>
              <w:sz w:val="16"/>
              <w:u w:val="single"/>
            </w:rPr>
          </w:pPr>
        </w:p>
      </w:tc>
      <w:tc>
        <w:tcPr>
          <w:tcW w:w="2500" w:type="pct"/>
          <w:shd w:val="clear" w:color="auto" w:fill="auto"/>
        </w:tcPr>
        <w:p w:rsidR="00F84A6E" w:rsidRPr="007410E8" w:rsidRDefault="00F84A6E" w:rsidP="00F84A6E">
          <w:pPr>
            <w:pStyle w:val="HeaderText"/>
            <w:jc w:val="right"/>
            <w:rPr>
              <w:sz w:val="16"/>
            </w:rPr>
          </w:pPr>
          <w:r w:rsidRPr="00F84A6E">
            <w:t>22 October 2015</w:t>
          </w:r>
        </w:p>
      </w:tc>
    </w:tr>
  </w:tbl>
  <w:p w:rsidR="000B14EB" w:rsidRPr="00F84A6E" w:rsidRDefault="000B14EB" w:rsidP="00F84A6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1CC2A8F"/>
    <w:multiLevelType w:val="hybridMultilevel"/>
    <w:tmpl w:val="E6BA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13"/>
  </w:num>
  <w:num w:numId="3">
    <w:abstractNumId w:val="9"/>
    <w:lvlOverride w:ilvl="0">
      <w:startOverride w:val="1"/>
    </w:lvlOverride>
  </w:num>
  <w:num w:numId="4">
    <w:abstractNumId w:val="4"/>
  </w:num>
  <w:num w:numId="5">
    <w:abstractNumId w:val="12"/>
  </w:num>
  <w:num w:numId="6">
    <w:abstractNumId w:val="6"/>
  </w:num>
  <w:num w:numId="7">
    <w:abstractNumId w:val="5"/>
  </w:num>
  <w:num w:numId="8">
    <w:abstractNumId w:val="1"/>
  </w:num>
  <w:num w:numId="9">
    <w:abstractNumId w:val="14"/>
  </w:num>
  <w:num w:numId="10">
    <w:abstractNumId w:val="2"/>
  </w:num>
  <w:num w:numId="11">
    <w:abstractNumId w:val="3"/>
  </w:num>
  <w:num w:numId="12">
    <w:abstractNumId w:val="11"/>
  </w:num>
  <w:num w:numId="13">
    <w:abstractNumId w:val="8"/>
  </w:num>
  <w:num w:numId="14">
    <w:abstractNumId w:val="0"/>
  </w:num>
  <w:num w:numId="15">
    <w:abstractNumId w:val="15"/>
  </w:num>
  <w:num w:numId="16">
    <w:abstractNumId w:val="10"/>
  </w:num>
  <w:num w:numId="17">
    <w:abstractNumId w:val="9"/>
  </w:num>
  <w:num w:numId="18">
    <w:abstractNumId w:val="7"/>
  </w:num>
  <w:num w:numId="19">
    <w:abstractNumId w:val="7"/>
    <w:lvlOverride w:ilvl="0">
      <w:startOverride w:val="1"/>
    </w:lvlOverride>
  </w:num>
  <w:num w:numId="20">
    <w:abstractNumId w:val="4"/>
  </w:num>
  <w:num w:numId="21">
    <w:abstractNumId w:val="12"/>
  </w:num>
  <w:num w:numId="22">
    <w:abstractNumId w:val="6"/>
  </w:num>
  <w:num w:numId="23">
    <w:abstractNumId w:val="5"/>
  </w:num>
  <w:num w:numId="24">
    <w:abstractNumId w:val="1"/>
  </w:num>
  <w:num w:numId="25">
    <w:abstractNumId w:val="14"/>
  </w:num>
  <w:num w:numId="26">
    <w:abstractNumId w:val="2"/>
  </w:num>
  <w:num w:numId="27">
    <w:abstractNumId w:val="3"/>
  </w:num>
  <w:num w:numId="28">
    <w:abstractNumId w:val="11"/>
  </w:num>
  <w:num w:numId="29">
    <w:abstractNumId w:val="8"/>
  </w:num>
  <w:num w:numId="30">
    <w:abstractNumId w:val="0"/>
  </w:num>
  <w:num w:numId="31">
    <w:abstractNumId w:val="15"/>
  </w:num>
  <w:num w:numId="32">
    <w:abstractNumId w:val="10"/>
  </w:num>
  <w:num w:numId="33">
    <w:abstractNumId w:val="9"/>
  </w:num>
  <w:num w:numId="34">
    <w:abstractNumId w:val="7"/>
  </w:num>
  <w:num w:numId="35">
    <w:abstractNumId w:val="7"/>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e41d78c1-7054-44ea-b4ed-df7f9d8e60d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32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2&lt;/text&gt;_x000d__x000a_      &lt;text&gt;PR CO 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 Viticulture and Consumer Protection&quot; name=&quot;Fernand Etgen&quot; text=&quot;Fernand Etgen, Minister for Agriculture, Viticulture and Consumer Protection&quot; genderKeyBds=&quot;gend_01&quot; /&gt;_x000d__x000a_    &lt;/presidents&gt;_x000d__x000a_  &lt;/metadata&gt;_x000d__x000a_  &lt;metadata key=&quot;md_MeetingNumber&quot;&gt;_x000d__x000a_    &lt;text&gt;3418&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22&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0B14EB"/>
    <w:rsid w:val="0002653A"/>
    <w:rsid w:val="00035E1C"/>
    <w:rsid w:val="000A63B0"/>
    <w:rsid w:val="000B14EB"/>
    <w:rsid w:val="000D29C5"/>
    <w:rsid w:val="00124FF7"/>
    <w:rsid w:val="001E3A78"/>
    <w:rsid w:val="00213944"/>
    <w:rsid w:val="00216EB4"/>
    <w:rsid w:val="00252600"/>
    <w:rsid w:val="002B07F1"/>
    <w:rsid w:val="002F0F19"/>
    <w:rsid w:val="003237A2"/>
    <w:rsid w:val="003946C8"/>
    <w:rsid w:val="003E316B"/>
    <w:rsid w:val="003F1DFE"/>
    <w:rsid w:val="00440469"/>
    <w:rsid w:val="004640DA"/>
    <w:rsid w:val="00472D03"/>
    <w:rsid w:val="004B56CD"/>
    <w:rsid w:val="004E59E1"/>
    <w:rsid w:val="00500EEF"/>
    <w:rsid w:val="00502C5A"/>
    <w:rsid w:val="0051701B"/>
    <w:rsid w:val="00537A78"/>
    <w:rsid w:val="00546259"/>
    <w:rsid w:val="005A4CF6"/>
    <w:rsid w:val="005B4CD7"/>
    <w:rsid w:val="006A56D8"/>
    <w:rsid w:val="006C6135"/>
    <w:rsid w:val="006D661D"/>
    <w:rsid w:val="006E2F9D"/>
    <w:rsid w:val="006F4E9F"/>
    <w:rsid w:val="00761A0E"/>
    <w:rsid w:val="007B2F77"/>
    <w:rsid w:val="007E4032"/>
    <w:rsid w:val="007E5DAF"/>
    <w:rsid w:val="008774FD"/>
    <w:rsid w:val="00895676"/>
    <w:rsid w:val="008D7294"/>
    <w:rsid w:val="00926EAF"/>
    <w:rsid w:val="00940002"/>
    <w:rsid w:val="009D2ECD"/>
    <w:rsid w:val="009F3FED"/>
    <w:rsid w:val="00A33747"/>
    <w:rsid w:val="00A36655"/>
    <w:rsid w:val="00A67613"/>
    <w:rsid w:val="00A76CDC"/>
    <w:rsid w:val="00AA7E63"/>
    <w:rsid w:val="00B019FC"/>
    <w:rsid w:val="00B03546"/>
    <w:rsid w:val="00B34272"/>
    <w:rsid w:val="00B375BE"/>
    <w:rsid w:val="00B62866"/>
    <w:rsid w:val="00BD2A4A"/>
    <w:rsid w:val="00BD54A3"/>
    <w:rsid w:val="00BE2CA6"/>
    <w:rsid w:val="00C57AAC"/>
    <w:rsid w:val="00CA0D26"/>
    <w:rsid w:val="00CE66A6"/>
    <w:rsid w:val="00D45C7C"/>
    <w:rsid w:val="00D74B7A"/>
    <w:rsid w:val="00DC38D9"/>
    <w:rsid w:val="00DC79F8"/>
    <w:rsid w:val="00DD3DF2"/>
    <w:rsid w:val="00E02097"/>
    <w:rsid w:val="00E737DC"/>
    <w:rsid w:val="00EA1EB4"/>
    <w:rsid w:val="00EC3A0C"/>
    <w:rsid w:val="00F128D3"/>
    <w:rsid w:val="00F84A6E"/>
    <w:rsid w:val="00FC7382"/>
    <w:rsid w:val="00FE52F7"/>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B14EB"/>
    <w:pPr>
      <w:spacing w:before="0" w:after="440"/>
      <w:ind w:left="-1134" w:right="-1134"/>
    </w:pPr>
    <w:rPr>
      <w:sz w:val="2"/>
    </w:rPr>
  </w:style>
  <w:style w:type="character" w:customStyle="1" w:styleId="TechnicalBlockChar">
    <w:name w:val="Technical Block Char"/>
    <w:basedOn w:val="DefaultParagraphFont"/>
    <w:rsid w:val="000B14EB"/>
    <w:rPr>
      <w:sz w:val="24"/>
      <w:szCs w:val="24"/>
      <w:lang w:val="en-GB" w:eastAsia="en-US"/>
    </w:rPr>
  </w:style>
  <w:style w:type="character" w:customStyle="1" w:styleId="HeaderCouncilLargeChar">
    <w:name w:val="Header Council Large Char"/>
    <w:basedOn w:val="TechnicalBlockChar"/>
    <w:link w:val="HeaderCouncilLarge"/>
    <w:rsid w:val="000B14EB"/>
    <w:rPr>
      <w:sz w:val="2"/>
      <w:szCs w:val="24"/>
      <w:lang w:val="en-GB" w:eastAsia="en-US"/>
    </w:rPr>
  </w:style>
  <w:style w:type="paragraph" w:customStyle="1" w:styleId="FooterText">
    <w:name w:val="Footer Text"/>
    <w:basedOn w:val="Normal"/>
    <w:rsid w:val="000B14EB"/>
    <w:pPr>
      <w:spacing w:before="0" w:after="0"/>
    </w:pPr>
  </w:style>
  <w:style w:type="paragraph" w:customStyle="1" w:styleId="FooterAddressText">
    <w:name w:val="Footer Address Text"/>
    <w:basedOn w:val="FooterText"/>
    <w:qFormat/>
    <w:rsid w:val="000B14EB"/>
    <w:pPr>
      <w:jc w:val="center"/>
    </w:pPr>
    <w:rPr>
      <w:spacing w:val="10"/>
      <w:sz w:val="16"/>
      <w:szCs w:val="16"/>
    </w:rPr>
  </w:style>
  <w:style w:type="character" w:styleId="Hyperlink">
    <w:name w:val="Hyperlink"/>
    <w:basedOn w:val="DefaultParagraphFont"/>
    <w:uiPriority w:val="99"/>
    <w:unhideWhenUsed/>
    <w:qFormat/>
    <w:rsid w:val="000B14EB"/>
    <w:rPr>
      <w:color w:val="0000FF" w:themeColor="hyperlink"/>
      <w:u w:val="single"/>
    </w:rPr>
  </w:style>
  <w:style w:type="paragraph" w:customStyle="1" w:styleId="HeaderText">
    <w:name w:val="Header Text"/>
    <w:basedOn w:val="Normal"/>
    <w:rsid w:val="000B14EB"/>
    <w:pPr>
      <w:spacing w:before="0" w:after="0"/>
    </w:pPr>
  </w:style>
  <w:style w:type="paragraph" w:customStyle="1" w:styleId="CharCharCharCharChar1CharCharChar">
    <w:name w:val="Char Char Char Char Char1 Char Char Char"/>
    <w:basedOn w:val="Normal"/>
    <w:rsid w:val="00B019FC"/>
    <w:pPr>
      <w:spacing w:before="0" w:after="160" w:line="240" w:lineRule="exact"/>
    </w:pPr>
    <w:rPr>
      <w:rFonts w:ascii="Tahoma" w:hAnsi="Tahoma"/>
      <w:sz w:val="20"/>
      <w:szCs w:val="20"/>
      <w:lang w:val="en-US"/>
    </w:rPr>
  </w:style>
  <w:style w:type="character" w:customStyle="1" w:styleId="FootnoteTextChar">
    <w:name w:val="Footnote Text Char"/>
    <w:uiPriority w:val="99"/>
    <w:rsid w:val="00B019FC"/>
    <w:rPr>
      <w:sz w:val="24"/>
      <w:lang w:val="en-GB" w:eastAsia="en-US"/>
    </w:rPr>
  </w:style>
  <w:style w:type="paragraph" w:customStyle="1" w:styleId="CharChar1CharCharCharCharCharCharCharCharCharCharCharCharChar">
    <w:name w:val="Char Char1 Char Char Char Char Char Char Char Char Char Char Char Char Char"/>
    <w:basedOn w:val="Normal"/>
    <w:rsid w:val="00B019FC"/>
    <w:pPr>
      <w:spacing w:before="0" w:after="160" w:line="240" w:lineRule="exact"/>
    </w:pPr>
    <w:rPr>
      <w:rFonts w:ascii="Verdana" w:hAnsi="Verdana"/>
      <w:sz w:val="20"/>
      <w:szCs w:val="20"/>
      <w:lang w:val="en-US"/>
    </w:rPr>
  </w:style>
  <w:style w:type="character" w:customStyle="1" w:styleId="PointManualChar">
    <w:name w:val="Point Manual Char"/>
    <w:link w:val="PointManual"/>
    <w:locked/>
    <w:rsid w:val="00B019FC"/>
  </w:style>
  <w:style w:type="paragraph" w:customStyle="1" w:styleId="PointManual">
    <w:name w:val="Point Manual"/>
    <w:basedOn w:val="Normal"/>
    <w:link w:val="PointManualChar"/>
    <w:rsid w:val="00B019FC"/>
    <w:pPr>
      <w:spacing w:before="200" w:after="0"/>
      <w:ind w:left="567" w:hanging="567"/>
    </w:pPr>
    <w:rPr>
      <w:sz w:val="20"/>
      <w:szCs w:val="20"/>
      <w:lang w:val="de-DE" w:eastAsia="de-DE"/>
    </w:rPr>
  </w:style>
  <w:style w:type="character" w:styleId="CommentReference">
    <w:name w:val="annotation reference"/>
    <w:basedOn w:val="DefaultParagraphFont"/>
    <w:uiPriority w:val="99"/>
    <w:semiHidden/>
    <w:unhideWhenUsed/>
    <w:rsid w:val="00AA7E63"/>
    <w:rPr>
      <w:sz w:val="16"/>
      <w:szCs w:val="16"/>
    </w:rPr>
  </w:style>
  <w:style w:type="paragraph" w:styleId="CommentText">
    <w:name w:val="annotation text"/>
    <w:basedOn w:val="Normal"/>
    <w:link w:val="CommentTextChar"/>
    <w:uiPriority w:val="99"/>
    <w:semiHidden/>
    <w:unhideWhenUsed/>
    <w:rsid w:val="00AA7E63"/>
    <w:rPr>
      <w:sz w:val="20"/>
      <w:szCs w:val="20"/>
    </w:rPr>
  </w:style>
  <w:style w:type="character" w:customStyle="1" w:styleId="CommentTextChar">
    <w:name w:val="Comment Text Char"/>
    <w:basedOn w:val="DefaultParagraphFont"/>
    <w:link w:val="CommentText"/>
    <w:uiPriority w:val="99"/>
    <w:semiHidden/>
    <w:rsid w:val="00AA7E63"/>
    <w:rPr>
      <w:lang w:val="en-GB" w:eastAsia="en-US"/>
    </w:rPr>
  </w:style>
  <w:style w:type="paragraph" w:styleId="CommentSubject">
    <w:name w:val="annotation subject"/>
    <w:basedOn w:val="CommentText"/>
    <w:next w:val="CommentText"/>
    <w:link w:val="CommentSubjectChar"/>
    <w:uiPriority w:val="99"/>
    <w:semiHidden/>
    <w:unhideWhenUsed/>
    <w:rsid w:val="00AA7E63"/>
    <w:rPr>
      <w:b/>
      <w:bCs/>
    </w:rPr>
  </w:style>
  <w:style w:type="character" w:customStyle="1" w:styleId="CommentSubjectChar">
    <w:name w:val="Comment Subject Char"/>
    <w:basedOn w:val="CommentTextChar"/>
    <w:link w:val="CommentSubject"/>
    <w:uiPriority w:val="99"/>
    <w:semiHidden/>
    <w:rsid w:val="00AA7E63"/>
    <w:rPr>
      <w:b/>
      <w:bCs/>
      <w:lang w:val="en-GB" w:eastAsia="en-US"/>
    </w:rPr>
  </w:style>
  <w:style w:type="paragraph" w:styleId="BalloonText">
    <w:name w:val="Balloon Text"/>
    <w:basedOn w:val="Normal"/>
    <w:link w:val="BalloonTextChar"/>
    <w:uiPriority w:val="99"/>
    <w:semiHidden/>
    <w:unhideWhenUsed/>
    <w:rsid w:val="00AA7E6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E6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B14EB"/>
    <w:pPr>
      <w:spacing w:before="0" w:after="440"/>
      <w:ind w:left="-1134" w:right="-1134"/>
    </w:pPr>
    <w:rPr>
      <w:sz w:val="2"/>
    </w:rPr>
  </w:style>
  <w:style w:type="character" w:customStyle="1" w:styleId="TechnicalBlockChar">
    <w:name w:val="Technical Block Char"/>
    <w:basedOn w:val="DefaultParagraphFont"/>
    <w:rsid w:val="000B14EB"/>
    <w:rPr>
      <w:sz w:val="24"/>
      <w:szCs w:val="24"/>
      <w:lang w:val="en-GB" w:eastAsia="en-US"/>
    </w:rPr>
  </w:style>
  <w:style w:type="character" w:customStyle="1" w:styleId="HeaderCouncilLargeChar">
    <w:name w:val="Header Council Large Char"/>
    <w:basedOn w:val="TechnicalBlockChar"/>
    <w:link w:val="HeaderCouncilLarge"/>
    <w:rsid w:val="000B14EB"/>
    <w:rPr>
      <w:sz w:val="2"/>
      <w:szCs w:val="24"/>
      <w:lang w:val="en-GB" w:eastAsia="en-US"/>
    </w:rPr>
  </w:style>
  <w:style w:type="paragraph" w:customStyle="1" w:styleId="FooterText">
    <w:name w:val="Footer Text"/>
    <w:basedOn w:val="Normal"/>
    <w:rsid w:val="000B14EB"/>
    <w:pPr>
      <w:spacing w:before="0" w:after="0"/>
    </w:pPr>
  </w:style>
  <w:style w:type="paragraph" w:customStyle="1" w:styleId="FooterAddressText">
    <w:name w:val="Footer Address Text"/>
    <w:basedOn w:val="FooterText"/>
    <w:qFormat/>
    <w:rsid w:val="000B14EB"/>
    <w:pPr>
      <w:jc w:val="center"/>
    </w:pPr>
    <w:rPr>
      <w:spacing w:val="10"/>
      <w:sz w:val="16"/>
      <w:szCs w:val="16"/>
    </w:rPr>
  </w:style>
  <w:style w:type="character" w:styleId="Hyperlink">
    <w:name w:val="Hyperlink"/>
    <w:basedOn w:val="DefaultParagraphFont"/>
    <w:uiPriority w:val="99"/>
    <w:unhideWhenUsed/>
    <w:qFormat/>
    <w:rsid w:val="000B14EB"/>
    <w:rPr>
      <w:color w:val="0000FF" w:themeColor="hyperlink"/>
      <w:u w:val="single"/>
    </w:rPr>
  </w:style>
  <w:style w:type="paragraph" w:customStyle="1" w:styleId="HeaderText">
    <w:name w:val="Header Text"/>
    <w:basedOn w:val="Normal"/>
    <w:rsid w:val="000B14EB"/>
    <w:pPr>
      <w:spacing w:before="0" w:after="0"/>
    </w:pPr>
  </w:style>
  <w:style w:type="paragraph" w:customStyle="1" w:styleId="CharCharCharCharChar1CharCharChar">
    <w:name w:val="Char Char Char Char Char1 Char Char Char"/>
    <w:basedOn w:val="Normal"/>
    <w:rsid w:val="00B019FC"/>
    <w:pPr>
      <w:spacing w:before="0" w:after="160" w:line="240" w:lineRule="exact"/>
    </w:pPr>
    <w:rPr>
      <w:rFonts w:ascii="Tahoma" w:hAnsi="Tahoma"/>
      <w:sz w:val="20"/>
      <w:szCs w:val="20"/>
      <w:lang w:val="en-US"/>
    </w:rPr>
  </w:style>
  <w:style w:type="character" w:customStyle="1" w:styleId="FootnoteTextChar">
    <w:name w:val="Footnote Text Char"/>
    <w:uiPriority w:val="99"/>
    <w:rsid w:val="00B019FC"/>
    <w:rPr>
      <w:sz w:val="24"/>
      <w:lang w:val="en-GB" w:eastAsia="en-US"/>
    </w:rPr>
  </w:style>
  <w:style w:type="paragraph" w:customStyle="1" w:styleId="CharChar1CharCharCharCharCharCharCharCharCharCharCharCharChar">
    <w:name w:val="Char Char1 Char Char Char Char Char Char Char Char Char Char Char Char Char"/>
    <w:basedOn w:val="Normal"/>
    <w:rsid w:val="00B019FC"/>
    <w:pPr>
      <w:spacing w:before="0" w:after="160" w:line="240" w:lineRule="exact"/>
    </w:pPr>
    <w:rPr>
      <w:rFonts w:ascii="Verdana" w:hAnsi="Verdana"/>
      <w:sz w:val="20"/>
      <w:szCs w:val="20"/>
      <w:lang w:val="en-US"/>
    </w:rPr>
  </w:style>
  <w:style w:type="character" w:customStyle="1" w:styleId="PointManualChar">
    <w:name w:val="Point Manual Char"/>
    <w:link w:val="PointManual"/>
    <w:locked/>
    <w:rsid w:val="00B019FC"/>
  </w:style>
  <w:style w:type="paragraph" w:customStyle="1" w:styleId="PointManual">
    <w:name w:val="Point Manual"/>
    <w:basedOn w:val="Normal"/>
    <w:link w:val="PointManualChar"/>
    <w:rsid w:val="00B019FC"/>
    <w:pPr>
      <w:spacing w:before="200" w:after="0"/>
      <w:ind w:left="567" w:hanging="567"/>
    </w:pPr>
    <w:rPr>
      <w:sz w:val="20"/>
      <w:szCs w:val="20"/>
      <w:lang w:val="de-DE" w:eastAsia="de-DE"/>
    </w:rPr>
  </w:style>
  <w:style w:type="character" w:styleId="CommentReference">
    <w:name w:val="annotation reference"/>
    <w:basedOn w:val="DefaultParagraphFont"/>
    <w:uiPriority w:val="99"/>
    <w:semiHidden/>
    <w:unhideWhenUsed/>
    <w:rsid w:val="00AA7E63"/>
    <w:rPr>
      <w:sz w:val="16"/>
      <w:szCs w:val="16"/>
    </w:rPr>
  </w:style>
  <w:style w:type="paragraph" w:styleId="CommentText">
    <w:name w:val="annotation text"/>
    <w:basedOn w:val="Normal"/>
    <w:link w:val="CommentTextChar"/>
    <w:uiPriority w:val="99"/>
    <w:semiHidden/>
    <w:unhideWhenUsed/>
    <w:rsid w:val="00AA7E63"/>
    <w:rPr>
      <w:sz w:val="20"/>
      <w:szCs w:val="20"/>
    </w:rPr>
  </w:style>
  <w:style w:type="character" w:customStyle="1" w:styleId="CommentTextChar">
    <w:name w:val="Comment Text Char"/>
    <w:basedOn w:val="DefaultParagraphFont"/>
    <w:link w:val="CommentText"/>
    <w:uiPriority w:val="99"/>
    <w:semiHidden/>
    <w:rsid w:val="00AA7E63"/>
    <w:rPr>
      <w:lang w:val="en-GB" w:eastAsia="en-US"/>
    </w:rPr>
  </w:style>
  <w:style w:type="paragraph" w:styleId="CommentSubject">
    <w:name w:val="annotation subject"/>
    <w:basedOn w:val="CommentText"/>
    <w:next w:val="CommentText"/>
    <w:link w:val="CommentSubjectChar"/>
    <w:uiPriority w:val="99"/>
    <w:semiHidden/>
    <w:unhideWhenUsed/>
    <w:rsid w:val="00AA7E63"/>
    <w:rPr>
      <w:b/>
      <w:bCs/>
    </w:rPr>
  </w:style>
  <w:style w:type="character" w:customStyle="1" w:styleId="CommentSubjectChar">
    <w:name w:val="Comment Subject Char"/>
    <w:basedOn w:val="CommentTextChar"/>
    <w:link w:val="CommentSubject"/>
    <w:uiPriority w:val="99"/>
    <w:semiHidden/>
    <w:rsid w:val="00AA7E63"/>
    <w:rPr>
      <w:b/>
      <w:bCs/>
      <w:lang w:val="en-GB" w:eastAsia="en-US"/>
    </w:rPr>
  </w:style>
  <w:style w:type="paragraph" w:styleId="BalloonText">
    <w:name w:val="Balloon Text"/>
    <w:basedOn w:val="Normal"/>
    <w:link w:val="BalloonTextChar"/>
    <w:uiPriority w:val="99"/>
    <w:semiHidden/>
    <w:unhideWhenUsed/>
    <w:rsid w:val="00AA7E6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E6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26374">
      <w:bodyDiv w:val="1"/>
      <w:marLeft w:val="0"/>
      <w:marRight w:val="0"/>
      <w:marTop w:val="0"/>
      <w:marBottom w:val="0"/>
      <w:divBdr>
        <w:top w:val="none" w:sz="0" w:space="0" w:color="auto"/>
        <w:left w:val="none" w:sz="0" w:space="0" w:color="auto"/>
        <w:bottom w:val="none" w:sz="0" w:space="0" w:color="auto"/>
        <w:right w:val="none" w:sz="0" w:space="0" w:color="auto"/>
      </w:divBdr>
    </w:div>
    <w:div w:id="205222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11892-2015-INIT/en/pdf" TargetMode="External"/><Relationship Id="rId3" Type="http://schemas.openxmlformats.org/officeDocument/2006/relationships/styles" Target="styles.xml"/><Relationship Id="rId21" Type="http://schemas.openxmlformats.org/officeDocument/2006/relationships/hyperlink" Target="http://data.consilium.europa.eu/doc/document/ST-12600-2015-REV-1/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11584-2015-INIT/en/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2769-2015-INIT/en/pdf" TargetMode="External"/><Relationship Id="rId29" Type="http://schemas.openxmlformats.org/officeDocument/2006/relationships/hyperlink" Target="http://data.consilium.europa.eu/doc/document/PE-43-2015-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2914-2015-INIT/en/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13179-2015-INIT/en/pdf" TargetMode="External"/><Relationship Id="rId28" Type="http://schemas.openxmlformats.org/officeDocument/2006/relationships/hyperlink" Target="http://data.consilium.europa.eu/doc/document/ST-11580-2015-INIT/en/pdf" TargetMode="External"/><Relationship Id="rId10" Type="http://schemas.openxmlformats.org/officeDocument/2006/relationships/header" Target="header1.xml"/><Relationship Id="rId19" Type="http://schemas.openxmlformats.org/officeDocument/2006/relationships/hyperlink" Target="http://data.consilium.europa.eu/doc/document/ST-12693-2015-INIT/en/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12933-2015-INIT/en/pdf" TargetMode="External"/><Relationship Id="rId27" Type="http://schemas.openxmlformats.org/officeDocument/2006/relationships/hyperlink" Target="http://data.consilium.europa.eu/doc/document/ST-11820-2015-INIT/en/pdf" TargetMode="External"/><Relationship Id="rId30" Type="http://schemas.openxmlformats.org/officeDocument/2006/relationships/hyperlink" Target="http://data.consilium.europa.eu/doc/document/ST-12626-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4A9D-708C-4770-A6A2-3D36DA73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4</TotalTime>
  <Pages>14</Pages>
  <Words>3894</Words>
  <Characters>21811</Characters>
  <Application>Microsoft Office Word</Application>
  <DocSecurity>0</DocSecurity>
  <Lines>519</Lines>
  <Paragraphs>292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NEIRA Julia</cp:lastModifiedBy>
  <cp:revision>5</cp:revision>
  <cp:lastPrinted>2015-12-02T14:12:00Z</cp:lastPrinted>
  <dcterms:created xsi:type="dcterms:W3CDTF">2015-12-02T13:49:00Z</dcterms:created>
  <dcterms:modified xsi:type="dcterms:W3CDTF">2015-12-02T14:13:00Z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p.6</vt:lpwstr>
  </property>
</Properties>
</file>