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66" w:rsidRPr="00BB2DCC" w:rsidRDefault="00656C36" w:rsidP="0035040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b8c143-4480-4317-b247-7c1df2863d7d_0" style="width:569pt;height:490pt">
            <v:imagedata r:id="rId9" o:title=""/>
          </v:shape>
        </w:pict>
      </w:r>
      <w:bookmarkEnd w:id="0"/>
    </w:p>
    <w:p w:rsidR="009809AA" w:rsidRPr="00BB2DCC" w:rsidRDefault="00C03ADB" w:rsidP="00331E9B">
      <w:pPr>
        <w:pStyle w:val="HeadingCentered"/>
        <w:spacing w:before="240"/>
      </w:pPr>
      <w:r w:rsidRPr="00BB2DCC">
        <w:t>VERSION RÉVISÉE N° 2</w:t>
      </w:r>
      <w:r w:rsidR="009809AA" w:rsidRPr="00BB2DCC">
        <w:t xml:space="preserve"> DE L'ORDRE DU JOUR PROVISOIRE</w:t>
      </w:r>
    </w:p>
    <w:p w:rsidR="0072560D" w:rsidRPr="00BB2DCC" w:rsidRDefault="0072560D" w:rsidP="0072560D">
      <w:pPr>
        <w:pStyle w:val="HeadingLeft"/>
        <w:rPr>
          <w:lang w:eastAsia="fr-BE"/>
        </w:rPr>
      </w:pPr>
      <w:r w:rsidRPr="00BB2DCC">
        <w:rPr>
          <w:u w:val="none"/>
          <w:lang w:eastAsia="fr-BE"/>
        </w:rPr>
        <w:t>A.</w:t>
      </w:r>
      <w:r w:rsidRPr="00BB2DCC">
        <w:rPr>
          <w:u w:val="none"/>
          <w:lang w:eastAsia="fr-BE"/>
        </w:rPr>
        <w:tab/>
      </w:r>
      <w:r w:rsidR="000B622A" w:rsidRPr="00BB2DCC">
        <w:rPr>
          <w:lang w:eastAsia="fr-BE"/>
        </w:rPr>
        <w:t>JEUDI 8 OCTOBRE 2015 (09:3</w:t>
      </w:r>
      <w:r w:rsidRPr="00BB2DCC">
        <w:rPr>
          <w:lang w:eastAsia="fr-BE"/>
        </w:rPr>
        <w:t>0)</w:t>
      </w:r>
    </w:p>
    <w:p w:rsidR="0072560D" w:rsidRPr="00BB2DCC" w:rsidRDefault="0072560D" w:rsidP="0072560D">
      <w:pPr>
        <w:pStyle w:val="HeadingLeft"/>
        <w:spacing w:before="240"/>
      </w:pPr>
      <w:r w:rsidRPr="00BB2DCC">
        <w:t>AFFAIRES INTÉRIEURES</w:t>
      </w:r>
    </w:p>
    <w:p w:rsidR="0072560D" w:rsidRPr="00BB2DCC" w:rsidRDefault="0072560D" w:rsidP="0072560D">
      <w:pPr>
        <w:pStyle w:val="PointManual"/>
        <w:spacing w:before="360"/>
      </w:pPr>
      <w:r w:rsidRPr="00BB2DCC">
        <w:t>-</w:t>
      </w:r>
      <w:r w:rsidRPr="00BB2DCC">
        <w:tab/>
        <w:t>Adoption de l'ordre du jour</w:t>
      </w:r>
      <w:r w:rsidR="006A4740" w:rsidRPr="00BB2DCC">
        <w:t xml:space="preserve"> provisoire</w:t>
      </w:r>
    </w:p>
    <w:p w:rsidR="009809AA" w:rsidRPr="00BB2DCC" w:rsidRDefault="00887EB4" w:rsidP="009809AA">
      <w:pPr>
        <w:pStyle w:val="Text3"/>
      </w:pPr>
      <w:r w:rsidRPr="00BB2DCC">
        <w:t>12631/15 OJ/CONS 52 JAI 714 COMIX 462</w:t>
      </w:r>
    </w:p>
    <w:p w:rsidR="0072560D" w:rsidRPr="00BB2DCC" w:rsidRDefault="008042C6" w:rsidP="0072560D">
      <w:pPr>
        <w:pStyle w:val="Title"/>
        <w:rPr>
          <w:i w:val="0"/>
          <w:iCs/>
        </w:rPr>
      </w:pPr>
      <w:r w:rsidRPr="00BB2DCC">
        <w:rPr>
          <w:i w:val="0"/>
          <w:iCs/>
        </w:rPr>
        <w:br w:type="page"/>
      </w:r>
      <w:r w:rsidR="0072560D" w:rsidRPr="00BB2DCC">
        <w:rPr>
          <w:i w:val="0"/>
          <w:iCs/>
        </w:rPr>
        <w:lastRenderedPageBreak/>
        <w:t>Délibérations législatives</w:t>
      </w:r>
    </w:p>
    <w:p w:rsidR="0072560D" w:rsidRPr="00BB2DCC" w:rsidRDefault="0072560D" w:rsidP="009809AA">
      <w:pPr>
        <w:pStyle w:val="PointManual"/>
        <w:spacing w:before="120"/>
      </w:pPr>
      <w:r w:rsidRPr="00BB2DCC">
        <w:t>-</w:t>
      </w:r>
      <w:r w:rsidRPr="00BB2DCC">
        <w:tab/>
        <w:t>Approbation de la liste des points "A"</w:t>
      </w:r>
    </w:p>
    <w:p w:rsidR="009809AA" w:rsidRPr="00BB2DCC" w:rsidRDefault="00887EB4" w:rsidP="009809AA">
      <w:pPr>
        <w:pStyle w:val="Text3"/>
      </w:pPr>
      <w:r w:rsidRPr="00BB2DCC">
        <w:t>12632/15 PTS A 71</w:t>
      </w:r>
    </w:p>
    <w:p w:rsidR="0072560D" w:rsidRPr="00BB2DCC" w:rsidRDefault="008042C6" w:rsidP="00664401">
      <w:pPr>
        <w:pStyle w:val="PointManual"/>
        <w:spacing w:before="360"/>
      </w:pPr>
      <w:r w:rsidRPr="00BB2DCC">
        <w:t>-</w:t>
      </w:r>
      <w:r w:rsidR="0072560D" w:rsidRPr="00BB2DCC">
        <w:tab/>
        <w:t>Politique des visas</w:t>
      </w:r>
    </w:p>
    <w:p w:rsidR="0072560D" w:rsidRPr="00BB2DCC" w:rsidRDefault="008042C6" w:rsidP="008042C6">
      <w:pPr>
        <w:pStyle w:val="PointManual1"/>
        <w:rPr>
          <w:lang w:eastAsia="en-GB"/>
        </w:rPr>
      </w:pPr>
      <w:r w:rsidRPr="00BB2DCC">
        <w:t>a)</w:t>
      </w:r>
      <w:r w:rsidR="0072560D" w:rsidRPr="00BB2DCC">
        <w:tab/>
        <w:t xml:space="preserve">Proposition de règlement du Parlement européen et du Conseil relatif au code des visas de l'Union (refonte) </w:t>
      </w:r>
      <w:r w:rsidR="0072560D" w:rsidRPr="00BB2DCC">
        <w:rPr>
          <w:b/>
          <w:bCs/>
        </w:rPr>
        <w:t>(première lecture)</w:t>
      </w:r>
    </w:p>
    <w:p w:rsidR="0072560D" w:rsidRPr="00BB2DCC" w:rsidRDefault="008042C6" w:rsidP="008042C6">
      <w:pPr>
        <w:pStyle w:val="PointManual1"/>
      </w:pPr>
      <w:r w:rsidRPr="00BB2DCC">
        <w:t>b)</w:t>
      </w:r>
      <w:r w:rsidR="0072560D" w:rsidRPr="00BB2DCC">
        <w:tab/>
        <w:t xml:space="preserve">Proposition de règlement du Parlement européen et du Conseil portant création d'un visa d'itinérance et modifiant la convention d'application de l'accord de Schengen ainsi que les règlements (CE) n°562/2006 et (CE) n°767/2008 </w:t>
      </w:r>
      <w:r w:rsidR="0072560D" w:rsidRPr="00BB2DCC">
        <w:rPr>
          <w:b/>
          <w:bCs/>
        </w:rPr>
        <w:t>(première lecture)</w:t>
      </w:r>
    </w:p>
    <w:p w:rsidR="0072560D" w:rsidRPr="00BB2DCC" w:rsidRDefault="008042C6" w:rsidP="008042C6">
      <w:pPr>
        <w:pStyle w:val="DashEqual2"/>
        <w:rPr>
          <w:lang w:eastAsia="fr-FR" w:bidi="fr-FR"/>
        </w:rPr>
      </w:pPr>
      <w:r w:rsidRPr="00BB2DCC">
        <w:rPr>
          <w:lang w:eastAsia="fr-FR" w:bidi="fr-FR"/>
        </w:rPr>
        <w:t>Débat d'orientation/Rapport sur l'état des travaux</w:t>
      </w:r>
    </w:p>
    <w:p w:rsidR="008042C6" w:rsidRPr="00BB2DCC" w:rsidRDefault="008042C6" w:rsidP="008042C6">
      <w:pPr>
        <w:pStyle w:val="Text3"/>
        <w:rPr>
          <w:lang w:eastAsia="fr-FR" w:bidi="fr-FR"/>
        </w:rPr>
      </w:pPr>
      <w:r w:rsidRPr="00BB2DCC">
        <w:rPr>
          <w:lang w:eastAsia="fr-FR" w:bidi="fr-FR"/>
        </w:rPr>
        <w:t>12382/15 VISA 314 CODEC 1248 COMIX 435</w:t>
      </w:r>
    </w:p>
    <w:p w:rsidR="008042C6" w:rsidRPr="00BB2DCC" w:rsidRDefault="0072560D" w:rsidP="0072560D">
      <w:pPr>
        <w:pStyle w:val="PointManual"/>
        <w:spacing w:before="360"/>
      </w:pPr>
      <w:r w:rsidRPr="00BB2DCC">
        <w:t>-</w:t>
      </w:r>
      <w:r w:rsidRPr="00BB2DCC">
        <w:tab/>
      </w:r>
      <w:r w:rsidR="008042C6" w:rsidRPr="00BB2DCC">
        <w:t xml:space="preserve">Suivi des propositions législatives du 9 septembre 2015 </w:t>
      </w:r>
      <w:r w:rsidR="008042C6" w:rsidRPr="00BB2DCC">
        <w:rPr>
          <w:b/>
          <w:bCs/>
          <w:vertAlign w:val="superscript"/>
          <w:lang w:eastAsia="fr-FR" w:bidi="fr-FR"/>
        </w:rPr>
        <w:footnoteReference w:id="1"/>
      </w:r>
    </w:p>
    <w:p w:rsidR="0072560D" w:rsidRPr="00BB2DCC" w:rsidRDefault="008042C6" w:rsidP="008042C6">
      <w:pPr>
        <w:pStyle w:val="PointManual1"/>
        <w:rPr>
          <w:lang w:eastAsia="fr-FR" w:bidi="fr-FR"/>
        </w:rPr>
      </w:pPr>
      <w:r w:rsidRPr="00BB2DCC">
        <w:t>a)</w:t>
      </w:r>
      <w:r w:rsidRPr="00BB2DCC">
        <w:tab/>
      </w:r>
      <w:r w:rsidR="0072560D" w:rsidRPr="00BB2DCC">
        <w:t>Proposition de règlement du Parlement européen et du Conseil établissant un mécanisme de crise concernant la relocalisation et modifiant le règlement (UE) n</w:t>
      </w:r>
      <w:r w:rsidR="0072560D" w:rsidRPr="00BB2DCC">
        <w:rPr>
          <w:vertAlign w:val="superscript"/>
        </w:rPr>
        <w:t>o</w:t>
      </w:r>
      <w:r w:rsidRPr="00BB2DCC">
        <w:t> </w:t>
      </w:r>
      <w:r w:rsidR="0072560D" w:rsidRPr="00BB2DCC">
        <w:t>604/2013 du Parlement et du Conseil du 26 juin 2013 établissant les critères et mécanismes de détermination de l'État membre responsable de l'examen d'une demande de protection internationale introduite dans l'un des États membres par un ressortissant de pays tiers ou un apatride</w:t>
      </w:r>
      <w:r w:rsidR="009809AA" w:rsidRPr="00BB2DCC">
        <w:t xml:space="preserve"> </w:t>
      </w:r>
      <w:r w:rsidR="009809AA" w:rsidRPr="00BB2DCC">
        <w:rPr>
          <w:b/>
          <w:bCs/>
          <w:lang w:bidi="fr-FR"/>
        </w:rPr>
        <w:t>(première lecture)</w:t>
      </w:r>
    </w:p>
    <w:p w:rsidR="008042C6" w:rsidRPr="00BB2DCC" w:rsidRDefault="00AE13A7" w:rsidP="008042C6">
      <w:pPr>
        <w:pStyle w:val="Text3"/>
      </w:pPr>
      <w:r w:rsidRPr="00BB2DCC">
        <w:t>11843/15 A</w:t>
      </w:r>
      <w:r w:rsidR="008042C6" w:rsidRPr="00BB2DCC">
        <w:t>SIM 79 CODEC 1167</w:t>
      </w:r>
    </w:p>
    <w:p w:rsidR="008042C6" w:rsidRPr="00BB2DCC" w:rsidRDefault="008042C6" w:rsidP="008042C6">
      <w:pPr>
        <w:pStyle w:val="Text4"/>
      </w:pPr>
      <w:r w:rsidRPr="00BB2DCC">
        <w:t>+ ADD 1</w:t>
      </w:r>
    </w:p>
    <w:p w:rsidR="0072560D" w:rsidRPr="00BB2DCC" w:rsidRDefault="008042C6" w:rsidP="008042C6">
      <w:pPr>
        <w:pStyle w:val="PointManual1"/>
        <w:rPr>
          <w:b/>
          <w:bCs/>
          <w:lang w:bidi="fr-FR"/>
        </w:rPr>
      </w:pPr>
      <w:r w:rsidRPr="00BB2DCC">
        <w:rPr>
          <w:lang w:bidi="fr-FR"/>
        </w:rPr>
        <w:t>b)</w:t>
      </w:r>
      <w:r w:rsidR="0072560D" w:rsidRPr="00BB2DCC">
        <w:rPr>
          <w:lang w:bidi="fr-FR"/>
        </w:rPr>
        <w:tab/>
        <w:t xml:space="preserve">Proposition de règlement du Parlement européen et du Conseil établissant une liste commune de l'UE des pays sûrs aux fins de la directive 2013/32/UE du Parlement et du Conseil relative à des procédures communes pour l'octroi et le retrait de la protection internationale, et modifiant la directive 2013/32/UE </w:t>
      </w:r>
      <w:r w:rsidR="0072560D" w:rsidRPr="00BB2DCC">
        <w:rPr>
          <w:b/>
          <w:bCs/>
          <w:lang w:bidi="fr-FR"/>
        </w:rPr>
        <w:t>(première lecture)</w:t>
      </w:r>
    </w:p>
    <w:p w:rsidR="008042C6" w:rsidRPr="00BB2DCC" w:rsidRDefault="008042C6" w:rsidP="008042C6">
      <w:pPr>
        <w:pStyle w:val="Text3"/>
      </w:pPr>
      <w:r w:rsidRPr="00BB2DCC">
        <w:t>11845/15 ASIM 81 COWEB 86 CODEC 1171</w:t>
      </w:r>
    </w:p>
    <w:p w:rsidR="008042C6" w:rsidRPr="00BB2DCC" w:rsidRDefault="008042C6" w:rsidP="008042C6">
      <w:pPr>
        <w:pStyle w:val="Text4"/>
      </w:pPr>
      <w:r w:rsidRPr="00BB2DCC">
        <w:t>+ ADD</w:t>
      </w:r>
      <w:r w:rsidR="00AE13A7" w:rsidRPr="00BB2DCC">
        <w:t xml:space="preserve"> </w:t>
      </w:r>
      <w:r w:rsidRPr="00BB2DCC">
        <w:t>1</w:t>
      </w:r>
    </w:p>
    <w:p w:rsidR="008042C6" w:rsidRPr="00BB2DCC" w:rsidRDefault="008042C6" w:rsidP="008042C6">
      <w:pPr>
        <w:pStyle w:val="DashEqual2"/>
      </w:pPr>
      <w:r w:rsidRPr="00BB2DCC">
        <w:t>Rapport sur l'état des travaux</w:t>
      </w:r>
    </w:p>
    <w:p w:rsidR="008042C6" w:rsidRPr="00BB2DCC" w:rsidRDefault="008042C6" w:rsidP="008042C6">
      <w:pPr>
        <w:pStyle w:val="Text3"/>
      </w:pPr>
      <w:r w:rsidRPr="00BB2DCC">
        <w:t>12557/15 ASIM 101 COWEB 94 CODEC 1280</w:t>
      </w:r>
    </w:p>
    <w:p w:rsidR="00C03ADB" w:rsidRPr="00BB2DCC" w:rsidRDefault="00C03ADB" w:rsidP="00C03ADB">
      <w:pPr>
        <w:pStyle w:val="Text4"/>
      </w:pPr>
      <w:r w:rsidRPr="00BB2DCC">
        <w:t>+ COR 1</w:t>
      </w:r>
    </w:p>
    <w:p w:rsidR="0072560D" w:rsidRPr="00BB2DCC" w:rsidRDefault="0072560D" w:rsidP="0072560D">
      <w:pPr>
        <w:pStyle w:val="PointManual"/>
        <w:spacing w:before="360"/>
      </w:pPr>
      <w:r w:rsidRPr="00BB2DCC">
        <w:t>-</w:t>
      </w:r>
      <w:r w:rsidRPr="00BB2DCC">
        <w:tab/>
        <w:t xml:space="preserve">Proposition de directive du Conseil et du Parlement européen relative à l'utilisation des données des dossiers passagers pour la prévention et la détection des infractions terroristes et des formes graves de criminalité, ainsi que pour les enquêtes et les poursuites en la matière </w:t>
      </w:r>
      <w:r w:rsidRPr="00BB2DCC">
        <w:rPr>
          <w:b/>
          <w:bCs/>
        </w:rPr>
        <w:t>(première lecture)</w:t>
      </w:r>
    </w:p>
    <w:p w:rsidR="0072560D" w:rsidRPr="00BB2DCC" w:rsidRDefault="0072560D" w:rsidP="0072560D">
      <w:pPr>
        <w:pStyle w:val="DashEqual1"/>
      </w:pPr>
      <w:r w:rsidRPr="00BB2DCC">
        <w:t>Rapport sur l'état des travaux</w:t>
      </w:r>
    </w:p>
    <w:p w:rsidR="0072560D" w:rsidRPr="00BB2DCC" w:rsidRDefault="0072560D" w:rsidP="0072560D">
      <w:pPr>
        <w:pStyle w:val="PointManual"/>
        <w:spacing w:before="360"/>
      </w:pPr>
      <w:r w:rsidRPr="00BB2DCC">
        <w:t>-</w:t>
      </w:r>
      <w:r w:rsidRPr="00BB2DCC">
        <w:tab/>
        <w:t>Divers</w:t>
      </w:r>
    </w:p>
    <w:p w:rsidR="0072560D" w:rsidRPr="00BB2DCC" w:rsidRDefault="0072560D" w:rsidP="0072560D">
      <w:pPr>
        <w:pStyle w:val="DashEqual1"/>
      </w:pPr>
      <w:r w:rsidRPr="00BB2DCC">
        <w:t>Informations communiquées par la présidence au sujet des propositions législatives en cours d'examen</w:t>
      </w:r>
    </w:p>
    <w:p w:rsidR="0072560D" w:rsidRPr="00BB2DCC" w:rsidRDefault="008042C6" w:rsidP="002E125C">
      <w:pPr>
        <w:pStyle w:val="Title"/>
        <w:spacing w:before="240"/>
        <w:rPr>
          <w:i w:val="0"/>
          <w:iCs/>
        </w:rPr>
      </w:pPr>
      <w:r w:rsidRPr="00BB2DCC">
        <w:rPr>
          <w:i w:val="0"/>
          <w:iCs/>
        </w:rPr>
        <w:br w:type="page"/>
      </w:r>
      <w:r w:rsidR="0072560D" w:rsidRPr="00BB2DCC">
        <w:rPr>
          <w:i w:val="0"/>
          <w:iCs/>
        </w:rPr>
        <w:lastRenderedPageBreak/>
        <w:t>Activités non législatives</w:t>
      </w:r>
    </w:p>
    <w:p w:rsidR="0072560D" w:rsidRPr="00BB2DCC" w:rsidRDefault="0072560D" w:rsidP="0072560D">
      <w:pPr>
        <w:pStyle w:val="PointManual"/>
        <w:spacing w:before="120"/>
        <w:rPr>
          <w:lang w:eastAsia="en-GB"/>
        </w:rPr>
      </w:pPr>
      <w:r w:rsidRPr="00BB2DCC">
        <w:rPr>
          <w:lang w:eastAsia="en-GB"/>
        </w:rPr>
        <w:t>-</w:t>
      </w:r>
      <w:r w:rsidRPr="00BB2DCC">
        <w:rPr>
          <w:lang w:eastAsia="en-GB"/>
        </w:rPr>
        <w:tab/>
        <w:t>Approbation de la liste des points "A"</w:t>
      </w:r>
    </w:p>
    <w:p w:rsidR="00887EB4" w:rsidRPr="00BB2DCC" w:rsidRDefault="00887EB4" w:rsidP="00887EB4">
      <w:pPr>
        <w:pStyle w:val="Text3"/>
      </w:pPr>
      <w:r w:rsidRPr="00BB2DCC">
        <w:t>12633/15 PTS A 72</w:t>
      </w:r>
    </w:p>
    <w:p w:rsidR="0072560D" w:rsidRPr="00BB2DCC" w:rsidRDefault="0072560D" w:rsidP="0072560D">
      <w:pPr>
        <w:pStyle w:val="PointManual"/>
        <w:spacing w:before="360"/>
        <w:rPr>
          <w:vertAlign w:val="superscript"/>
          <w:lang w:eastAsia="fr-FR" w:bidi="fr-FR"/>
        </w:rPr>
      </w:pPr>
      <w:r w:rsidRPr="00BB2DCC">
        <w:rPr>
          <w:lang w:eastAsia="fr-FR" w:bidi="fr-FR"/>
        </w:rPr>
        <w:t>-</w:t>
      </w:r>
      <w:r w:rsidRPr="00BB2DCC">
        <w:rPr>
          <w:lang w:eastAsia="fr-FR" w:bidi="fr-FR"/>
        </w:rPr>
        <w:tab/>
        <w:t xml:space="preserve">Décision du Conseil instituant des mesures provisoires en matière de protection internationale au profit de l'Italie et de la Grèce, adoptée le 14 septembre </w:t>
      </w:r>
      <w:r w:rsidRPr="00BB2DCC">
        <w:rPr>
          <w:b/>
          <w:bCs/>
          <w:vertAlign w:val="superscript"/>
          <w:lang w:eastAsia="fr-FR" w:bidi="fr-FR"/>
        </w:rPr>
        <w:footnoteReference w:id="2"/>
      </w:r>
    </w:p>
    <w:p w:rsidR="0072560D" w:rsidRPr="00BB2DCC" w:rsidRDefault="0072560D" w:rsidP="0072560D">
      <w:pPr>
        <w:pStyle w:val="DashEqual1"/>
      </w:pPr>
      <w:r w:rsidRPr="00BB2DCC">
        <w:t>Rapport sur la mise en œuvre</w:t>
      </w:r>
    </w:p>
    <w:p w:rsidR="00C03ADB" w:rsidRPr="00BB2DCC" w:rsidRDefault="00C03ADB" w:rsidP="00C03ADB">
      <w:pPr>
        <w:pStyle w:val="Text3"/>
      </w:pPr>
      <w:r w:rsidRPr="00BB2DCC">
        <w:t>12750/15 ASIM 106 COMIX 472</w:t>
      </w:r>
    </w:p>
    <w:p w:rsidR="0072560D" w:rsidRPr="00BB2DCC" w:rsidRDefault="0072560D" w:rsidP="0072560D">
      <w:pPr>
        <w:pStyle w:val="PointManual"/>
        <w:spacing w:before="360"/>
        <w:rPr>
          <w:lang w:eastAsia="fr-FR" w:bidi="fr-FR"/>
        </w:rPr>
      </w:pPr>
      <w:r w:rsidRPr="00BB2DCC">
        <w:rPr>
          <w:lang w:eastAsia="fr-FR" w:bidi="fr-FR"/>
        </w:rPr>
        <w:t>-</w:t>
      </w:r>
      <w:r w:rsidRPr="00BB2DCC">
        <w:rPr>
          <w:lang w:eastAsia="fr-FR" w:bidi="fr-FR"/>
        </w:rPr>
        <w:tab/>
        <w:t>Le futur de la politique de retour</w:t>
      </w:r>
    </w:p>
    <w:p w:rsidR="0072560D" w:rsidRPr="00BB2DCC" w:rsidRDefault="0072560D" w:rsidP="0072560D">
      <w:pPr>
        <w:pStyle w:val="DashEqual1"/>
      </w:pPr>
      <w:r w:rsidRPr="00BB2DCC">
        <w:t>Adoption de conclusions</w:t>
      </w:r>
    </w:p>
    <w:p w:rsidR="008042C6" w:rsidRPr="00BB2DCC" w:rsidRDefault="008042C6" w:rsidP="008042C6">
      <w:pPr>
        <w:pStyle w:val="Text3"/>
      </w:pPr>
      <w:r w:rsidRPr="00BB2DCC">
        <w:t>12420/1</w:t>
      </w:r>
      <w:r w:rsidR="00FD15E7" w:rsidRPr="00BB2DCC">
        <w:t>5 MIGR 4</w:t>
      </w:r>
      <w:r w:rsidRPr="00BB2DCC">
        <w:t>6 COMIX 441</w:t>
      </w:r>
    </w:p>
    <w:p w:rsidR="00C03ADB" w:rsidRPr="00BB2DCC" w:rsidRDefault="00C03ADB" w:rsidP="00C03ADB">
      <w:pPr>
        <w:pStyle w:val="Text4"/>
      </w:pPr>
      <w:r w:rsidRPr="00BB2DCC">
        <w:t>+ COR 1</w:t>
      </w:r>
    </w:p>
    <w:p w:rsidR="008042C6" w:rsidRPr="00BB2DCC" w:rsidRDefault="008042C6" w:rsidP="008042C6">
      <w:pPr>
        <w:pStyle w:val="PointManual"/>
        <w:spacing w:before="360"/>
        <w:rPr>
          <w:lang w:eastAsia="fr-FR" w:bidi="fr-FR"/>
        </w:rPr>
      </w:pPr>
      <w:r w:rsidRPr="00BB2DCC">
        <w:rPr>
          <w:lang w:eastAsia="fr-FR" w:bidi="fr-FR"/>
        </w:rPr>
        <w:t>-</w:t>
      </w:r>
      <w:r w:rsidRPr="00BB2DCC">
        <w:rPr>
          <w:lang w:eastAsia="fr-FR" w:bidi="fr-FR"/>
        </w:rPr>
        <w:tab/>
        <w:t>Le futur de la politique de gestion des frontières extérieures</w:t>
      </w:r>
    </w:p>
    <w:p w:rsidR="008042C6" w:rsidRPr="00BB2DCC" w:rsidRDefault="008042C6" w:rsidP="008042C6">
      <w:pPr>
        <w:pStyle w:val="DashEqual1"/>
      </w:pPr>
      <w:r w:rsidRPr="00BB2DCC">
        <w:t>Débat général</w:t>
      </w:r>
    </w:p>
    <w:p w:rsidR="00C03ADB" w:rsidRPr="00BB2DCC" w:rsidRDefault="00C03ADB" w:rsidP="00C03ADB">
      <w:pPr>
        <w:pStyle w:val="Text3"/>
      </w:pPr>
      <w:r w:rsidRPr="00BB2DCC">
        <w:t>12616/15 FRONT 208 JAI 713 COMIX 461</w:t>
      </w:r>
    </w:p>
    <w:p w:rsidR="0072560D" w:rsidRPr="00BB2DCC" w:rsidRDefault="0072560D" w:rsidP="0072560D">
      <w:pPr>
        <w:pStyle w:val="PointManual"/>
        <w:spacing w:before="360"/>
      </w:pPr>
      <w:r w:rsidRPr="00BB2DCC">
        <w:t>-</w:t>
      </w:r>
      <w:r w:rsidRPr="00BB2DCC">
        <w:tab/>
        <w:t xml:space="preserve">Lutte contre le terrorisme </w:t>
      </w:r>
      <w:r w:rsidR="0090711B" w:rsidRPr="00BB2DCC">
        <w:rPr>
          <w:b/>
          <w:bCs/>
          <w:vertAlign w:val="superscript"/>
          <w:lang w:eastAsia="fr-FR" w:bidi="fr-FR"/>
        </w:rPr>
        <w:t>1</w:t>
      </w:r>
    </w:p>
    <w:p w:rsidR="0072560D" w:rsidRPr="00BB2DCC" w:rsidRDefault="008042C6" w:rsidP="0070440D">
      <w:pPr>
        <w:pStyle w:val="PointManual1"/>
        <w:spacing w:before="120"/>
      </w:pPr>
      <w:r w:rsidRPr="00BB2DCC">
        <w:t>a)</w:t>
      </w:r>
      <w:r w:rsidR="0072560D" w:rsidRPr="00BB2DCC">
        <w:tab/>
        <w:t>Conclusions de Conseil en vue de renforcer l'utilisation des moyens de lutte contre le trafic d'armes à feu</w:t>
      </w:r>
    </w:p>
    <w:p w:rsidR="0072560D" w:rsidRPr="00BB2DCC" w:rsidRDefault="0072560D" w:rsidP="0072560D">
      <w:pPr>
        <w:pStyle w:val="DashEqual2"/>
      </w:pPr>
      <w:r w:rsidRPr="00BB2DCC">
        <w:t>Adoption</w:t>
      </w:r>
    </w:p>
    <w:p w:rsidR="008042C6" w:rsidRPr="00BB2DCC" w:rsidRDefault="008042C6" w:rsidP="008042C6">
      <w:pPr>
        <w:pStyle w:val="Text3"/>
      </w:pPr>
      <w:r w:rsidRPr="00BB2DCC">
        <w:t>12449/15 COSI 115 ENFOPOL 264 ENFOCUSTOM 96 CYBER 88</w:t>
      </w:r>
    </w:p>
    <w:p w:rsidR="008042C6" w:rsidRPr="00BB2DCC" w:rsidRDefault="008042C6" w:rsidP="008042C6">
      <w:pPr>
        <w:pStyle w:val="Text5"/>
      </w:pPr>
      <w:r w:rsidRPr="00BB2DCC">
        <w:t>CRIMORG 96</w:t>
      </w:r>
    </w:p>
    <w:p w:rsidR="00FD15E7" w:rsidRPr="00BB2DCC" w:rsidRDefault="00FD15E7" w:rsidP="00FD15E7">
      <w:pPr>
        <w:pStyle w:val="Text4"/>
      </w:pPr>
      <w:r w:rsidRPr="00BB2DCC">
        <w:t>+ COR 1 (</w:t>
      </w:r>
      <w:proofErr w:type="spellStart"/>
      <w:r w:rsidRPr="00BB2DCC">
        <w:t>it</w:t>
      </w:r>
      <w:proofErr w:type="spellEnd"/>
      <w:r w:rsidRPr="00BB2DCC">
        <w:t>)</w:t>
      </w:r>
    </w:p>
    <w:p w:rsidR="0072560D" w:rsidRPr="00BB2DCC" w:rsidRDefault="008042C6" w:rsidP="0070440D">
      <w:pPr>
        <w:pStyle w:val="PointManual1"/>
        <w:spacing w:before="120"/>
      </w:pPr>
      <w:r w:rsidRPr="00BB2DCC">
        <w:t>b)</w:t>
      </w:r>
      <w:r w:rsidRPr="00BB2DCC">
        <w:tab/>
        <w:t>Suivi des actions en cours</w:t>
      </w:r>
    </w:p>
    <w:p w:rsidR="00455B33" w:rsidRPr="00BB2DCC" w:rsidRDefault="00455B33" w:rsidP="00455B33">
      <w:pPr>
        <w:pStyle w:val="Text3"/>
        <w:rPr>
          <w:lang w:val="it-IT"/>
        </w:rPr>
      </w:pPr>
      <w:r w:rsidRPr="00BB2DCC">
        <w:rPr>
          <w:lang w:val="it-IT"/>
        </w:rPr>
        <w:t>12318/15 JAI 686 CFSP/PESC 554 COSI 114 COPS 286 ENFOPOL 260</w:t>
      </w:r>
    </w:p>
    <w:p w:rsidR="00455B33" w:rsidRPr="00BB2DCC" w:rsidRDefault="00455B33" w:rsidP="00455B33">
      <w:pPr>
        <w:pStyle w:val="Text5"/>
        <w:rPr>
          <w:lang w:val="fr-BE"/>
        </w:rPr>
      </w:pPr>
      <w:r w:rsidRPr="00BB2DCC">
        <w:rPr>
          <w:lang w:val="fr-BE"/>
        </w:rPr>
        <w:t>COTER 124 SIRIS 64 FRONT 197 CATS 89 EDUC 255</w:t>
      </w:r>
    </w:p>
    <w:p w:rsidR="00455B33" w:rsidRPr="00BB2DCC" w:rsidRDefault="00455B33" w:rsidP="00455B33">
      <w:pPr>
        <w:pStyle w:val="Text3"/>
        <w:rPr>
          <w:lang w:val="fr-BE"/>
        </w:rPr>
      </w:pPr>
      <w:r w:rsidRPr="00BB2DCC">
        <w:rPr>
          <w:lang w:val="fr-BE"/>
        </w:rPr>
        <w:t>12551/15 JAI 706 CFSP/PESC 583 COSI 117 COPS 288 ENFOPOL 269</w:t>
      </w:r>
    </w:p>
    <w:p w:rsidR="00455B33" w:rsidRPr="00BB2DCC" w:rsidRDefault="00455B33" w:rsidP="00455B33">
      <w:pPr>
        <w:pStyle w:val="Text5"/>
        <w:rPr>
          <w:lang w:val="fr-BE"/>
        </w:rPr>
      </w:pPr>
      <w:r w:rsidRPr="00BB2DCC">
        <w:rPr>
          <w:lang w:val="fr-BE"/>
        </w:rPr>
        <w:t>COTER 126 SIRIS 68 FRONT 207 CATS 94 EDUC 260</w:t>
      </w:r>
    </w:p>
    <w:p w:rsidR="0072560D" w:rsidRPr="00BB2DCC" w:rsidRDefault="008042C6" w:rsidP="0070440D">
      <w:pPr>
        <w:pStyle w:val="PointManual1"/>
        <w:spacing w:before="120"/>
      </w:pPr>
      <w:r w:rsidRPr="00BB2DCC">
        <w:t>c)</w:t>
      </w:r>
      <w:r w:rsidR="0072560D" w:rsidRPr="00BB2DCC">
        <w:tab/>
        <w:t>Sécurité ferroviaire</w:t>
      </w:r>
      <w:r w:rsidR="000751E5" w:rsidRPr="00BB2DCC">
        <w:t xml:space="preserve"> </w:t>
      </w:r>
      <w:r w:rsidR="0072560D" w:rsidRPr="00BB2DCC">
        <w:t>: information sur les développements récents</w:t>
      </w:r>
    </w:p>
    <w:p w:rsidR="0072560D" w:rsidRPr="00BB2DCC" w:rsidRDefault="0072560D" w:rsidP="0072560D">
      <w:pPr>
        <w:pStyle w:val="PointManual"/>
        <w:spacing w:before="360"/>
      </w:pPr>
      <w:r w:rsidRPr="00BB2DCC">
        <w:t>-</w:t>
      </w:r>
      <w:r w:rsidRPr="00BB2DCC">
        <w:tab/>
        <w:t>Lutte contre la criminalité internationale organisée et grave</w:t>
      </w:r>
    </w:p>
    <w:p w:rsidR="0072560D" w:rsidRPr="00BB2DCC" w:rsidRDefault="000751E5" w:rsidP="0070440D">
      <w:pPr>
        <w:pStyle w:val="PointManual1"/>
        <w:spacing w:before="120"/>
      </w:pPr>
      <w:r w:rsidRPr="00BB2DCC">
        <w:t>a)</w:t>
      </w:r>
      <w:r w:rsidR="0072560D" w:rsidRPr="00BB2DCC">
        <w:tab/>
        <w:t>Suivi de la mise en œuvre des priorités de l'Union européenne</w:t>
      </w:r>
    </w:p>
    <w:p w:rsidR="0072560D" w:rsidRPr="00BB2DCC" w:rsidRDefault="000751E5" w:rsidP="0070440D">
      <w:pPr>
        <w:pStyle w:val="PointManual1"/>
        <w:spacing w:before="120"/>
      </w:pPr>
      <w:r w:rsidRPr="00BB2DCC">
        <w:t>b)</w:t>
      </w:r>
      <w:r w:rsidR="0072560D" w:rsidRPr="00BB2DCC">
        <w:tab/>
        <w:t>Criminalité transfrontalière liée aux gangs criminels de motards</w:t>
      </w:r>
    </w:p>
    <w:p w:rsidR="0072560D" w:rsidRPr="00BB2DCC" w:rsidRDefault="0072560D" w:rsidP="0072560D">
      <w:pPr>
        <w:pStyle w:val="DashEqual2"/>
      </w:pPr>
      <w:r w:rsidRPr="00BB2DCC">
        <w:t>Information de la Belgique</w:t>
      </w:r>
    </w:p>
    <w:p w:rsidR="008042C6" w:rsidRPr="00BB2DCC" w:rsidRDefault="008042C6" w:rsidP="008042C6">
      <w:pPr>
        <w:pStyle w:val="Text3"/>
        <w:rPr>
          <w:lang w:val="fr-BE"/>
        </w:rPr>
      </w:pPr>
      <w:r w:rsidRPr="00BB2DCC">
        <w:rPr>
          <w:lang w:val="fr-BE"/>
        </w:rPr>
        <w:t>12041/15 COSI 107 JAI 662 ENFOPOL 250 CRIMORG 91</w:t>
      </w:r>
    </w:p>
    <w:p w:rsidR="0072560D" w:rsidRPr="00BB2DCC" w:rsidRDefault="00C03ADB" w:rsidP="0072560D">
      <w:pPr>
        <w:pStyle w:val="PointManual"/>
        <w:spacing w:before="360"/>
      </w:pPr>
      <w:r w:rsidRPr="00BB2DCC">
        <w:br w:type="page"/>
      </w:r>
      <w:r w:rsidR="0072560D" w:rsidRPr="00BB2DCC">
        <w:lastRenderedPageBreak/>
        <w:t>-</w:t>
      </w:r>
      <w:r w:rsidR="0072560D" w:rsidRPr="00BB2DCC">
        <w:tab/>
        <w:t>Stratégie de sécurité intérieure renouvelée pour l'UE (2015-2020)</w:t>
      </w:r>
    </w:p>
    <w:p w:rsidR="0072560D" w:rsidRPr="00BB2DCC" w:rsidRDefault="0072560D" w:rsidP="0072560D">
      <w:pPr>
        <w:pStyle w:val="DashEqual1"/>
      </w:pPr>
      <w:r w:rsidRPr="00BB2DCC">
        <w:t>Rapport sur la mise en œuvre</w:t>
      </w:r>
    </w:p>
    <w:p w:rsidR="008042C6" w:rsidRPr="00BB2DCC" w:rsidRDefault="008042C6" w:rsidP="008042C6">
      <w:pPr>
        <w:pStyle w:val="Text3"/>
      </w:pPr>
      <w:r w:rsidRPr="00BB2DCC">
        <w:t>10854/15 COSI 94 CATS 74 JAI 559 ENFOPOL 207 ENFOCUSTOM 73</w:t>
      </w:r>
    </w:p>
    <w:p w:rsidR="008042C6" w:rsidRPr="00BB2DCC" w:rsidRDefault="008042C6" w:rsidP="008042C6">
      <w:pPr>
        <w:pStyle w:val="Text5"/>
      </w:pPr>
      <w:r w:rsidRPr="00BB2DCC">
        <w:t>DAPIX 125 SIRIS 48 GENVAL 25 CORDROGUE 58 DROIPEN 80</w:t>
      </w:r>
    </w:p>
    <w:p w:rsidR="008042C6" w:rsidRPr="00BB2DCC" w:rsidRDefault="008042C6" w:rsidP="008042C6">
      <w:pPr>
        <w:pStyle w:val="Text5"/>
      </w:pPr>
      <w:r w:rsidRPr="00BB2DCC">
        <w:t>COPEN 198 FREMP 159</w:t>
      </w:r>
    </w:p>
    <w:p w:rsidR="0072560D" w:rsidRPr="00BB2DCC" w:rsidRDefault="0072560D" w:rsidP="00824E6B">
      <w:pPr>
        <w:pStyle w:val="PointManual"/>
        <w:spacing w:before="360"/>
      </w:pPr>
      <w:r w:rsidRPr="00BB2DCC">
        <w:t>-</w:t>
      </w:r>
      <w:r w:rsidRPr="00BB2DCC">
        <w:tab/>
        <w:t>Divers</w:t>
      </w:r>
    </w:p>
    <w:p w:rsidR="008042C6" w:rsidRPr="00BB2DCC" w:rsidRDefault="0072560D" w:rsidP="008042C6">
      <w:pPr>
        <w:pStyle w:val="PointManual1"/>
        <w:spacing w:before="120"/>
        <w:rPr>
          <w:b/>
          <w:bCs/>
        </w:rPr>
      </w:pPr>
      <w:r w:rsidRPr="00BB2DCC">
        <w:t>a)</w:t>
      </w:r>
      <w:r w:rsidRPr="00BB2DCC">
        <w:tab/>
        <w:t xml:space="preserve">Sommet de </w:t>
      </w:r>
      <w:r w:rsidR="008042C6" w:rsidRPr="00BB2DCC">
        <w:t>La Valette, 11-12 novembre 2015</w:t>
      </w:r>
      <w:r w:rsidR="00824E6B" w:rsidRPr="00BB2DCC">
        <w:rPr>
          <w:lang w:eastAsia="fr-FR" w:bidi="fr-FR"/>
        </w:rPr>
        <w:t xml:space="preserve"> </w:t>
      </w:r>
      <w:r w:rsidR="00824E6B" w:rsidRPr="00BB2DCC">
        <w:rPr>
          <w:b/>
          <w:bCs/>
          <w:vertAlign w:val="superscript"/>
          <w:lang w:eastAsia="fr-FR" w:bidi="fr-FR"/>
        </w:rPr>
        <w:footnoteReference w:id="3"/>
      </w:r>
    </w:p>
    <w:p w:rsidR="0072560D" w:rsidRPr="00BB2DCC" w:rsidRDefault="0072560D" w:rsidP="008042C6">
      <w:pPr>
        <w:pStyle w:val="DashEqual2"/>
      </w:pPr>
      <w:r w:rsidRPr="00BB2DCC">
        <w:t>Information communiquée par la présidence</w:t>
      </w:r>
    </w:p>
    <w:p w:rsidR="0072560D" w:rsidRPr="00BB2DCC" w:rsidRDefault="0072560D" w:rsidP="0072560D">
      <w:pPr>
        <w:pStyle w:val="PointManual1"/>
        <w:spacing w:before="120"/>
        <w:rPr>
          <w:b/>
          <w:bCs/>
        </w:rPr>
      </w:pPr>
      <w:r w:rsidRPr="00BB2DCC">
        <w:t>b)</w:t>
      </w:r>
      <w:r w:rsidR="008042C6" w:rsidRPr="00BB2DCC">
        <w:tab/>
        <w:t>Conférence</w:t>
      </w:r>
      <w:r w:rsidR="007676F3" w:rsidRPr="00BB2DCC">
        <w:t xml:space="preserve"> de haut niveau sur la route des</w:t>
      </w:r>
      <w:r w:rsidR="008042C6" w:rsidRPr="00BB2DCC">
        <w:t xml:space="preserve"> Balkans occidentaux</w:t>
      </w:r>
      <w:r w:rsidR="007676F3" w:rsidRPr="00BB2DCC">
        <w:t xml:space="preserve"> et de la Méditerranée orientale</w:t>
      </w:r>
      <w:r w:rsidR="00824E6B" w:rsidRPr="00BB2DCC">
        <w:t xml:space="preserve"> </w:t>
      </w:r>
      <w:r w:rsidR="00824E6B" w:rsidRPr="00BB2DCC">
        <w:rPr>
          <w:b/>
          <w:bCs/>
          <w:vertAlign w:val="superscript"/>
        </w:rPr>
        <w:t>1</w:t>
      </w:r>
    </w:p>
    <w:p w:rsidR="0072560D" w:rsidRPr="00BB2DCC" w:rsidRDefault="0072560D" w:rsidP="0072560D">
      <w:pPr>
        <w:pStyle w:val="DashEqual2"/>
      </w:pPr>
      <w:r w:rsidRPr="00BB2DCC">
        <w:t>Information communiquée par la présidence</w:t>
      </w:r>
    </w:p>
    <w:p w:rsidR="0070440D" w:rsidRPr="00BB2DCC" w:rsidRDefault="0070440D" w:rsidP="0070440D">
      <w:pPr>
        <w:pStyle w:val="Text3"/>
      </w:pPr>
      <w:r w:rsidRPr="00BB2DCC">
        <w:t>12556/15 JAI 708 ASIM 100 RELEX 762 COWEB 93 ELARG 49 MAMA 140</w:t>
      </w:r>
    </w:p>
    <w:p w:rsidR="00C03ADB" w:rsidRPr="00BB2DCC" w:rsidRDefault="00C03ADB" w:rsidP="0072560D">
      <w:pPr>
        <w:spacing w:before="360"/>
        <w:jc w:val="center"/>
        <w:rPr>
          <w:snapToGrid w:val="0"/>
          <w:lang w:val="fr-BE"/>
        </w:rPr>
      </w:pPr>
    </w:p>
    <w:p w:rsidR="0072560D" w:rsidRPr="00BB2DCC" w:rsidRDefault="0072560D" w:rsidP="0072560D">
      <w:pPr>
        <w:spacing w:before="360"/>
        <w:jc w:val="center"/>
        <w:rPr>
          <w:snapToGrid w:val="0"/>
          <w:lang w:val="fr-BE"/>
        </w:rPr>
      </w:pPr>
      <w:r w:rsidRPr="00BB2DCC">
        <w:rPr>
          <w:snapToGrid w:val="0"/>
          <w:lang w:val="fr-BE"/>
        </w:rPr>
        <w:t>o</w:t>
      </w:r>
    </w:p>
    <w:p w:rsidR="0072560D" w:rsidRPr="00BB2DCC" w:rsidRDefault="0072560D" w:rsidP="0072560D">
      <w:pPr>
        <w:spacing w:before="120"/>
        <w:jc w:val="center"/>
        <w:rPr>
          <w:snapToGrid w:val="0"/>
          <w:lang w:val="fr-BE"/>
        </w:rPr>
      </w:pPr>
      <w:r w:rsidRPr="00BB2DCC">
        <w:rPr>
          <w:snapToGrid w:val="0"/>
          <w:lang w:val="fr-BE"/>
        </w:rPr>
        <w:t>o</w:t>
      </w:r>
      <w:r w:rsidRPr="00BB2DCC">
        <w:rPr>
          <w:snapToGrid w:val="0"/>
          <w:lang w:val="fr-BE"/>
        </w:rPr>
        <w:tab/>
      </w:r>
      <w:proofErr w:type="spellStart"/>
      <w:r w:rsidRPr="00BB2DCC">
        <w:rPr>
          <w:snapToGrid w:val="0"/>
          <w:lang w:val="fr-BE"/>
        </w:rPr>
        <w:t>o</w:t>
      </w:r>
      <w:proofErr w:type="spellEnd"/>
    </w:p>
    <w:p w:rsidR="0072560D" w:rsidRPr="00BB2DCC" w:rsidRDefault="00C03ADB" w:rsidP="0072560D">
      <w:pPr>
        <w:spacing w:before="360"/>
        <w:rPr>
          <w:b/>
          <w:bCs/>
          <w:lang w:eastAsia="fr-FR" w:bidi="fr-FR"/>
        </w:rPr>
      </w:pPr>
      <w:r w:rsidRPr="00BB2DCC">
        <w:rPr>
          <w:b/>
          <w:bCs/>
          <w:u w:val="single"/>
          <w:lang w:eastAsia="fr-FR" w:bidi="fr-FR"/>
        </w:rPr>
        <w:br w:type="page"/>
      </w:r>
      <w:r w:rsidR="0072560D" w:rsidRPr="00BB2DCC">
        <w:rPr>
          <w:b/>
          <w:bCs/>
          <w:u w:val="single"/>
          <w:lang w:eastAsia="fr-FR" w:bidi="fr-FR"/>
        </w:rPr>
        <w:lastRenderedPageBreak/>
        <w:t>En marge du Conseil</w:t>
      </w:r>
      <w:r w:rsidR="0072560D" w:rsidRPr="00BB2DCC">
        <w:rPr>
          <w:b/>
          <w:bCs/>
          <w:lang w:eastAsia="fr-FR" w:bidi="fr-FR"/>
        </w:rPr>
        <w:t xml:space="preserve"> :</w:t>
      </w:r>
    </w:p>
    <w:p w:rsidR="0072560D" w:rsidRPr="00BB2DCC" w:rsidRDefault="0072560D" w:rsidP="0072560D">
      <w:pPr>
        <w:spacing w:before="360"/>
        <w:rPr>
          <w:b/>
          <w:bCs/>
          <w:u w:val="single"/>
          <w:lang w:eastAsia="fr-FR" w:bidi="fr-FR"/>
        </w:rPr>
      </w:pPr>
      <w:r w:rsidRPr="00BB2DCC">
        <w:rPr>
          <w:b/>
          <w:bCs/>
          <w:u w:val="single"/>
          <w:lang w:eastAsia="fr-FR" w:bidi="fr-FR"/>
        </w:rPr>
        <w:t xml:space="preserve">Réunion du COMITÉ </w:t>
      </w:r>
      <w:r w:rsidR="008042C6" w:rsidRPr="00BB2DCC">
        <w:rPr>
          <w:b/>
          <w:bCs/>
          <w:u w:val="single"/>
          <w:lang w:eastAsia="fr-FR" w:bidi="fr-FR"/>
        </w:rPr>
        <w:t>MIXTE (JEUDI 8 OCTOBRE 2015 – 09:3</w:t>
      </w:r>
      <w:r w:rsidRPr="00BB2DCC">
        <w:rPr>
          <w:b/>
          <w:bCs/>
          <w:u w:val="single"/>
          <w:lang w:eastAsia="fr-FR" w:bidi="fr-FR"/>
        </w:rPr>
        <w:t>0)</w:t>
      </w:r>
    </w:p>
    <w:p w:rsidR="008042C6" w:rsidRPr="00BB2DCC" w:rsidRDefault="008042C6" w:rsidP="008042C6">
      <w:pPr>
        <w:pStyle w:val="PointManual"/>
        <w:spacing w:before="360"/>
        <w:rPr>
          <w:lang w:eastAsia="fr-FR" w:bidi="fr-FR"/>
        </w:rPr>
      </w:pPr>
      <w:r w:rsidRPr="00BB2DCC">
        <w:rPr>
          <w:lang w:eastAsia="fr-FR" w:bidi="fr-FR"/>
        </w:rPr>
        <w:t>-</w:t>
      </w:r>
      <w:r w:rsidRPr="00BB2DCC">
        <w:rPr>
          <w:lang w:eastAsia="fr-FR" w:bidi="fr-FR"/>
        </w:rPr>
        <w:tab/>
        <w:t>Le futur de la politique de gestion des frontières extérieures</w:t>
      </w:r>
    </w:p>
    <w:p w:rsidR="008042C6" w:rsidRPr="00BB2DCC" w:rsidRDefault="008042C6" w:rsidP="008042C6">
      <w:pPr>
        <w:pStyle w:val="DashEqual1"/>
      </w:pPr>
      <w:r w:rsidRPr="00BB2DCC">
        <w:t>Débat général</w:t>
      </w:r>
    </w:p>
    <w:p w:rsidR="00C03ADB" w:rsidRPr="00BB2DCC" w:rsidRDefault="00C03ADB" w:rsidP="00C03ADB">
      <w:pPr>
        <w:pStyle w:val="Text3"/>
      </w:pPr>
      <w:r w:rsidRPr="00BB2DCC">
        <w:t>12616/15 FRONT 208 JAI 713 COMIX 461</w:t>
      </w:r>
    </w:p>
    <w:p w:rsidR="0072560D" w:rsidRPr="00BB2DCC" w:rsidRDefault="0072560D" w:rsidP="0072560D">
      <w:pPr>
        <w:pStyle w:val="PointManual"/>
        <w:spacing w:before="360"/>
        <w:rPr>
          <w:lang w:eastAsia="fr-FR" w:bidi="fr-FR"/>
        </w:rPr>
      </w:pPr>
      <w:r w:rsidRPr="00BB2DCC">
        <w:rPr>
          <w:lang w:eastAsia="fr-FR" w:bidi="fr-FR"/>
        </w:rPr>
        <w:t>-</w:t>
      </w:r>
      <w:r w:rsidRPr="00BB2DCC">
        <w:rPr>
          <w:lang w:eastAsia="fr-FR" w:bidi="fr-FR"/>
        </w:rPr>
        <w:tab/>
        <w:t>Le futur de la politique de retour</w:t>
      </w:r>
    </w:p>
    <w:p w:rsidR="0072560D" w:rsidRPr="00BB2DCC" w:rsidRDefault="008042C6" w:rsidP="0072560D">
      <w:pPr>
        <w:pStyle w:val="PointManual1"/>
        <w:rPr>
          <w:lang w:eastAsia="fr-FR" w:bidi="fr-FR"/>
        </w:rPr>
      </w:pPr>
      <w:r w:rsidRPr="00BB2DCC">
        <w:rPr>
          <w:lang w:eastAsia="fr-FR" w:bidi="fr-FR"/>
        </w:rPr>
        <w:t>a)</w:t>
      </w:r>
      <w:r w:rsidR="0072560D" w:rsidRPr="00BB2DCC">
        <w:rPr>
          <w:lang w:eastAsia="fr-FR" w:bidi="fr-FR"/>
        </w:rPr>
        <w:tab/>
        <w:t>Communication de la Commission au Parlement européen et au Conseil relative à un plan d'action européen concernant les retours</w:t>
      </w:r>
    </w:p>
    <w:p w:rsidR="008042C6" w:rsidRPr="00BB2DCC" w:rsidRDefault="008042C6" w:rsidP="008042C6">
      <w:pPr>
        <w:pStyle w:val="Text3"/>
        <w:rPr>
          <w:lang w:eastAsia="fr-FR" w:bidi="fr-FR"/>
        </w:rPr>
      </w:pPr>
      <w:r w:rsidRPr="00BB2DCC">
        <w:rPr>
          <w:lang w:eastAsia="fr-FR" w:bidi="fr-FR"/>
        </w:rPr>
        <w:t>11846/15 MIGR 41 COMIX 389</w:t>
      </w:r>
    </w:p>
    <w:p w:rsidR="0072560D" w:rsidRPr="00BB2DCC" w:rsidRDefault="008042C6" w:rsidP="0072560D">
      <w:pPr>
        <w:pStyle w:val="PointManual1"/>
        <w:rPr>
          <w:lang w:eastAsia="fr-FR" w:bidi="fr-FR"/>
        </w:rPr>
      </w:pPr>
      <w:r w:rsidRPr="00BB2DCC">
        <w:rPr>
          <w:lang w:eastAsia="fr-FR" w:bidi="fr-FR"/>
        </w:rPr>
        <w:t>b)</w:t>
      </w:r>
      <w:r w:rsidR="0072560D" w:rsidRPr="00BB2DCC">
        <w:rPr>
          <w:lang w:eastAsia="fr-FR" w:bidi="fr-FR"/>
        </w:rPr>
        <w:tab/>
        <w:t>Recommandation de la Commission établissant un "manuel sur le retour" commun devant être utilisé par les autorités compétentes des États membres lorsqu'elles exécutent des tâches liées aux retours</w:t>
      </w:r>
    </w:p>
    <w:p w:rsidR="008042C6" w:rsidRPr="00BB2DCC" w:rsidRDefault="008042C6" w:rsidP="008042C6">
      <w:pPr>
        <w:pStyle w:val="Text3"/>
        <w:rPr>
          <w:lang w:eastAsia="fr-FR" w:bidi="fr-FR"/>
        </w:rPr>
      </w:pPr>
      <w:r w:rsidRPr="00BB2DCC">
        <w:rPr>
          <w:lang w:eastAsia="fr-FR" w:bidi="fr-FR"/>
        </w:rPr>
        <w:t>11847/15 MIGR 42 COMIX 390</w:t>
      </w:r>
    </w:p>
    <w:p w:rsidR="00C03ADB" w:rsidRPr="00BB2DCC" w:rsidRDefault="00C03ADB" w:rsidP="00C03ADB">
      <w:pPr>
        <w:pStyle w:val="Text4"/>
        <w:rPr>
          <w:lang w:eastAsia="fr-FR" w:bidi="fr-FR"/>
        </w:rPr>
      </w:pPr>
      <w:r w:rsidRPr="00BB2DCC">
        <w:rPr>
          <w:lang w:eastAsia="fr-FR" w:bidi="fr-FR"/>
        </w:rPr>
        <w:t>+ ADD</w:t>
      </w:r>
      <w:r w:rsidR="00656C36">
        <w:rPr>
          <w:lang w:eastAsia="fr-FR" w:bidi="fr-FR"/>
        </w:rPr>
        <w:t xml:space="preserve"> </w:t>
      </w:r>
      <w:bookmarkStart w:id="1" w:name="_GoBack"/>
      <w:bookmarkEnd w:id="1"/>
      <w:r w:rsidRPr="00BB2DCC">
        <w:rPr>
          <w:lang w:eastAsia="fr-FR" w:bidi="fr-FR"/>
        </w:rPr>
        <w:t>1</w:t>
      </w:r>
    </w:p>
    <w:p w:rsidR="008042C6" w:rsidRPr="00BB2DCC" w:rsidRDefault="008042C6" w:rsidP="009628DB">
      <w:pPr>
        <w:pStyle w:val="PointManual1"/>
        <w:rPr>
          <w:lang w:eastAsia="fr-FR" w:bidi="fr-FR"/>
        </w:rPr>
      </w:pPr>
      <w:r w:rsidRPr="00BB2DCC">
        <w:rPr>
          <w:lang w:eastAsia="fr-FR" w:bidi="fr-FR"/>
        </w:rPr>
        <w:t>c)</w:t>
      </w:r>
      <w:r w:rsidRPr="00BB2DCC">
        <w:rPr>
          <w:lang w:eastAsia="fr-FR" w:bidi="fr-FR"/>
        </w:rPr>
        <w:tab/>
        <w:t>Projet de conclusions du Conseil</w:t>
      </w:r>
    </w:p>
    <w:p w:rsidR="008042C6" w:rsidRPr="00BB2DCC" w:rsidRDefault="00DE11F4" w:rsidP="008042C6">
      <w:pPr>
        <w:pStyle w:val="Text3"/>
        <w:rPr>
          <w:lang w:eastAsia="fr-FR" w:bidi="fr-FR"/>
        </w:rPr>
      </w:pPr>
      <w:r w:rsidRPr="00BB2DCC">
        <w:rPr>
          <w:lang w:eastAsia="fr-FR" w:bidi="fr-FR"/>
        </w:rPr>
        <w:t>12420/15 MIGR 4</w:t>
      </w:r>
      <w:r w:rsidR="008042C6" w:rsidRPr="00BB2DCC">
        <w:rPr>
          <w:lang w:eastAsia="fr-FR" w:bidi="fr-FR"/>
        </w:rPr>
        <w:t>6 COMIX 441</w:t>
      </w:r>
    </w:p>
    <w:p w:rsidR="00C03ADB" w:rsidRPr="00BB2DCC" w:rsidRDefault="00C03ADB" w:rsidP="00C03ADB">
      <w:pPr>
        <w:pStyle w:val="Text4"/>
        <w:rPr>
          <w:lang w:eastAsia="fr-FR" w:bidi="fr-FR"/>
        </w:rPr>
      </w:pPr>
      <w:r w:rsidRPr="00BB2DCC">
        <w:rPr>
          <w:lang w:eastAsia="fr-FR" w:bidi="fr-FR"/>
        </w:rPr>
        <w:t>+ COR 1</w:t>
      </w:r>
    </w:p>
    <w:p w:rsidR="009628DB" w:rsidRPr="00BB2DCC" w:rsidRDefault="009628DB" w:rsidP="009628DB">
      <w:pPr>
        <w:pStyle w:val="DashEqual1"/>
        <w:rPr>
          <w:lang w:eastAsia="fr-FR" w:bidi="fr-FR"/>
        </w:rPr>
      </w:pPr>
      <w:r w:rsidRPr="00BB2DCC">
        <w:rPr>
          <w:lang w:eastAsia="fr-FR" w:bidi="fr-FR"/>
        </w:rPr>
        <w:t>Présentation des propositions de la Commission et débat général</w:t>
      </w:r>
    </w:p>
    <w:p w:rsidR="0072560D" w:rsidRPr="00BB2DCC" w:rsidRDefault="0072560D" w:rsidP="0072560D">
      <w:pPr>
        <w:pStyle w:val="PointManual"/>
        <w:spacing w:before="360"/>
        <w:rPr>
          <w:lang w:eastAsia="fr-FR" w:bidi="fr-FR"/>
        </w:rPr>
      </w:pPr>
      <w:r w:rsidRPr="00BB2DCC">
        <w:rPr>
          <w:lang w:eastAsia="fr-FR" w:bidi="fr-FR"/>
        </w:rPr>
        <w:t>-</w:t>
      </w:r>
      <w:r w:rsidRPr="00BB2DCC">
        <w:rPr>
          <w:lang w:eastAsia="fr-FR" w:bidi="fr-FR"/>
        </w:rPr>
        <w:tab/>
        <w:t>Politique des visas</w:t>
      </w:r>
    </w:p>
    <w:p w:rsidR="0072560D" w:rsidRPr="00BB2DCC" w:rsidRDefault="008042C6" w:rsidP="0072560D">
      <w:pPr>
        <w:pStyle w:val="PointManual1"/>
        <w:rPr>
          <w:lang w:eastAsia="en-GB"/>
        </w:rPr>
      </w:pPr>
      <w:r w:rsidRPr="00BB2DCC">
        <w:t>a)</w:t>
      </w:r>
      <w:r w:rsidR="0072560D" w:rsidRPr="00BB2DCC">
        <w:tab/>
        <w:t xml:space="preserve">Proposition de règlement du Parlement européen et du Conseil relatif au code des visas de l'Union (refonte) </w:t>
      </w:r>
      <w:r w:rsidR="0072560D" w:rsidRPr="00BB2DCC">
        <w:rPr>
          <w:b/>
          <w:bCs/>
        </w:rPr>
        <w:t>(première lecture)</w:t>
      </w:r>
    </w:p>
    <w:p w:rsidR="0072560D" w:rsidRPr="00BB2DCC" w:rsidRDefault="008042C6" w:rsidP="0072560D">
      <w:pPr>
        <w:pStyle w:val="PointManual1"/>
      </w:pPr>
      <w:r w:rsidRPr="00BB2DCC">
        <w:t>b)</w:t>
      </w:r>
      <w:r w:rsidR="0072560D" w:rsidRPr="00BB2DCC">
        <w:tab/>
        <w:t xml:space="preserve">Proposition de règlement du Parlement européen et du Conseil portant création d'un visa d'itinérance et modifiant la convention d'application de l'accord de Schengen ainsi que les règlements (CE) n°562/2006 et (CE) n°767/2008 </w:t>
      </w:r>
      <w:r w:rsidR="0072560D" w:rsidRPr="00BB2DCC">
        <w:rPr>
          <w:b/>
          <w:bCs/>
        </w:rPr>
        <w:t>(première lecture)</w:t>
      </w:r>
    </w:p>
    <w:p w:rsidR="0072560D" w:rsidRPr="00BB2DCC" w:rsidRDefault="0072560D" w:rsidP="0090711B">
      <w:pPr>
        <w:pStyle w:val="DashEqual2"/>
      </w:pPr>
      <w:r w:rsidRPr="00BB2DCC">
        <w:t>Débat d'orientation/Rapport sur l'état des travaux</w:t>
      </w:r>
    </w:p>
    <w:p w:rsidR="008042C6" w:rsidRPr="00BB2DCC" w:rsidRDefault="008042C6" w:rsidP="008042C6">
      <w:pPr>
        <w:pStyle w:val="Text3"/>
      </w:pPr>
      <w:r w:rsidRPr="00BB2DCC">
        <w:t>12382/15 VISA 314 CODEC 1248 COMIX 435</w:t>
      </w:r>
    </w:p>
    <w:p w:rsidR="0072560D" w:rsidRPr="00BB2DCC" w:rsidRDefault="0072560D" w:rsidP="0072560D">
      <w:pPr>
        <w:pStyle w:val="PointManual"/>
        <w:spacing w:before="360"/>
        <w:rPr>
          <w:lang w:eastAsia="fr-FR" w:bidi="fr-FR"/>
        </w:rPr>
      </w:pPr>
      <w:r w:rsidRPr="00BB2DCC">
        <w:rPr>
          <w:lang w:eastAsia="fr-FR" w:bidi="fr-FR"/>
        </w:rPr>
        <w:t>-</w:t>
      </w:r>
      <w:r w:rsidRPr="00BB2DCC">
        <w:rPr>
          <w:lang w:eastAsia="fr-FR" w:bidi="fr-FR"/>
        </w:rPr>
        <w:tab/>
        <w:t>Divers</w:t>
      </w:r>
    </w:p>
    <w:p w:rsidR="0072560D" w:rsidRPr="00BB2DCC" w:rsidRDefault="0072560D" w:rsidP="0072560D">
      <w:pPr>
        <w:pStyle w:val="HeadingLeft"/>
        <w:rPr>
          <w:lang w:eastAsia="fr-BE"/>
        </w:rPr>
      </w:pPr>
      <w:r w:rsidRPr="00BB2DCC">
        <w:rPr>
          <w:b w:val="0"/>
          <w:lang w:eastAsia="fr-BE"/>
        </w:rPr>
        <w:br w:type="page"/>
      </w:r>
      <w:r w:rsidRPr="00BB2DCC">
        <w:rPr>
          <w:u w:val="none"/>
          <w:lang w:eastAsia="fr-BE"/>
        </w:rPr>
        <w:lastRenderedPageBreak/>
        <w:t>B.</w:t>
      </w:r>
      <w:r w:rsidRPr="00BB2DCC">
        <w:rPr>
          <w:u w:val="none"/>
          <w:lang w:eastAsia="fr-BE"/>
        </w:rPr>
        <w:tab/>
      </w:r>
      <w:r w:rsidRPr="00BB2DCC">
        <w:rPr>
          <w:lang w:eastAsia="fr-BE"/>
        </w:rPr>
        <w:t>VENDREDI 9 OCTOBRE 2015 (10:</w:t>
      </w:r>
      <w:r w:rsidR="00776EDF" w:rsidRPr="00BB2DCC">
        <w:rPr>
          <w:lang w:eastAsia="fr-BE"/>
        </w:rPr>
        <w:t>00)</w:t>
      </w:r>
    </w:p>
    <w:p w:rsidR="0072560D" w:rsidRPr="00BB2DCC" w:rsidRDefault="0072560D" w:rsidP="0072560D">
      <w:pPr>
        <w:pStyle w:val="HeadingLeft"/>
        <w:spacing w:before="240"/>
        <w:rPr>
          <w:lang w:eastAsia="fr-BE"/>
        </w:rPr>
      </w:pPr>
      <w:r w:rsidRPr="00BB2DCC">
        <w:rPr>
          <w:lang w:eastAsia="fr-BE"/>
        </w:rPr>
        <w:t>JUSTICE</w:t>
      </w:r>
    </w:p>
    <w:p w:rsidR="0072560D" w:rsidRPr="00BB2DCC" w:rsidRDefault="0072560D" w:rsidP="0072560D">
      <w:pPr>
        <w:pStyle w:val="Title"/>
        <w:rPr>
          <w:i w:val="0"/>
          <w:iCs/>
        </w:rPr>
      </w:pPr>
      <w:r w:rsidRPr="00BB2DCC">
        <w:rPr>
          <w:i w:val="0"/>
          <w:iCs/>
        </w:rPr>
        <w:t>Délibérations législatives</w:t>
      </w:r>
    </w:p>
    <w:p w:rsidR="0072560D" w:rsidRPr="00BB2DCC" w:rsidRDefault="0072560D" w:rsidP="0072560D">
      <w:pPr>
        <w:pStyle w:val="PointManual"/>
        <w:spacing w:before="120"/>
        <w:rPr>
          <w:lang w:eastAsia="en-GB"/>
        </w:rPr>
      </w:pPr>
      <w:r w:rsidRPr="00BB2DCC">
        <w:t>-</w:t>
      </w:r>
      <w:r w:rsidRPr="00BB2DCC">
        <w:tab/>
        <w:t xml:space="preserve">Proposition de 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w:t>
      </w:r>
      <w:r w:rsidRPr="00BB2DCC">
        <w:rPr>
          <w:b/>
          <w:bCs/>
        </w:rPr>
        <w:t>(première lecture)</w:t>
      </w:r>
    </w:p>
    <w:p w:rsidR="0072560D" w:rsidRPr="00BB2DCC" w:rsidRDefault="0072560D" w:rsidP="0072560D">
      <w:pPr>
        <w:pStyle w:val="DashEqual1"/>
      </w:pPr>
      <w:r w:rsidRPr="00BB2DCC">
        <w:t>Orientation générale (</w:t>
      </w:r>
      <w:r w:rsidRPr="00BB2DCC">
        <w:rPr>
          <w:vertAlign w:val="superscript"/>
        </w:rPr>
        <w:footnoteReference w:customMarkFollows="1" w:id="4"/>
        <w:sym w:font="Symbol" w:char="F0B7"/>
      </w:r>
      <w:r w:rsidRPr="00BB2DCC">
        <w:t>)</w:t>
      </w:r>
    </w:p>
    <w:p w:rsidR="008042C6" w:rsidRPr="00BB2DCC" w:rsidRDefault="008042C6" w:rsidP="008042C6">
      <w:pPr>
        <w:pStyle w:val="Text3"/>
      </w:pPr>
      <w:r w:rsidRPr="00BB2DCC">
        <w:t>12555/15 DATAPROTECT 154 JAI 707 DAPIX 163 FREMP 202 COMIX 456</w:t>
      </w:r>
    </w:p>
    <w:p w:rsidR="008042C6" w:rsidRPr="00BB2DCC" w:rsidRDefault="008042C6" w:rsidP="008042C6">
      <w:pPr>
        <w:pStyle w:val="Text5"/>
      </w:pPr>
      <w:r w:rsidRPr="00BB2DCC">
        <w:t>CODEC 1279</w:t>
      </w:r>
    </w:p>
    <w:p w:rsidR="0072560D" w:rsidRPr="00BB2DCC" w:rsidRDefault="0072560D" w:rsidP="0072560D">
      <w:pPr>
        <w:pStyle w:val="PointManual"/>
        <w:spacing w:before="360"/>
      </w:pPr>
      <w:r w:rsidRPr="00BB2DCC">
        <w:t>-</w:t>
      </w:r>
      <w:r w:rsidRPr="00BB2DCC">
        <w:tab/>
        <w:t>Proposition de règlement du Conseil portant création du Parquet européen</w:t>
      </w:r>
    </w:p>
    <w:p w:rsidR="0072560D" w:rsidRPr="00BB2DCC" w:rsidRDefault="0072560D" w:rsidP="0072560D">
      <w:pPr>
        <w:pStyle w:val="DashEqual1"/>
      </w:pPr>
      <w:r w:rsidRPr="00BB2DCC">
        <w:t>Orientation générale partielle</w:t>
      </w:r>
    </w:p>
    <w:p w:rsidR="008042C6" w:rsidRPr="00BB2DCC" w:rsidRDefault="00282CAE" w:rsidP="008042C6">
      <w:pPr>
        <w:pStyle w:val="Text3"/>
      </w:pPr>
      <w:r w:rsidRPr="00BB2DCC">
        <w:t>12621/15 EP</w:t>
      </w:r>
      <w:r w:rsidR="008042C6" w:rsidRPr="00BB2DCC">
        <w:t>PO 37 EUROJUST 168 CATS 98 FIN 660 COPEN 256 GAF 39</w:t>
      </w:r>
    </w:p>
    <w:p w:rsidR="0072560D" w:rsidRPr="00BB2DCC" w:rsidRDefault="0072560D" w:rsidP="0072560D">
      <w:pPr>
        <w:pStyle w:val="PointManual"/>
        <w:spacing w:before="360"/>
      </w:pPr>
      <w:r w:rsidRPr="00BB2DCC">
        <w:t>-</w:t>
      </w:r>
      <w:r w:rsidRPr="00BB2DCC">
        <w:tab/>
        <w:t>Divers</w:t>
      </w:r>
    </w:p>
    <w:p w:rsidR="0072560D" w:rsidRPr="00BB2DCC" w:rsidRDefault="0072560D" w:rsidP="0072560D">
      <w:pPr>
        <w:pStyle w:val="PointManual1"/>
        <w:spacing w:before="120"/>
      </w:pPr>
      <w:r w:rsidRPr="00BB2DCC">
        <w:t>a)</w:t>
      </w:r>
      <w:r w:rsidRPr="00BB2DCC">
        <w:tab/>
        <w:t>Informations communiquées par la Présidence au sujet des propositions législatives en cours d'examen</w:t>
      </w:r>
    </w:p>
    <w:p w:rsidR="0072560D" w:rsidRPr="00BB2DCC" w:rsidRDefault="0072560D" w:rsidP="0072560D">
      <w:pPr>
        <w:pStyle w:val="PointManual1"/>
        <w:spacing w:before="120"/>
      </w:pPr>
      <w:r w:rsidRPr="00BB2DCC">
        <w:t>b)</w:t>
      </w:r>
      <w:r w:rsidRPr="00BB2DCC">
        <w:tab/>
        <w:t>Directive 2012/29/UE du Parlement et du Conseil du 25 octobre 2012 établissant des normes minimales concernant les droits, le soutien et la protection des victimes de la criminalité</w:t>
      </w:r>
      <w:r w:rsidR="0090711B" w:rsidRPr="00BB2DCC">
        <w:t xml:space="preserve"> </w:t>
      </w:r>
      <w:r w:rsidRPr="00BB2DCC">
        <w:t>: transposition</w:t>
      </w:r>
    </w:p>
    <w:p w:rsidR="0072560D" w:rsidRPr="00BB2DCC" w:rsidRDefault="0072560D" w:rsidP="0072560D">
      <w:pPr>
        <w:pStyle w:val="DashEqual2"/>
      </w:pPr>
      <w:r w:rsidRPr="00BB2DCC">
        <w:t>Information de la Commission</w:t>
      </w:r>
    </w:p>
    <w:p w:rsidR="0072560D" w:rsidRPr="00BB2DCC" w:rsidRDefault="0072560D" w:rsidP="0072560D">
      <w:pPr>
        <w:pStyle w:val="Title"/>
        <w:rPr>
          <w:i w:val="0"/>
          <w:iCs/>
        </w:rPr>
      </w:pPr>
      <w:r w:rsidRPr="00BB2DCC">
        <w:rPr>
          <w:i w:val="0"/>
          <w:iCs/>
        </w:rPr>
        <w:t>Activités non législatives</w:t>
      </w:r>
    </w:p>
    <w:p w:rsidR="00C03ADB" w:rsidRPr="00BB2DCC" w:rsidRDefault="00C03ADB" w:rsidP="00C03ADB">
      <w:pPr>
        <w:pStyle w:val="PointManual"/>
        <w:spacing w:before="120"/>
        <w:rPr>
          <w:lang w:val="fr-BE"/>
        </w:rPr>
      </w:pPr>
      <w:r w:rsidRPr="00BB2DCC">
        <w:t>-</w:t>
      </w:r>
      <w:r w:rsidRPr="00BB2DCC">
        <w:tab/>
      </w:r>
      <w:r w:rsidRPr="00BB2DCC">
        <w:rPr>
          <w:lang w:val="fr-BE"/>
        </w:rPr>
        <w:t xml:space="preserve">Conséquences de l'arrêt </w:t>
      </w:r>
      <w:r w:rsidR="00B00174" w:rsidRPr="00BB2DCC">
        <w:rPr>
          <w:lang w:val="fr-BE"/>
        </w:rPr>
        <w:t xml:space="preserve">Maximilian </w:t>
      </w:r>
      <w:proofErr w:type="spellStart"/>
      <w:r w:rsidRPr="00BB2DCC">
        <w:rPr>
          <w:lang w:val="fr-BE"/>
        </w:rPr>
        <w:t>Schrems</w:t>
      </w:r>
      <w:proofErr w:type="spellEnd"/>
      <w:r w:rsidR="00B00174" w:rsidRPr="00BB2DCC">
        <w:rPr>
          <w:lang w:val="fr-BE"/>
        </w:rPr>
        <w:t xml:space="preserve"> / Data Protection </w:t>
      </w:r>
      <w:proofErr w:type="spellStart"/>
      <w:r w:rsidR="00B00174" w:rsidRPr="00BB2DCC">
        <w:rPr>
          <w:lang w:val="fr-BE"/>
        </w:rPr>
        <w:t>Commissioner</w:t>
      </w:r>
      <w:proofErr w:type="spellEnd"/>
      <w:r w:rsidR="00B00174" w:rsidRPr="00BB2DCC">
        <w:rPr>
          <w:lang w:val="fr-BE"/>
        </w:rPr>
        <w:t xml:space="preserve"> du</w:t>
      </w:r>
      <w:r w:rsidR="00B00174" w:rsidRPr="00BB2DCC">
        <w:rPr>
          <w:lang w:val="fr-BE"/>
        </w:rPr>
        <w:br/>
      </w:r>
      <w:r w:rsidRPr="00BB2DCC">
        <w:rPr>
          <w:lang w:val="fr-BE"/>
        </w:rPr>
        <w:t>6 octobre 2015 (C 362/14)</w:t>
      </w:r>
    </w:p>
    <w:p w:rsidR="00C03ADB" w:rsidRPr="00BB2DCC" w:rsidRDefault="00C03ADB" w:rsidP="00C03ADB">
      <w:pPr>
        <w:pStyle w:val="DashEqual1"/>
      </w:pPr>
      <w:r w:rsidRPr="00BB2DCC">
        <w:t>Information de la Commission</w:t>
      </w:r>
    </w:p>
    <w:p w:rsidR="0072560D" w:rsidRPr="00BB2DCC" w:rsidRDefault="0072560D" w:rsidP="00C03ADB">
      <w:pPr>
        <w:pStyle w:val="PointManual"/>
        <w:spacing w:before="360"/>
      </w:pPr>
      <w:r w:rsidRPr="00BB2DCC">
        <w:t>-</w:t>
      </w:r>
      <w:r w:rsidRPr="00BB2DCC">
        <w:tab/>
        <w:t>Adhésion de l'Union européenne à la Convention européenne de sauvegarde des droits de l'homme et libertés fondamentales</w:t>
      </w:r>
    </w:p>
    <w:p w:rsidR="0072560D" w:rsidRPr="00BB2DCC" w:rsidRDefault="0072560D" w:rsidP="0072560D">
      <w:pPr>
        <w:pStyle w:val="DashEqual1"/>
      </w:pPr>
      <w:r w:rsidRPr="00BB2DCC">
        <w:t>Rapport sur l'état des travaux</w:t>
      </w:r>
    </w:p>
    <w:p w:rsidR="008042C6" w:rsidRPr="00BB2DCC" w:rsidRDefault="008042C6" w:rsidP="008042C6">
      <w:pPr>
        <w:pStyle w:val="Text3"/>
      </w:pPr>
      <w:r w:rsidRPr="00BB2DCC">
        <w:t>12528/15 JAI 702 FREMP 199</w:t>
      </w:r>
    </w:p>
    <w:p w:rsidR="0072560D" w:rsidRPr="00BB2DCC" w:rsidRDefault="00C03ADB" w:rsidP="0072560D">
      <w:pPr>
        <w:pStyle w:val="PointManual"/>
        <w:spacing w:before="360"/>
      </w:pPr>
      <w:r w:rsidRPr="00BB2DCC">
        <w:br w:type="page"/>
      </w:r>
      <w:r w:rsidR="0072560D" w:rsidRPr="00BB2DCC">
        <w:lastRenderedPageBreak/>
        <w:t>-</w:t>
      </w:r>
      <w:r w:rsidR="0072560D" w:rsidRPr="00BB2DCC">
        <w:tab/>
        <w:t>Crise migratoire</w:t>
      </w:r>
      <w:r w:rsidR="0090711B" w:rsidRPr="00BB2DCC">
        <w:t xml:space="preserve"> </w:t>
      </w:r>
      <w:r w:rsidR="0072560D" w:rsidRPr="00BB2DCC">
        <w:t>: aspects de coopération judiciaire et lutte contre la xénophobie</w:t>
      </w:r>
    </w:p>
    <w:p w:rsidR="0072560D" w:rsidRPr="00BB2DCC" w:rsidRDefault="0072560D" w:rsidP="0072560D">
      <w:pPr>
        <w:pStyle w:val="DashEqual1"/>
      </w:pPr>
      <w:r w:rsidRPr="00BB2DCC">
        <w:t>Débat général</w:t>
      </w:r>
    </w:p>
    <w:p w:rsidR="00CC3A4A" w:rsidRPr="00BB2DCC" w:rsidRDefault="00CC3A4A" w:rsidP="00CC3A4A">
      <w:pPr>
        <w:pStyle w:val="Text3"/>
        <w:rPr>
          <w:lang w:val="en-GB"/>
        </w:rPr>
      </w:pPr>
      <w:r w:rsidRPr="00BB2DCC">
        <w:rPr>
          <w:lang w:val="en-GB"/>
        </w:rPr>
        <w:t>12372/15 JAI 692 CATS 91 ASIM 94 COPEN 248 FREMP 191 JAIEX 71</w:t>
      </w:r>
    </w:p>
    <w:p w:rsidR="008042C6" w:rsidRPr="00BB2DCC" w:rsidRDefault="008042C6" w:rsidP="008042C6">
      <w:pPr>
        <w:pStyle w:val="PointManual"/>
        <w:spacing w:before="360"/>
        <w:rPr>
          <w:lang w:val="fr-BE"/>
        </w:rPr>
      </w:pPr>
      <w:r w:rsidRPr="00BB2DCC">
        <w:rPr>
          <w:lang w:val="fr-BE"/>
        </w:rPr>
        <w:t>-</w:t>
      </w:r>
      <w:r w:rsidRPr="00BB2DCC">
        <w:rPr>
          <w:lang w:val="fr-BE"/>
        </w:rPr>
        <w:tab/>
        <w:t xml:space="preserve">Implications de l'arrêt </w:t>
      </w:r>
      <w:proofErr w:type="spellStart"/>
      <w:r w:rsidRPr="00BB2DCC">
        <w:rPr>
          <w:lang w:val="fr-BE"/>
        </w:rPr>
        <w:t>Taricco</w:t>
      </w:r>
      <w:proofErr w:type="spellEnd"/>
      <w:r w:rsidRPr="00BB2DCC">
        <w:rPr>
          <w:lang w:val="fr-BE"/>
        </w:rPr>
        <w:t xml:space="preserve"> du 8 Septembre 2015 (C-105/14) pour les dossiers en cours</w:t>
      </w:r>
    </w:p>
    <w:p w:rsidR="008042C6" w:rsidRPr="00BB2DCC" w:rsidRDefault="008042C6" w:rsidP="008042C6">
      <w:pPr>
        <w:pStyle w:val="DashEqual1"/>
        <w:rPr>
          <w:lang w:val="fr-BE"/>
        </w:rPr>
      </w:pPr>
      <w:r w:rsidRPr="00BB2DCC">
        <w:rPr>
          <w:lang w:val="fr-BE"/>
        </w:rPr>
        <w:t>Débat général</w:t>
      </w:r>
    </w:p>
    <w:p w:rsidR="008042C6" w:rsidRPr="00BB2DCC" w:rsidRDefault="008042C6" w:rsidP="008042C6">
      <w:pPr>
        <w:pStyle w:val="Text3"/>
        <w:rPr>
          <w:lang w:val="fr-BE"/>
        </w:rPr>
      </w:pPr>
      <w:r w:rsidRPr="00BB2DCC">
        <w:rPr>
          <w:lang w:val="fr-BE"/>
        </w:rPr>
        <w:t>12549/15 DROIPEN 109 CATS 93 JAI 704 GAP 38 FIN 659 CADREFIN 59</w:t>
      </w:r>
    </w:p>
    <w:p w:rsidR="008042C6" w:rsidRPr="00BB2DCC" w:rsidRDefault="008042C6" w:rsidP="008042C6">
      <w:pPr>
        <w:pStyle w:val="Text5"/>
        <w:rPr>
          <w:lang w:val="fr-BE"/>
        </w:rPr>
      </w:pPr>
      <w:r w:rsidRPr="00BB2DCC">
        <w:rPr>
          <w:lang w:val="fr-BE"/>
        </w:rPr>
        <w:t>CODEC 1276</w:t>
      </w:r>
    </w:p>
    <w:p w:rsidR="009809AA" w:rsidRPr="00BB2DCC" w:rsidRDefault="009809AA" w:rsidP="009809AA">
      <w:pPr>
        <w:pStyle w:val="PointManual"/>
        <w:spacing w:before="360"/>
      </w:pPr>
      <w:r w:rsidRPr="00BB2DCC">
        <w:t>-</w:t>
      </w:r>
      <w:r w:rsidRPr="00BB2DCC">
        <w:tab/>
        <w:t>Divers</w:t>
      </w:r>
    </w:p>
    <w:p w:rsidR="0072560D" w:rsidRPr="00BB2DCC" w:rsidRDefault="0072560D" w:rsidP="0072560D">
      <w:pPr>
        <w:spacing w:before="360"/>
        <w:jc w:val="center"/>
        <w:rPr>
          <w:snapToGrid w:val="0"/>
          <w:lang w:val="fr-BE"/>
        </w:rPr>
      </w:pPr>
      <w:r w:rsidRPr="00BB2DCC">
        <w:rPr>
          <w:snapToGrid w:val="0"/>
          <w:lang w:val="fr-BE"/>
        </w:rPr>
        <w:t>o</w:t>
      </w:r>
    </w:p>
    <w:p w:rsidR="0072560D" w:rsidRPr="00BB2DCC" w:rsidRDefault="0072560D" w:rsidP="0072560D">
      <w:pPr>
        <w:spacing w:before="120"/>
        <w:jc w:val="center"/>
        <w:rPr>
          <w:snapToGrid w:val="0"/>
          <w:lang w:val="fr-BE"/>
        </w:rPr>
      </w:pPr>
      <w:r w:rsidRPr="00BB2DCC">
        <w:rPr>
          <w:snapToGrid w:val="0"/>
          <w:lang w:val="fr-BE"/>
        </w:rPr>
        <w:t>o</w:t>
      </w:r>
      <w:r w:rsidRPr="00BB2DCC">
        <w:rPr>
          <w:snapToGrid w:val="0"/>
          <w:lang w:val="fr-BE"/>
        </w:rPr>
        <w:tab/>
      </w:r>
      <w:proofErr w:type="spellStart"/>
      <w:r w:rsidRPr="00BB2DCC">
        <w:rPr>
          <w:snapToGrid w:val="0"/>
          <w:lang w:val="fr-BE"/>
        </w:rPr>
        <w:t>o</w:t>
      </w:r>
      <w:proofErr w:type="spellEnd"/>
    </w:p>
    <w:p w:rsidR="0072560D" w:rsidRPr="00BB2DCC" w:rsidRDefault="0072560D" w:rsidP="0072560D">
      <w:pPr>
        <w:spacing w:before="360"/>
        <w:rPr>
          <w:b/>
          <w:bCs/>
          <w:lang w:eastAsia="fr-FR" w:bidi="fr-FR"/>
        </w:rPr>
      </w:pPr>
      <w:bookmarkStart w:id="2" w:name="ControlPages"/>
      <w:bookmarkEnd w:id="2"/>
      <w:r w:rsidRPr="00BB2DCC">
        <w:rPr>
          <w:b/>
          <w:bCs/>
          <w:u w:val="single"/>
          <w:lang w:eastAsia="fr-FR" w:bidi="fr-FR"/>
        </w:rPr>
        <w:t>En marge du Conseil</w:t>
      </w:r>
      <w:r w:rsidRPr="00BB2DCC">
        <w:rPr>
          <w:b/>
          <w:bCs/>
          <w:lang w:eastAsia="fr-FR" w:bidi="fr-FR"/>
        </w:rPr>
        <w:t xml:space="preserve"> :</w:t>
      </w:r>
    </w:p>
    <w:p w:rsidR="0072560D" w:rsidRPr="00BB2DCC" w:rsidRDefault="0072560D" w:rsidP="0072560D">
      <w:pPr>
        <w:spacing w:before="360"/>
        <w:rPr>
          <w:b/>
          <w:bCs/>
          <w:u w:val="single"/>
          <w:lang w:eastAsia="fr-FR" w:bidi="fr-FR"/>
        </w:rPr>
      </w:pPr>
      <w:r w:rsidRPr="00BB2DCC">
        <w:rPr>
          <w:b/>
          <w:bCs/>
          <w:u w:val="single"/>
          <w:lang w:eastAsia="fr-FR" w:bidi="fr-FR"/>
        </w:rPr>
        <w:t>Réunion du COMITÉ MIXTE (VENDREDI 9 OCTOBRE 2015 – 10:00)</w:t>
      </w:r>
    </w:p>
    <w:p w:rsidR="0072560D" w:rsidRPr="00BB2DCC" w:rsidRDefault="0072560D" w:rsidP="0072560D">
      <w:pPr>
        <w:pStyle w:val="PointManual"/>
        <w:spacing w:before="360"/>
        <w:rPr>
          <w:lang w:eastAsia="en-GB"/>
        </w:rPr>
      </w:pPr>
      <w:r w:rsidRPr="00BB2DCC">
        <w:t>-</w:t>
      </w:r>
      <w:r w:rsidRPr="00BB2DCC">
        <w:tab/>
        <w:t xml:space="preserve">Proposition de 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w:t>
      </w:r>
      <w:r w:rsidRPr="00BB2DCC">
        <w:rPr>
          <w:b/>
          <w:bCs/>
        </w:rPr>
        <w:t>(première lecture)</w:t>
      </w:r>
    </w:p>
    <w:p w:rsidR="0072560D" w:rsidRPr="00BB2DCC" w:rsidRDefault="0072560D" w:rsidP="0072560D">
      <w:pPr>
        <w:pStyle w:val="DashEqual1"/>
      </w:pPr>
      <w:r w:rsidRPr="00BB2DCC">
        <w:t>État des lieux et débat général</w:t>
      </w:r>
    </w:p>
    <w:p w:rsidR="008042C6" w:rsidRPr="00BB2DCC" w:rsidRDefault="008042C6" w:rsidP="008042C6">
      <w:pPr>
        <w:pStyle w:val="Text3"/>
      </w:pPr>
      <w:r w:rsidRPr="00BB2DCC">
        <w:t>12555/15 DATAPROTECT 154 JAI 707 DAPIX 163 FREMP 202 COMIX 456</w:t>
      </w:r>
    </w:p>
    <w:p w:rsidR="008042C6" w:rsidRPr="008042C6" w:rsidRDefault="008042C6" w:rsidP="008042C6">
      <w:pPr>
        <w:pStyle w:val="Text5"/>
      </w:pPr>
      <w:r w:rsidRPr="00BB2DCC">
        <w:t>CODEC 1279</w:t>
      </w:r>
    </w:p>
    <w:p w:rsidR="00E57566" w:rsidRPr="006A4740" w:rsidRDefault="00E57566" w:rsidP="0072560D">
      <w:pPr>
        <w:pStyle w:val="FinalLine"/>
        <w:spacing w:before="960"/>
      </w:pPr>
    </w:p>
    <w:sectPr w:rsidR="00E57566" w:rsidRPr="006A4740" w:rsidSect="00BB2DC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66" w:rsidRDefault="00E57566" w:rsidP="00E57566">
      <w:r>
        <w:separator/>
      </w:r>
    </w:p>
  </w:endnote>
  <w:endnote w:type="continuationSeparator" w:id="0">
    <w:p w:rsidR="00E57566" w:rsidRDefault="00E57566" w:rsidP="00E5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CC" w:rsidRPr="00BB2DCC" w:rsidRDefault="00BB2DCC" w:rsidP="00BB2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B2DCC" w:rsidRPr="00D94637" w:rsidTr="00BB2DCC">
      <w:trPr>
        <w:jc w:val="center"/>
      </w:trPr>
      <w:tc>
        <w:tcPr>
          <w:tcW w:w="5000" w:type="pct"/>
          <w:gridSpan w:val="7"/>
          <w:shd w:val="clear" w:color="auto" w:fill="auto"/>
          <w:tcMar>
            <w:top w:w="57" w:type="dxa"/>
          </w:tcMar>
        </w:tcPr>
        <w:p w:rsidR="00BB2DCC" w:rsidRPr="00D94637" w:rsidRDefault="00BB2DCC" w:rsidP="00D94637">
          <w:pPr>
            <w:pStyle w:val="FooterText"/>
            <w:pBdr>
              <w:top w:val="single" w:sz="4" w:space="1" w:color="auto"/>
            </w:pBdr>
            <w:spacing w:before="200"/>
            <w:rPr>
              <w:sz w:val="2"/>
              <w:szCs w:val="2"/>
            </w:rPr>
          </w:pPr>
          <w:bookmarkStart w:id="3" w:name="FOOTER_STANDARD"/>
        </w:p>
      </w:tc>
    </w:tr>
    <w:tr w:rsidR="00BB2DCC" w:rsidRPr="00B310DC" w:rsidTr="00BB2DCC">
      <w:trPr>
        <w:jc w:val="center"/>
      </w:trPr>
      <w:tc>
        <w:tcPr>
          <w:tcW w:w="2500" w:type="pct"/>
          <w:gridSpan w:val="2"/>
          <w:shd w:val="clear" w:color="auto" w:fill="auto"/>
          <w:tcMar>
            <w:top w:w="0" w:type="dxa"/>
          </w:tcMar>
        </w:tcPr>
        <w:p w:rsidR="00BB2DCC" w:rsidRPr="00AD7BF2" w:rsidRDefault="00BB2DCC" w:rsidP="004F54B2">
          <w:pPr>
            <w:pStyle w:val="FooterText"/>
          </w:pPr>
          <w:r>
            <w:t>CM 3900/2/15</w:t>
          </w:r>
          <w:r w:rsidRPr="002511D8">
            <w:t xml:space="preserve"> </w:t>
          </w:r>
          <w:r>
            <w:t>REV 2</w:t>
          </w:r>
        </w:p>
      </w:tc>
      <w:tc>
        <w:tcPr>
          <w:tcW w:w="625" w:type="pct"/>
          <w:shd w:val="clear" w:color="auto" w:fill="auto"/>
          <w:tcMar>
            <w:top w:w="0" w:type="dxa"/>
          </w:tcMar>
        </w:tcPr>
        <w:p w:rsidR="00BB2DCC" w:rsidRPr="00AD7BF2" w:rsidRDefault="00BB2DCC" w:rsidP="00D94637">
          <w:pPr>
            <w:pStyle w:val="FooterText"/>
            <w:jc w:val="center"/>
          </w:pPr>
        </w:p>
      </w:tc>
      <w:tc>
        <w:tcPr>
          <w:tcW w:w="1287" w:type="pct"/>
          <w:gridSpan w:val="3"/>
          <w:shd w:val="clear" w:color="auto" w:fill="auto"/>
          <w:tcMar>
            <w:top w:w="0" w:type="dxa"/>
          </w:tcMar>
        </w:tcPr>
        <w:p w:rsidR="00BB2DCC" w:rsidRPr="002511D8" w:rsidRDefault="00BB2DCC" w:rsidP="00D94637">
          <w:pPr>
            <w:pStyle w:val="FooterText"/>
            <w:jc w:val="center"/>
          </w:pPr>
        </w:p>
      </w:tc>
      <w:tc>
        <w:tcPr>
          <w:tcW w:w="588" w:type="pct"/>
          <w:shd w:val="clear" w:color="auto" w:fill="auto"/>
          <w:tcMar>
            <w:top w:w="0" w:type="dxa"/>
          </w:tcMar>
        </w:tcPr>
        <w:p w:rsidR="00BB2DCC" w:rsidRPr="00B310DC" w:rsidRDefault="00BB2DCC" w:rsidP="00D94637">
          <w:pPr>
            <w:pStyle w:val="FooterText"/>
            <w:jc w:val="right"/>
          </w:pPr>
          <w:r>
            <w:fldChar w:fldCharType="begin"/>
          </w:r>
          <w:r>
            <w:instrText xml:space="preserve"> PAGE  \* MERGEFORMAT </w:instrText>
          </w:r>
          <w:r>
            <w:fldChar w:fldCharType="separate"/>
          </w:r>
          <w:r w:rsidR="00656C36">
            <w:rPr>
              <w:noProof/>
            </w:rPr>
            <w:t>4</w:t>
          </w:r>
          <w:r>
            <w:fldChar w:fldCharType="end"/>
          </w:r>
        </w:p>
      </w:tc>
    </w:tr>
    <w:tr w:rsidR="00BB2DCC" w:rsidRPr="00D94637" w:rsidTr="00BB2DCC">
      <w:trPr>
        <w:jc w:val="center"/>
      </w:trPr>
      <w:tc>
        <w:tcPr>
          <w:tcW w:w="1774" w:type="pct"/>
          <w:shd w:val="clear" w:color="auto" w:fill="auto"/>
        </w:tcPr>
        <w:p w:rsidR="00BB2DCC" w:rsidRPr="00AD7BF2" w:rsidRDefault="00BB2DCC" w:rsidP="00D94637">
          <w:pPr>
            <w:pStyle w:val="FooterText"/>
            <w:spacing w:before="40"/>
          </w:pPr>
        </w:p>
      </w:tc>
      <w:tc>
        <w:tcPr>
          <w:tcW w:w="1455" w:type="pct"/>
          <w:gridSpan w:val="3"/>
          <w:shd w:val="clear" w:color="auto" w:fill="auto"/>
        </w:tcPr>
        <w:p w:rsidR="00BB2DCC" w:rsidRPr="00AD7BF2" w:rsidRDefault="00BB2DCC" w:rsidP="00D204D6">
          <w:pPr>
            <w:pStyle w:val="FooterText"/>
            <w:spacing w:before="40"/>
            <w:jc w:val="center"/>
          </w:pPr>
        </w:p>
      </w:tc>
      <w:tc>
        <w:tcPr>
          <w:tcW w:w="1147" w:type="pct"/>
          <w:shd w:val="clear" w:color="auto" w:fill="auto"/>
        </w:tcPr>
        <w:p w:rsidR="00BB2DCC" w:rsidRPr="00D94637" w:rsidRDefault="00BB2DCC" w:rsidP="00D94637">
          <w:pPr>
            <w:pStyle w:val="FooterText"/>
            <w:jc w:val="right"/>
            <w:rPr>
              <w:b/>
              <w:position w:val="-4"/>
              <w:sz w:val="36"/>
            </w:rPr>
          </w:pPr>
        </w:p>
      </w:tc>
      <w:tc>
        <w:tcPr>
          <w:tcW w:w="625" w:type="pct"/>
          <w:gridSpan w:val="2"/>
          <w:shd w:val="clear" w:color="auto" w:fill="auto"/>
        </w:tcPr>
        <w:p w:rsidR="00BB2DCC" w:rsidRPr="00D94637" w:rsidRDefault="00BB2DCC" w:rsidP="00D94637">
          <w:pPr>
            <w:pStyle w:val="FooterText"/>
            <w:jc w:val="right"/>
            <w:rPr>
              <w:sz w:val="16"/>
            </w:rPr>
          </w:pPr>
          <w:r>
            <w:rPr>
              <w:b/>
              <w:position w:val="-4"/>
              <w:sz w:val="36"/>
            </w:rPr>
            <w:t>FR</w:t>
          </w:r>
        </w:p>
      </w:tc>
    </w:tr>
    <w:bookmarkEnd w:id="3"/>
  </w:tbl>
  <w:p w:rsidR="00E57566" w:rsidRPr="00BB2DCC" w:rsidRDefault="00E57566" w:rsidP="00BB2DC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B2DCC" w:rsidRPr="00D94637" w:rsidTr="00BB2DCC">
      <w:trPr>
        <w:jc w:val="center"/>
      </w:trPr>
      <w:tc>
        <w:tcPr>
          <w:tcW w:w="5000" w:type="pct"/>
          <w:gridSpan w:val="7"/>
          <w:shd w:val="clear" w:color="auto" w:fill="auto"/>
          <w:tcMar>
            <w:top w:w="57" w:type="dxa"/>
          </w:tcMar>
        </w:tcPr>
        <w:p w:rsidR="00BB2DCC" w:rsidRPr="00D94637" w:rsidRDefault="00BB2DCC" w:rsidP="00D94637">
          <w:pPr>
            <w:pStyle w:val="FooterText"/>
            <w:pBdr>
              <w:top w:val="single" w:sz="4" w:space="1" w:color="auto"/>
            </w:pBdr>
            <w:spacing w:before="200"/>
            <w:rPr>
              <w:sz w:val="2"/>
              <w:szCs w:val="2"/>
            </w:rPr>
          </w:pPr>
        </w:p>
      </w:tc>
    </w:tr>
    <w:tr w:rsidR="00BB2DCC" w:rsidRPr="00B310DC" w:rsidTr="00BB2DCC">
      <w:trPr>
        <w:jc w:val="center"/>
      </w:trPr>
      <w:tc>
        <w:tcPr>
          <w:tcW w:w="2500" w:type="pct"/>
          <w:gridSpan w:val="2"/>
          <w:shd w:val="clear" w:color="auto" w:fill="auto"/>
          <w:tcMar>
            <w:top w:w="0" w:type="dxa"/>
          </w:tcMar>
        </w:tcPr>
        <w:p w:rsidR="00BB2DCC" w:rsidRPr="00AD7BF2" w:rsidRDefault="00BB2DCC" w:rsidP="004F54B2">
          <w:pPr>
            <w:pStyle w:val="FooterText"/>
          </w:pPr>
          <w:r>
            <w:t>CM 3900/2/15</w:t>
          </w:r>
          <w:r w:rsidRPr="002511D8">
            <w:t xml:space="preserve"> </w:t>
          </w:r>
          <w:r>
            <w:t>REV 2</w:t>
          </w:r>
        </w:p>
      </w:tc>
      <w:tc>
        <w:tcPr>
          <w:tcW w:w="625" w:type="pct"/>
          <w:shd w:val="clear" w:color="auto" w:fill="auto"/>
          <w:tcMar>
            <w:top w:w="0" w:type="dxa"/>
          </w:tcMar>
        </w:tcPr>
        <w:p w:rsidR="00BB2DCC" w:rsidRPr="00AD7BF2" w:rsidRDefault="00BB2DCC" w:rsidP="00D94637">
          <w:pPr>
            <w:pStyle w:val="FooterText"/>
            <w:jc w:val="center"/>
          </w:pPr>
        </w:p>
      </w:tc>
      <w:tc>
        <w:tcPr>
          <w:tcW w:w="1287" w:type="pct"/>
          <w:gridSpan w:val="3"/>
          <w:shd w:val="clear" w:color="auto" w:fill="auto"/>
          <w:tcMar>
            <w:top w:w="0" w:type="dxa"/>
          </w:tcMar>
        </w:tcPr>
        <w:p w:rsidR="00BB2DCC" w:rsidRPr="002511D8" w:rsidRDefault="00BB2DCC" w:rsidP="00D94637">
          <w:pPr>
            <w:pStyle w:val="FooterText"/>
            <w:jc w:val="center"/>
          </w:pPr>
        </w:p>
      </w:tc>
      <w:tc>
        <w:tcPr>
          <w:tcW w:w="588" w:type="pct"/>
          <w:shd w:val="clear" w:color="auto" w:fill="auto"/>
          <w:tcMar>
            <w:top w:w="0" w:type="dxa"/>
          </w:tcMar>
        </w:tcPr>
        <w:p w:rsidR="00BB2DCC" w:rsidRPr="00B310DC" w:rsidRDefault="00BB2DCC" w:rsidP="00D94637">
          <w:pPr>
            <w:pStyle w:val="FooterText"/>
            <w:jc w:val="right"/>
          </w:pPr>
          <w:r>
            <w:fldChar w:fldCharType="begin"/>
          </w:r>
          <w:r>
            <w:instrText xml:space="preserve"> PAGE  \* MERGEFORMAT </w:instrText>
          </w:r>
          <w:r>
            <w:fldChar w:fldCharType="separate"/>
          </w:r>
          <w:r w:rsidR="00656C36">
            <w:rPr>
              <w:noProof/>
            </w:rPr>
            <w:t>1</w:t>
          </w:r>
          <w:r>
            <w:fldChar w:fldCharType="end"/>
          </w:r>
        </w:p>
      </w:tc>
    </w:tr>
    <w:tr w:rsidR="00BB2DCC" w:rsidRPr="00D94637" w:rsidTr="00BB2DCC">
      <w:trPr>
        <w:jc w:val="center"/>
      </w:trPr>
      <w:tc>
        <w:tcPr>
          <w:tcW w:w="1774" w:type="pct"/>
          <w:shd w:val="clear" w:color="auto" w:fill="auto"/>
        </w:tcPr>
        <w:p w:rsidR="00BB2DCC" w:rsidRPr="00AD7BF2" w:rsidRDefault="00BB2DCC" w:rsidP="00D94637">
          <w:pPr>
            <w:pStyle w:val="FooterText"/>
            <w:spacing w:before="40"/>
          </w:pPr>
        </w:p>
      </w:tc>
      <w:tc>
        <w:tcPr>
          <w:tcW w:w="1455" w:type="pct"/>
          <w:gridSpan w:val="3"/>
          <w:shd w:val="clear" w:color="auto" w:fill="auto"/>
        </w:tcPr>
        <w:p w:rsidR="00BB2DCC" w:rsidRPr="00AD7BF2" w:rsidRDefault="00BB2DCC" w:rsidP="00D204D6">
          <w:pPr>
            <w:pStyle w:val="FooterText"/>
            <w:spacing w:before="40"/>
            <w:jc w:val="center"/>
          </w:pPr>
        </w:p>
      </w:tc>
      <w:tc>
        <w:tcPr>
          <w:tcW w:w="1147" w:type="pct"/>
          <w:shd w:val="clear" w:color="auto" w:fill="auto"/>
        </w:tcPr>
        <w:p w:rsidR="00BB2DCC" w:rsidRPr="00D94637" w:rsidRDefault="00BB2DCC" w:rsidP="00D94637">
          <w:pPr>
            <w:pStyle w:val="FooterText"/>
            <w:jc w:val="right"/>
            <w:rPr>
              <w:b/>
              <w:position w:val="-4"/>
              <w:sz w:val="36"/>
            </w:rPr>
          </w:pPr>
        </w:p>
      </w:tc>
      <w:tc>
        <w:tcPr>
          <w:tcW w:w="625" w:type="pct"/>
          <w:gridSpan w:val="2"/>
          <w:shd w:val="clear" w:color="auto" w:fill="auto"/>
        </w:tcPr>
        <w:p w:rsidR="00BB2DCC" w:rsidRPr="00D94637" w:rsidRDefault="00BB2DCC" w:rsidP="00D94637">
          <w:pPr>
            <w:pStyle w:val="FooterText"/>
            <w:jc w:val="right"/>
            <w:rPr>
              <w:sz w:val="16"/>
            </w:rPr>
          </w:pPr>
          <w:r>
            <w:rPr>
              <w:b/>
              <w:position w:val="-4"/>
              <w:sz w:val="36"/>
            </w:rPr>
            <w:t>FR</w:t>
          </w:r>
        </w:p>
      </w:tc>
    </w:tr>
  </w:tbl>
  <w:p w:rsidR="00E57566" w:rsidRPr="00BB2DCC" w:rsidRDefault="00E57566" w:rsidP="00BB2DC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66" w:rsidRDefault="00E57566" w:rsidP="00E57566">
      <w:r>
        <w:separator/>
      </w:r>
    </w:p>
  </w:footnote>
  <w:footnote w:type="continuationSeparator" w:id="0">
    <w:p w:rsidR="00E57566" w:rsidRDefault="00E57566" w:rsidP="00E57566">
      <w:r>
        <w:continuationSeparator/>
      </w:r>
    </w:p>
  </w:footnote>
  <w:footnote w:id="1">
    <w:p w:rsidR="008042C6" w:rsidRPr="00150D17" w:rsidRDefault="008042C6" w:rsidP="008042C6">
      <w:pPr>
        <w:pStyle w:val="FootnoteText"/>
        <w:rPr>
          <w:lang w:val="fr-BE"/>
        </w:rPr>
      </w:pPr>
      <w:r>
        <w:rPr>
          <w:rStyle w:val="FootnoteReference"/>
        </w:rPr>
        <w:footnoteRef/>
      </w:r>
      <w:r>
        <w:rPr>
          <w:lang w:val="fr-BE"/>
        </w:rPr>
        <w:tab/>
      </w:r>
      <w:r w:rsidRPr="00135C1C">
        <w:rPr>
          <w:szCs w:val="24"/>
          <w:lang w:val="fr-BE"/>
        </w:rPr>
        <w:t>À titre exceptionnel, en présence des États associés</w:t>
      </w:r>
    </w:p>
  </w:footnote>
  <w:footnote w:id="2">
    <w:p w:rsidR="0072560D" w:rsidRPr="00150D17" w:rsidRDefault="005F4054" w:rsidP="005F4054">
      <w:pPr>
        <w:pStyle w:val="FootnoteText"/>
        <w:rPr>
          <w:lang w:val="fr-BE"/>
        </w:rPr>
      </w:pPr>
      <w:r>
        <w:rPr>
          <w:rStyle w:val="FootnoteReference"/>
        </w:rPr>
        <w:footnoteRef/>
      </w:r>
      <w:r w:rsidR="0072560D">
        <w:rPr>
          <w:lang w:val="fr-BE"/>
        </w:rPr>
        <w:tab/>
      </w:r>
      <w:r w:rsidR="0072560D" w:rsidRPr="00135C1C">
        <w:rPr>
          <w:szCs w:val="24"/>
          <w:lang w:val="fr-BE"/>
        </w:rPr>
        <w:t>À titre exceptionnel, en présence des États associés</w:t>
      </w:r>
    </w:p>
  </w:footnote>
  <w:footnote w:id="3">
    <w:p w:rsidR="00824E6B" w:rsidRPr="00150D17" w:rsidRDefault="00824E6B" w:rsidP="00824E6B">
      <w:pPr>
        <w:pStyle w:val="FootnoteText"/>
        <w:rPr>
          <w:lang w:val="fr-BE"/>
        </w:rPr>
      </w:pPr>
      <w:r>
        <w:rPr>
          <w:rStyle w:val="FootnoteReference"/>
        </w:rPr>
        <w:footnoteRef/>
      </w:r>
      <w:r>
        <w:rPr>
          <w:lang w:val="fr-BE"/>
        </w:rPr>
        <w:tab/>
      </w:r>
      <w:r w:rsidRPr="00135C1C">
        <w:rPr>
          <w:szCs w:val="24"/>
          <w:lang w:val="fr-BE"/>
        </w:rPr>
        <w:t>À titre exceptionnel, en présence des États associés</w:t>
      </w:r>
    </w:p>
  </w:footnote>
  <w:footnote w:id="4">
    <w:p w:rsidR="0072560D" w:rsidRPr="0072560D" w:rsidRDefault="0072560D" w:rsidP="0072560D">
      <w:pPr>
        <w:pStyle w:val="FootnoteText"/>
        <w:rPr>
          <w:szCs w:val="24"/>
          <w:lang w:val="fr-BE"/>
        </w:rPr>
      </w:pPr>
      <w:r>
        <w:rPr>
          <w:lang w:val="fr-BE"/>
        </w:rPr>
        <w:t>(</w:t>
      </w:r>
      <w:r>
        <w:rPr>
          <w:rStyle w:val="FootnoteReference"/>
        </w:rPr>
        <w:sym w:font="Symbol" w:char="F0B7"/>
      </w:r>
      <w:r>
        <w:rPr>
          <w:lang w:val="fr-BE"/>
        </w:rPr>
        <w:t>)</w:t>
      </w:r>
      <w:r>
        <w:rPr>
          <w:lang w:val="fr-BE"/>
        </w:rPr>
        <w:tab/>
      </w:r>
      <w:r w:rsidRPr="0072560D">
        <w:rPr>
          <w:szCs w:val="24"/>
          <w:lang w:val="fr-BE"/>
        </w:rPr>
        <w:t>Lorsqu'il adopte une orientation générale après que le Parlement a adopté sa position en première lecture, le Conseil n'agit pas au sens de l'article 294, paragraphes 4 et 5, du TFUE.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CC" w:rsidRPr="00BB2DCC" w:rsidRDefault="00BB2DCC" w:rsidP="00BB2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CC" w:rsidRPr="00BB2DCC" w:rsidRDefault="00BB2DCC" w:rsidP="00BB2DC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CC" w:rsidRPr="00BB2DCC" w:rsidRDefault="00BB2DCC" w:rsidP="00BB2DC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B8A308"/>
    <w:lvl w:ilvl="0">
      <w:start w:val="1"/>
      <w:numFmt w:val="decimal"/>
      <w:lvlText w:val="%1."/>
      <w:lvlJc w:val="left"/>
      <w:pPr>
        <w:tabs>
          <w:tab w:val="num" w:pos="1492"/>
        </w:tabs>
        <w:ind w:left="1492" w:hanging="360"/>
      </w:pPr>
    </w:lvl>
  </w:abstractNum>
  <w:abstractNum w:abstractNumId="1">
    <w:nsid w:val="FFFFFF7D"/>
    <w:multiLevelType w:val="singleLevel"/>
    <w:tmpl w:val="3D02F134"/>
    <w:lvl w:ilvl="0">
      <w:start w:val="1"/>
      <w:numFmt w:val="decimal"/>
      <w:lvlText w:val="%1."/>
      <w:lvlJc w:val="left"/>
      <w:pPr>
        <w:tabs>
          <w:tab w:val="num" w:pos="1209"/>
        </w:tabs>
        <w:ind w:left="1209" w:hanging="360"/>
      </w:pPr>
    </w:lvl>
  </w:abstractNum>
  <w:abstractNum w:abstractNumId="2">
    <w:nsid w:val="FFFFFF7E"/>
    <w:multiLevelType w:val="singleLevel"/>
    <w:tmpl w:val="0712B6FE"/>
    <w:lvl w:ilvl="0">
      <w:start w:val="1"/>
      <w:numFmt w:val="decimal"/>
      <w:lvlText w:val="%1."/>
      <w:lvlJc w:val="left"/>
      <w:pPr>
        <w:tabs>
          <w:tab w:val="num" w:pos="926"/>
        </w:tabs>
        <w:ind w:left="926" w:hanging="360"/>
      </w:pPr>
    </w:lvl>
  </w:abstractNum>
  <w:abstractNum w:abstractNumId="3">
    <w:nsid w:val="FFFFFF7F"/>
    <w:multiLevelType w:val="singleLevel"/>
    <w:tmpl w:val="5442D4D6"/>
    <w:lvl w:ilvl="0">
      <w:start w:val="1"/>
      <w:numFmt w:val="decimal"/>
      <w:lvlText w:val="%1."/>
      <w:lvlJc w:val="left"/>
      <w:pPr>
        <w:tabs>
          <w:tab w:val="num" w:pos="643"/>
        </w:tabs>
        <w:ind w:left="643" w:hanging="360"/>
      </w:pPr>
    </w:lvl>
  </w:abstractNum>
  <w:abstractNum w:abstractNumId="4">
    <w:nsid w:val="FFFFFF80"/>
    <w:multiLevelType w:val="singleLevel"/>
    <w:tmpl w:val="0F56B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12EF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3651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1826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3000CA"/>
    <w:lvl w:ilvl="0">
      <w:start w:val="1"/>
      <w:numFmt w:val="decimal"/>
      <w:lvlText w:val="%1."/>
      <w:lvlJc w:val="left"/>
      <w:pPr>
        <w:tabs>
          <w:tab w:val="num" w:pos="360"/>
        </w:tabs>
        <w:ind w:left="360" w:hanging="360"/>
      </w:pPr>
    </w:lvl>
  </w:abstractNum>
  <w:abstractNum w:abstractNumId="9">
    <w:nsid w:val="FFFFFF89"/>
    <w:multiLevelType w:val="singleLevel"/>
    <w:tmpl w:val="EF1A5500"/>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3"/>
  </w:num>
  <w:num w:numId="38">
    <w:abstractNumId w:val="23"/>
  </w:num>
  <w:num w:numId="39">
    <w:abstractNumId w:val="23"/>
  </w:num>
  <w:num w:numId="40">
    <w:abstractNumId w:val="21"/>
  </w:num>
  <w:num w:numId="41">
    <w:abstractNumId w:val="21"/>
  </w:num>
  <w:num w:numId="42">
    <w:abstractNumId w:val="21"/>
  </w:num>
  <w:num w:numId="43">
    <w:abstractNumId w:val="2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aeb8c143-4480-4317-b247-7c1df2863d7d&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7&lt;/text&gt;_x000d__x000a_  &lt;/metadata&gt;_x000d__x000a_  &lt;metadata key=&quot;md_Prefix&quot;&gt;_x000d__x000a_    &lt;text&gt;CM&lt;/text&gt;_x000d__x000a_  &lt;/metadata&gt;_x000d__x000a_  &lt;metadata key=&quot;md_DocumentNumber&quot;&gt;_x000d__x000a_    &lt;text&gt;3900&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gt;COMIX&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5e session du CONSEIL DE L'UNION EUROPÉENNE (Justice et affaires intérieures)&quot;&gt;&amp;lt;FlowDocument FontFamily=&quot;Arial Unicode MS&quot; FontSize=&quot;12&quot; PageWidth=&quot;329&quot; PagePadding=&quot;5,0,5,0&quot; AllowDrop=&quot;False&quot; xmlns=&quot;http://schemas.microsoft.com/winfx/2006/xaml/presentation&quot;&amp;gt;&amp;lt;Paragraph&amp;gt;&amp;lt;Run xml:lang=&quot;fr-be&quot;&amp;gt;3415&amp;lt;/Run&amp;gt;&amp;lt;Run BaselineAlignment=&quot;Superscript&quot; xml:lang=&quot;fr-be&quot;&amp;gt;e&amp;lt;/Run&amp;gt; session du CONSEIL DE L'UNION EUROPÉENNE&amp;lt;LineBreak /&amp;gt;(Justice et affaires intérieu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8T09:3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5-10-09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E57566"/>
    <w:rsid w:val="00010C1D"/>
    <w:rsid w:val="000751E5"/>
    <w:rsid w:val="0009656C"/>
    <w:rsid w:val="000B622A"/>
    <w:rsid w:val="00165755"/>
    <w:rsid w:val="00182F2F"/>
    <w:rsid w:val="001C1958"/>
    <w:rsid w:val="00213F1F"/>
    <w:rsid w:val="00282CAE"/>
    <w:rsid w:val="002A2AE8"/>
    <w:rsid w:val="002E125C"/>
    <w:rsid w:val="00331E9B"/>
    <w:rsid w:val="0035040F"/>
    <w:rsid w:val="003C6E8B"/>
    <w:rsid w:val="00455B33"/>
    <w:rsid w:val="00503FD9"/>
    <w:rsid w:val="00506D83"/>
    <w:rsid w:val="005157F5"/>
    <w:rsid w:val="005D7B66"/>
    <w:rsid w:val="005F4054"/>
    <w:rsid w:val="0063379B"/>
    <w:rsid w:val="00656C36"/>
    <w:rsid w:val="00664401"/>
    <w:rsid w:val="006A38C5"/>
    <w:rsid w:val="006A4740"/>
    <w:rsid w:val="006C1AD4"/>
    <w:rsid w:val="006E33E2"/>
    <w:rsid w:val="006F4741"/>
    <w:rsid w:val="0070440D"/>
    <w:rsid w:val="0072560D"/>
    <w:rsid w:val="0075756A"/>
    <w:rsid w:val="007676F3"/>
    <w:rsid w:val="00776EDF"/>
    <w:rsid w:val="008042C6"/>
    <w:rsid w:val="00824E6B"/>
    <w:rsid w:val="00825503"/>
    <w:rsid w:val="008826F8"/>
    <w:rsid w:val="00887EB4"/>
    <w:rsid w:val="0090711B"/>
    <w:rsid w:val="009628DB"/>
    <w:rsid w:val="009809AA"/>
    <w:rsid w:val="009821B7"/>
    <w:rsid w:val="00A469D7"/>
    <w:rsid w:val="00A92454"/>
    <w:rsid w:val="00AC02B0"/>
    <w:rsid w:val="00AD5F14"/>
    <w:rsid w:val="00AE13A7"/>
    <w:rsid w:val="00B00174"/>
    <w:rsid w:val="00B91E7E"/>
    <w:rsid w:val="00BB2DCC"/>
    <w:rsid w:val="00BE1373"/>
    <w:rsid w:val="00C03ADB"/>
    <w:rsid w:val="00C85C9B"/>
    <w:rsid w:val="00C90D5F"/>
    <w:rsid w:val="00CC3A4A"/>
    <w:rsid w:val="00D451E4"/>
    <w:rsid w:val="00D72C81"/>
    <w:rsid w:val="00DE11F4"/>
    <w:rsid w:val="00E57566"/>
    <w:rsid w:val="00FC4670"/>
    <w:rsid w:val="00FD1186"/>
    <w:rsid w:val="00FD15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5040F"/>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E57566"/>
    <w:pPr>
      <w:spacing w:after="440"/>
      <w:ind w:left="-1134" w:right="-1134"/>
    </w:pPr>
    <w:rPr>
      <w:sz w:val="2"/>
    </w:rPr>
  </w:style>
  <w:style w:type="character" w:customStyle="1" w:styleId="TechnicalBlockChar">
    <w:name w:val="Technical Block Char"/>
    <w:basedOn w:val="DefaultParagraphFont"/>
    <w:link w:val="TechnicalBlock"/>
    <w:rsid w:val="00E57566"/>
    <w:rPr>
      <w:sz w:val="24"/>
      <w:szCs w:val="24"/>
      <w:lang w:val="fr-FR" w:eastAsia="en-US"/>
    </w:rPr>
  </w:style>
  <w:style w:type="character" w:customStyle="1" w:styleId="HeaderCouncilLargeChar">
    <w:name w:val="Header Council Large Char"/>
    <w:basedOn w:val="TechnicalBlockChar"/>
    <w:link w:val="HeaderCouncilLarge"/>
    <w:rsid w:val="00E57566"/>
    <w:rPr>
      <w:sz w:val="2"/>
      <w:szCs w:val="24"/>
      <w:lang w:val="fr-FR" w:eastAsia="en-US"/>
    </w:rPr>
  </w:style>
  <w:style w:type="paragraph" w:customStyle="1" w:styleId="FooterText">
    <w:name w:val="Footer Text"/>
    <w:basedOn w:val="Normal"/>
    <w:rsid w:val="00E57566"/>
    <w:rPr>
      <w:lang w:val="en-GB"/>
    </w:rPr>
  </w:style>
  <w:style w:type="character" w:customStyle="1" w:styleId="FootnoteTextChar">
    <w:name w:val="Footnote Text Char"/>
    <w:basedOn w:val="DefaultParagraphFont"/>
    <w:link w:val="FootnoteText"/>
    <w:uiPriority w:val="99"/>
    <w:rsid w:val="0072560D"/>
    <w:rPr>
      <w:sz w:val="24"/>
      <w:lang w:val="fr-FR" w:eastAsia="en-US"/>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fr-FR" w:eastAsia="en-US"/>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fr-FR" w:eastAsia="en-US"/>
    </w:rPr>
  </w:style>
  <w:style w:type="character" w:styleId="EndnoteReference">
    <w:name w:val="endnote reference"/>
    <w:basedOn w:val="DefaultParagraphFont"/>
    <w:uiPriority w:val="99"/>
    <w:semiHidden/>
    <w:unhideWhenUsed/>
    <w:rsid w:val="005F40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5040F"/>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E57566"/>
    <w:pPr>
      <w:spacing w:after="440"/>
      <w:ind w:left="-1134" w:right="-1134"/>
    </w:pPr>
    <w:rPr>
      <w:sz w:val="2"/>
    </w:rPr>
  </w:style>
  <w:style w:type="character" w:customStyle="1" w:styleId="TechnicalBlockChar">
    <w:name w:val="Technical Block Char"/>
    <w:basedOn w:val="DefaultParagraphFont"/>
    <w:link w:val="TechnicalBlock"/>
    <w:rsid w:val="00E57566"/>
    <w:rPr>
      <w:sz w:val="24"/>
      <w:szCs w:val="24"/>
      <w:lang w:val="fr-FR" w:eastAsia="en-US"/>
    </w:rPr>
  </w:style>
  <w:style w:type="character" w:customStyle="1" w:styleId="HeaderCouncilLargeChar">
    <w:name w:val="Header Council Large Char"/>
    <w:basedOn w:val="TechnicalBlockChar"/>
    <w:link w:val="HeaderCouncilLarge"/>
    <w:rsid w:val="00E57566"/>
    <w:rPr>
      <w:sz w:val="2"/>
      <w:szCs w:val="24"/>
      <w:lang w:val="fr-FR" w:eastAsia="en-US"/>
    </w:rPr>
  </w:style>
  <w:style w:type="paragraph" w:customStyle="1" w:styleId="FooterText">
    <w:name w:val="Footer Text"/>
    <w:basedOn w:val="Normal"/>
    <w:rsid w:val="00E57566"/>
    <w:rPr>
      <w:lang w:val="en-GB"/>
    </w:rPr>
  </w:style>
  <w:style w:type="character" w:customStyle="1" w:styleId="FootnoteTextChar">
    <w:name w:val="Footnote Text Char"/>
    <w:basedOn w:val="DefaultParagraphFont"/>
    <w:link w:val="FootnoteText"/>
    <w:uiPriority w:val="99"/>
    <w:rsid w:val="0072560D"/>
    <w:rPr>
      <w:sz w:val="24"/>
      <w:lang w:val="fr-FR" w:eastAsia="en-US"/>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fr-FR" w:eastAsia="en-US"/>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fr-FR" w:eastAsia="en-US"/>
    </w:rPr>
  </w:style>
  <w:style w:type="character" w:styleId="EndnoteReference">
    <w:name w:val="endnote reference"/>
    <w:basedOn w:val="DefaultParagraphFont"/>
    <w:uiPriority w:val="99"/>
    <w:semiHidden/>
    <w:unhideWhenUsed/>
    <w:rsid w:val="005F4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6238">
      <w:bodyDiv w:val="1"/>
      <w:marLeft w:val="0"/>
      <w:marRight w:val="0"/>
      <w:marTop w:val="0"/>
      <w:marBottom w:val="0"/>
      <w:divBdr>
        <w:top w:val="none" w:sz="0" w:space="0" w:color="auto"/>
        <w:left w:val="none" w:sz="0" w:space="0" w:color="auto"/>
        <w:bottom w:val="none" w:sz="0" w:space="0" w:color="auto"/>
        <w:right w:val="none" w:sz="0" w:space="0" w:color="auto"/>
      </w:divBdr>
    </w:div>
    <w:div w:id="652032330">
      <w:bodyDiv w:val="1"/>
      <w:marLeft w:val="0"/>
      <w:marRight w:val="0"/>
      <w:marTop w:val="0"/>
      <w:marBottom w:val="0"/>
      <w:divBdr>
        <w:top w:val="none" w:sz="0" w:space="0" w:color="auto"/>
        <w:left w:val="none" w:sz="0" w:space="0" w:color="auto"/>
        <w:bottom w:val="none" w:sz="0" w:space="0" w:color="auto"/>
        <w:right w:val="none" w:sz="0" w:space="0" w:color="auto"/>
      </w:divBdr>
    </w:div>
    <w:div w:id="676734996">
      <w:bodyDiv w:val="1"/>
      <w:marLeft w:val="0"/>
      <w:marRight w:val="0"/>
      <w:marTop w:val="0"/>
      <w:marBottom w:val="0"/>
      <w:divBdr>
        <w:top w:val="none" w:sz="0" w:space="0" w:color="auto"/>
        <w:left w:val="none" w:sz="0" w:space="0" w:color="auto"/>
        <w:bottom w:val="none" w:sz="0" w:space="0" w:color="auto"/>
        <w:right w:val="none" w:sz="0" w:space="0" w:color="auto"/>
      </w:divBdr>
    </w:div>
    <w:div w:id="183267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AA1F-6E0D-4833-9357-B31EE779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15</TotalTime>
  <Pages>7</Pages>
  <Words>1272</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LAUBENGEIGER Andrea</cp:lastModifiedBy>
  <cp:revision>6</cp:revision>
  <cp:lastPrinted>2015-10-07T13:28:00Z</cp:lastPrinted>
  <dcterms:created xsi:type="dcterms:W3CDTF">2015-10-06T14:35:00Z</dcterms:created>
  <dcterms:modified xsi:type="dcterms:W3CDTF">2015-10-07T13:32:00Z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y fmtid="{D5CDD505-2E9C-101B-9397-08002B2CF9AE}" pid="5" name="SkipControlLengthPage">
    <vt:lpwstr> p.1 p.3</vt:lpwstr>
  </property>
</Properties>
</file>