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C1" w:rsidRPr="006C0519" w:rsidRDefault="00363809" w:rsidP="006C0519">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aaf4baf-b86e-4805-bc46-acb6090a242a_0" style="width:573.85pt;height:425.25pt">
            <v:imagedata r:id="rId9" o:title=""/>
          </v:shape>
        </w:pict>
      </w:r>
      <w:bookmarkEnd w:id="0"/>
    </w:p>
    <w:p w:rsidR="00C52975" w:rsidRPr="006C0519" w:rsidRDefault="00C52975" w:rsidP="00C52975">
      <w:pPr>
        <w:pStyle w:val="TechnicalBlock"/>
        <w:ind w:left="-1134" w:right="-1134"/>
        <w:sectPr w:rsidR="00C52975" w:rsidRPr="006C0519" w:rsidSect="006C0519">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AA2C2E" w:rsidRPr="006C0519" w:rsidRDefault="00DA7219" w:rsidP="00DA7219">
      <w:pPr>
        <w:pStyle w:val="TOCHeading"/>
      </w:pPr>
      <w:r w:rsidRPr="006C0519">
        <w:lastRenderedPageBreak/>
        <w:t>SOMMAIRE</w:t>
      </w:r>
      <w:r w:rsidRPr="006C0519">
        <w:rPr>
          <w:vertAlign w:val="superscript"/>
        </w:rPr>
        <w:t>1</w:t>
      </w:r>
    </w:p>
    <w:p w:rsidR="00DA7219" w:rsidRPr="006C0519" w:rsidRDefault="00DA7219" w:rsidP="00DA7219">
      <w:pPr>
        <w:pStyle w:val="TOC5"/>
      </w:pPr>
      <w:r w:rsidRPr="006C0519">
        <w:t>POINTS AYANT FAIT L'OBJET D'UN DÉBAT</w:t>
      </w:r>
    </w:p>
    <w:p w:rsidR="00DA7219" w:rsidRPr="006C0519" w:rsidRDefault="00DA7219" w:rsidP="00DA7219">
      <w:pPr>
        <w:pStyle w:val="TOC6"/>
        <w:rPr>
          <w:rFonts w:asciiTheme="minorHAnsi" w:eastAsiaTheme="minorEastAsia" w:hAnsiTheme="minorHAnsi" w:cstheme="minorBidi"/>
          <w:noProof/>
          <w:sz w:val="22"/>
          <w:szCs w:val="22"/>
        </w:rPr>
      </w:pPr>
      <w:r w:rsidRPr="006C0519">
        <w:t>Présentation du programme de travail de la présidence</w:t>
      </w:r>
      <w:r w:rsidRPr="006C0519">
        <w:tab/>
      </w:r>
      <w:r w:rsidRPr="006C0519">
        <w:rPr>
          <w:noProof/>
        </w:rPr>
        <w:fldChar w:fldCharType="begin"/>
      </w:r>
      <w:r w:rsidRPr="006C0519">
        <w:rPr>
          <w:noProof/>
        </w:rPr>
        <w:instrText xml:space="preserve"> PAGEREF \h _Toc432080870 \* MERGEFORMAT </w:instrText>
      </w:r>
      <w:r w:rsidRPr="006C0519">
        <w:rPr>
          <w:noProof/>
        </w:rPr>
      </w:r>
      <w:r w:rsidRPr="006C0519">
        <w:rPr>
          <w:noProof/>
        </w:rPr>
        <w:fldChar w:fldCharType="separate"/>
      </w:r>
      <w:r w:rsidR="006C0519">
        <w:rPr>
          <w:noProof/>
        </w:rPr>
        <w:t>4</w:t>
      </w:r>
      <w:r w:rsidRPr="006C0519">
        <w:rPr>
          <w:noProof/>
        </w:rPr>
        <w:fldChar w:fldCharType="end"/>
      </w:r>
    </w:p>
    <w:p w:rsidR="00DA7219" w:rsidRPr="006C0519" w:rsidRDefault="00DA7219" w:rsidP="00DA7219">
      <w:pPr>
        <w:pStyle w:val="TOC6"/>
        <w:rPr>
          <w:rFonts w:asciiTheme="minorHAnsi" w:eastAsiaTheme="minorEastAsia" w:hAnsiTheme="minorHAnsi" w:cstheme="minorBidi"/>
          <w:noProof/>
          <w:sz w:val="22"/>
          <w:szCs w:val="22"/>
        </w:rPr>
      </w:pPr>
      <w:r w:rsidRPr="006C0519">
        <w:t>Préparation du Conseil européen d'octobre</w:t>
      </w:r>
      <w:r w:rsidRPr="006C0519">
        <w:tab/>
      </w:r>
      <w:r w:rsidRPr="006C0519">
        <w:rPr>
          <w:noProof/>
        </w:rPr>
        <w:fldChar w:fldCharType="begin"/>
      </w:r>
      <w:r w:rsidRPr="006C0519">
        <w:rPr>
          <w:noProof/>
        </w:rPr>
        <w:instrText xml:space="preserve"> PAGEREF \h _Toc432080871 \* MERGEFORMAT </w:instrText>
      </w:r>
      <w:r w:rsidRPr="006C0519">
        <w:rPr>
          <w:noProof/>
        </w:rPr>
      </w:r>
      <w:r w:rsidRPr="006C0519">
        <w:rPr>
          <w:noProof/>
        </w:rPr>
        <w:fldChar w:fldCharType="separate"/>
      </w:r>
      <w:r w:rsidR="006C0519">
        <w:rPr>
          <w:noProof/>
        </w:rPr>
        <w:t>4</w:t>
      </w:r>
      <w:r w:rsidRPr="006C0519">
        <w:rPr>
          <w:noProof/>
        </w:rPr>
        <w:fldChar w:fldCharType="end"/>
      </w:r>
    </w:p>
    <w:p w:rsidR="00DA7219" w:rsidRPr="006C0519" w:rsidRDefault="00DA7219" w:rsidP="00DA7219">
      <w:pPr>
        <w:pStyle w:val="TOC6"/>
      </w:pPr>
      <w:r w:rsidRPr="006C0519">
        <w:t>Programme de travail de la Commission pour 2016</w:t>
      </w:r>
      <w:r w:rsidRPr="006C0519">
        <w:tab/>
      </w:r>
      <w:r w:rsidRPr="006C0519">
        <w:rPr>
          <w:noProof/>
        </w:rPr>
        <w:fldChar w:fldCharType="begin"/>
      </w:r>
      <w:r w:rsidRPr="006C0519">
        <w:rPr>
          <w:noProof/>
        </w:rPr>
        <w:instrText xml:space="preserve"> PAGEREF \h _Toc432080872 \* MERGEFORMAT </w:instrText>
      </w:r>
      <w:r w:rsidRPr="006C0519">
        <w:rPr>
          <w:noProof/>
        </w:rPr>
      </w:r>
      <w:r w:rsidRPr="006C0519">
        <w:rPr>
          <w:noProof/>
        </w:rPr>
        <w:fldChar w:fldCharType="separate"/>
      </w:r>
      <w:r w:rsidR="006C0519">
        <w:rPr>
          <w:noProof/>
        </w:rPr>
        <w:t>4</w:t>
      </w:r>
      <w:r w:rsidRPr="006C0519">
        <w:rPr>
          <w:noProof/>
        </w:rPr>
        <w:fldChar w:fldCharType="end"/>
      </w:r>
    </w:p>
    <w:p w:rsidR="00DA7219" w:rsidRPr="006C0519" w:rsidRDefault="00DA7219" w:rsidP="00DA7219">
      <w:pPr>
        <w:pStyle w:val="TOC5"/>
      </w:pPr>
      <w:r w:rsidRPr="006C0519">
        <w:t>AUTRES POINTS APPROUVÉS</w:t>
      </w:r>
    </w:p>
    <w:p w:rsidR="00DA7219" w:rsidRPr="006C0519" w:rsidRDefault="00DA7219" w:rsidP="00DA7219">
      <w:pPr>
        <w:pStyle w:val="TOC8"/>
        <w:rPr>
          <w:rFonts w:asciiTheme="minorHAnsi" w:eastAsiaTheme="minorEastAsia" w:hAnsiTheme="minorHAnsi" w:cstheme="minorBidi"/>
          <w:i w:val="0"/>
          <w:noProof/>
          <w:sz w:val="22"/>
          <w:szCs w:val="22"/>
        </w:rPr>
      </w:pPr>
      <w:r w:rsidRPr="006C0519">
        <w:t>AFFAIRES ÉTRANGÈRES</w:t>
      </w:r>
    </w:p>
    <w:p w:rsidR="00DA7219" w:rsidRPr="006C0519" w:rsidRDefault="00DA7219" w:rsidP="00A10026">
      <w:pPr>
        <w:pStyle w:val="TOC9"/>
        <w:keepNext/>
        <w:numPr>
          <w:ilvl w:val="0"/>
          <w:numId w:val="19"/>
        </w:numPr>
        <w:rPr>
          <w:rFonts w:asciiTheme="minorHAnsi" w:eastAsiaTheme="minorEastAsia" w:hAnsiTheme="minorHAnsi" w:cstheme="minorBidi"/>
          <w:noProof/>
          <w:sz w:val="22"/>
          <w:szCs w:val="22"/>
        </w:rPr>
      </w:pPr>
      <w:r w:rsidRPr="006C0519">
        <w:t>L</w:t>
      </w:r>
      <w:r w:rsidR="00363809">
        <w:t>'</w:t>
      </w:r>
      <w:r w:rsidRPr="006C0519">
        <w:t>EUNAVFOR MED</w:t>
      </w:r>
      <w:r w:rsidRPr="006C0519">
        <w:tab/>
      </w:r>
      <w:r w:rsidRPr="006C0519">
        <w:rPr>
          <w:noProof/>
        </w:rPr>
        <w:fldChar w:fldCharType="begin"/>
      </w:r>
      <w:r w:rsidRPr="006C0519">
        <w:rPr>
          <w:noProof/>
        </w:rPr>
        <w:instrText xml:space="preserve"> PAGEREF \h _Toc432080874 \* MERGEFORMAT </w:instrText>
      </w:r>
      <w:r w:rsidRPr="006C0519">
        <w:rPr>
          <w:noProof/>
        </w:rPr>
      </w:r>
      <w:r w:rsidRPr="006C0519">
        <w:rPr>
          <w:noProof/>
        </w:rPr>
        <w:fldChar w:fldCharType="separate"/>
      </w:r>
      <w:r w:rsidR="006C0519">
        <w:rPr>
          <w:noProof/>
        </w:rPr>
        <w:t>5</w:t>
      </w:r>
      <w:r w:rsidRPr="006C0519">
        <w:rPr>
          <w:noProof/>
        </w:rPr>
        <w:fldChar w:fldCharType="end"/>
      </w:r>
    </w:p>
    <w:p w:rsidR="00DA7219" w:rsidRPr="006C0519" w:rsidRDefault="00DA7219" w:rsidP="00DA7219">
      <w:pPr>
        <w:pStyle w:val="TOC9"/>
        <w:keepNext/>
        <w:rPr>
          <w:rFonts w:asciiTheme="minorHAnsi" w:eastAsiaTheme="minorEastAsia" w:hAnsiTheme="minorHAnsi" w:cstheme="minorBidi"/>
          <w:noProof/>
          <w:sz w:val="22"/>
          <w:szCs w:val="22"/>
        </w:rPr>
      </w:pPr>
      <w:r w:rsidRPr="006C0519">
        <w:t>Libye</w:t>
      </w:r>
      <w:r w:rsidRPr="006C0519">
        <w:tab/>
      </w:r>
      <w:r w:rsidRPr="006C0519">
        <w:rPr>
          <w:noProof/>
        </w:rPr>
        <w:fldChar w:fldCharType="begin"/>
      </w:r>
      <w:r w:rsidRPr="006C0519">
        <w:rPr>
          <w:noProof/>
        </w:rPr>
        <w:instrText xml:space="preserve"> PAGEREF \h _Toc432080875 \* MERGEFORMAT </w:instrText>
      </w:r>
      <w:r w:rsidRPr="006C0519">
        <w:rPr>
          <w:noProof/>
        </w:rPr>
      </w:r>
      <w:r w:rsidRPr="006C0519">
        <w:rPr>
          <w:noProof/>
        </w:rPr>
        <w:fldChar w:fldCharType="separate"/>
      </w:r>
      <w:r w:rsidR="006C0519">
        <w:rPr>
          <w:noProof/>
        </w:rPr>
        <w:t>5</w:t>
      </w:r>
      <w:r w:rsidRPr="006C0519">
        <w:rPr>
          <w:noProof/>
        </w:rPr>
        <w:fldChar w:fldCharType="end"/>
      </w:r>
    </w:p>
    <w:p w:rsidR="00DA7219" w:rsidRPr="006C0519" w:rsidRDefault="00DA7219" w:rsidP="00DA7219">
      <w:pPr>
        <w:pStyle w:val="TOC9"/>
        <w:rPr>
          <w:rFonts w:asciiTheme="minorHAnsi" w:eastAsiaTheme="minorEastAsia" w:hAnsiTheme="minorHAnsi" w:cstheme="minorBidi"/>
          <w:noProof/>
          <w:sz w:val="22"/>
          <w:szCs w:val="22"/>
        </w:rPr>
      </w:pPr>
      <w:r w:rsidRPr="006C0519">
        <w:t>Mesures restrictives visant les actions compromettant l'intégrité territoriale de l'Ukraine</w:t>
      </w:r>
      <w:r w:rsidRPr="006C0519">
        <w:tab/>
      </w:r>
      <w:r w:rsidRPr="006C0519">
        <w:rPr>
          <w:noProof/>
        </w:rPr>
        <w:fldChar w:fldCharType="begin"/>
      </w:r>
      <w:r w:rsidRPr="006C0519">
        <w:rPr>
          <w:noProof/>
        </w:rPr>
        <w:instrText xml:space="preserve"> PAGEREF \h _Toc432080876 \* MERGEFORMAT </w:instrText>
      </w:r>
      <w:r w:rsidRPr="006C0519">
        <w:rPr>
          <w:noProof/>
        </w:rPr>
      </w:r>
      <w:r w:rsidRPr="006C0519">
        <w:rPr>
          <w:noProof/>
        </w:rPr>
        <w:fldChar w:fldCharType="separate"/>
      </w:r>
      <w:r w:rsidR="006C0519">
        <w:rPr>
          <w:noProof/>
        </w:rPr>
        <w:t>5</w:t>
      </w:r>
      <w:r w:rsidRPr="006C0519">
        <w:rPr>
          <w:noProof/>
        </w:rPr>
        <w:fldChar w:fldCharType="end"/>
      </w:r>
    </w:p>
    <w:p w:rsidR="00DA7219" w:rsidRPr="006C0519" w:rsidRDefault="00DA7219" w:rsidP="00DA7219">
      <w:pPr>
        <w:pStyle w:val="TOC8"/>
        <w:rPr>
          <w:rFonts w:asciiTheme="minorHAnsi" w:eastAsiaTheme="minorEastAsia" w:hAnsiTheme="minorHAnsi" w:cstheme="minorBidi"/>
          <w:i w:val="0"/>
          <w:noProof/>
          <w:sz w:val="22"/>
          <w:szCs w:val="22"/>
        </w:rPr>
      </w:pPr>
      <w:r w:rsidRPr="006C0519">
        <w:t>POLITIQUE DE SÉCURITÉ ET DE DÉFENSE COMMUNE</w:t>
      </w:r>
    </w:p>
    <w:p w:rsidR="00DA7219" w:rsidRPr="006C0519" w:rsidRDefault="00DA7219" w:rsidP="00DA7219">
      <w:pPr>
        <w:pStyle w:val="TOC9"/>
        <w:keepNext/>
        <w:rPr>
          <w:rFonts w:asciiTheme="minorHAnsi" w:eastAsiaTheme="minorEastAsia" w:hAnsiTheme="minorHAnsi" w:cstheme="minorBidi"/>
          <w:noProof/>
          <w:sz w:val="22"/>
          <w:szCs w:val="22"/>
        </w:rPr>
      </w:pPr>
      <w:r w:rsidRPr="006C0519">
        <w:t>Accord avec le Maroc sur les opérations de gestion de crises</w:t>
      </w:r>
      <w:r w:rsidRPr="006C0519">
        <w:tab/>
      </w:r>
      <w:r w:rsidRPr="006C0519">
        <w:rPr>
          <w:noProof/>
        </w:rPr>
        <w:fldChar w:fldCharType="begin"/>
      </w:r>
      <w:r w:rsidRPr="006C0519">
        <w:rPr>
          <w:noProof/>
        </w:rPr>
        <w:instrText xml:space="preserve"> PAGEREF \h _Toc432080878 \* MERGEFORMAT </w:instrText>
      </w:r>
      <w:r w:rsidRPr="006C0519">
        <w:rPr>
          <w:noProof/>
        </w:rPr>
      </w:r>
      <w:r w:rsidRPr="006C0519">
        <w:rPr>
          <w:noProof/>
        </w:rPr>
        <w:fldChar w:fldCharType="separate"/>
      </w:r>
      <w:r w:rsidR="006C0519">
        <w:rPr>
          <w:noProof/>
        </w:rPr>
        <w:t>6</w:t>
      </w:r>
      <w:r w:rsidRPr="006C0519">
        <w:rPr>
          <w:noProof/>
        </w:rPr>
        <w:fldChar w:fldCharType="end"/>
      </w:r>
      <w:r w:rsidRPr="006C0519">
        <w:tab/>
      </w:r>
    </w:p>
    <w:p w:rsidR="00DA7219" w:rsidRPr="006C0519" w:rsidRDefault="00DA7219" w:rsidP="00DA7219">
      <w:pPr>
        <w:pStyle w:val="TOC9"/>
        <w:rPr>
          <w:rFonts w:asciiTheme="minorHAnsi" w:eastAsiaTheme="minorEastAsia" w:hAnsiTheme="minorHAnsi" w:cstheme="minorBidi"/>
          <w:noProof/>
          <w:sz w:val="22"/>
          <w:szCs w:val="22"/>
        </w:rPr>
      </w:pPr>
      <w:r w:rsidRPr="006C0519">
        <w:t>Institut d'études de sécurité de l'UE</w:t>
      </w:r>
      <w:r w:rsidRPr="006C0519">
        <w:tab/>
      </w:r>
      <w:r w:rsidRPr="006C0519">
        <w:rPr>
          <w:noProof/>
        </w:rPr>
        <w:fldChar w:fldCharType="begin"/>
      </w:r>
      <w:r w:rsidRPr="006C0519">
        <w:rPr>
          <w:noProof/>
        </w:rPr>
        <w:instrText xml:space="preserve"> PAGEREF \h _Toc432080879 \* MERGEFORMAT </w:instrText>
      </w:r>
      <w:r w:rsidRPr="006C0519">
        <w:rPr>
          <w:noProof/>
        </w:rPr>
      </w:r>
      <w:r w:rsidRPr="006C0519">
        <w:rPr>
          <w:noProof/>
        </w:rPr>
        <w:fldChar w:fldCharType="separate"/>
      </w:r>
      <w:r w:rsidR="006C0519">
        <w:rPr>
          <w:noProof/>
        </w:rPr>
        <w:t>6</w:t>
      </w:r>
      <w:r w:rsidRPr="006C0519">
        <w:rPr>
          <w:noProof/>
        </w:rPr>
        <w:fldChar w:fldCharType="end"/>
      </w:r>
    </w:p>
    <w:p w:rsidR="00DA7219" w:rsidRPr="006C0519" w:rsidRDefault="00DA7219" w:rsidP="00DA7219">
      <w:pPr>
        <w:pStyle w:val="TOC8"/>
        <w:rPr>
          <w:rFonts w:asciiTheme="minorHAnsi" w:eastAsiaTheme="minorEastAsia" w:hAnsiTheme="minorHAnsi" w:cstheme="minorBidi"/>
          <w:i w:val="0"/>
          <w:noProof/>
          <w:sz w:val="22"/>
          <w:szCs w:val="22"/>
        </w:rPr>
      </w:pPr>
      <w:r w:rsidRPr="006C0519">
        <w:t>JUSTICE ET AFFAIRES INTÉRIEURES</w:t>
      </w:r>
    </w:p>
    <w:p w:rsidR="00DA7219" w:rsidRPr="006C0519" w:rsidRDefault="00DA7219" w:rsidP="00DA7219">
      <w:pPr>
        <w:pStyle w:val="TOC9"/>
        <w:keepNext/>
        <w:rPr>
          <w:rFonts w:asciiTheme="minorHAnsi" w:eastAsiaTheme="minorEastAsia" w:hAnsiTheme="minorHAnsi" w:cstheme="minorBidi"/>
          <w:noProof/>
          <w:sz w:val="22"/>
          <w:szCs w:val="22"/>
        </w:rPr>
      </w:pPr>
      <w:r w:rsidRPr="006C0519">
        <w:t>Rapport annuel d'Eurojust</w:t>
      </w:r>
      <w:r w:rsidRPr="006C0519">
        <w:tab/>
      </w:r>
      <w:r w:rsidRPr="006C0519">
        <w:rPr>
          <w:noProof/>
        </w:rPr>
        <w:fldChar w:fldCharType="begin"/>
      </w:r>
      <w:r w:rsidRPr="006C0519">
        <w:rPr>
          <w:noProof/>
        </w:rPr>
        <w:instrText xml:space="preserve"> PAGEREF \h _Toc432080881 \* MERGEFORMAT </w:instrText>
      </w:r>
      <w:r w:rsidRPr="006C0519">
        <w:rPr>
          <w:noProof/>
        </w:rPr>
      </w:r>
      <w:r w:rsidRPr="006C0519">
        <w:rPr>
          <w:noProof/>
        </w:rPr>
        <w:fldChar w:fldCharType="separate"/>
      </w:r>
      <w:r w:rsidR="006C0519">
        <w:rPr>
          <w:noProof/>
        </w:rPr>
        <w:t>6</w:t>
      </w:r>
      <w:r w:rsidRPr="006C0519">
        <w:rPr>
          <w:noProof/>
        </w:rPr>
        <w:fldChar w:fldCharType="end"/>
      </w:r>
    </w:p>
    <w:p w:rsidR="00DA7219" w:rsidRPr="006C0519" w:rsidRDefault="00DA7219" w:rsidP="00DA7219">
      <w:pPr>
        <w:pStyle w:val="TOC9"/>
        <w:keepNext/>
        <w:rPr>
          <w:rFonts w:asciiTheme="minorHAnsi" w:eastAsiaTheme="minorEastAsia" w:hAnsiTheme="minorHAnsi" w:cstheme="minorBidi"/>
          <w:noProof/>
          <w:sz w:val="22"/>
          <w:szCs w:val="22"/>
        </w:rPr>
      </w:pPr>
      <w:r w:rsidRPr="006C0519">
        <w:t>Réduction de la demande de drogue dans l'UE</w:t>
      </w:r>
      <w:r w:rsidRPr="006C0519">
        <w:tab/>
      </w:r>
      <w:r w:rsidRPr="006C0519">
        <w:rPr>
          <w:noProof/>
        </w:rPr>
        <w:fldChar w:fldCharType="begin"/>
      </w:r>
      <w:r w:rsidRPr="006C0519">
        <w:rPr>
          <w:noProof/>
        </w:rPr>
        <w:instrText xml:space="preserve"> PAGEREF \h _Toc432080882 \* MERGEFORMAT </w:instrText>
      </w:r>
      <w:r w:rsidRPr="006C0519">
        <w:rPr>
          <w:noProof/>
        </w:rPr>
      </w:r>
      <w:r w:rsidRPr="006C0519">
        <w:rPr>
          <w:noProof/>
        </w:rPr>
        <w:fldChar w:fldCharType="separate"/>
      </w:r>
      <w:r w:rsidR="006C0519">
        <w:rPr>
          <w:noProof/>
        </w:rPr>
        <w:t>6</w:t>
      </w:r>
      <w:r w:rsidRPr="006C0519">
        <w:rPr>
          <w:noProof/>
        </w:rPr>
        <w:fldChar w:fldCharType="end"/>
      </w:r>
    </w:p>
    <w:p w:rsidR="00DA7219" w:rsidRPr="006C0519" w:rsidRDefault="00DA7219" w:rsidP="00DA7219">
      <w:pPr>
        <w:pStyle w:val="TOC9"/>
        <w:keepNext/>
        <w:rPr>
          <w:rFonts w:asciiTheme="minorHAnsi" w:eastAsiaTheme="minorEastAsia" w:hAnsiTheme="minorHAnsi" w:cstheme="minorBidi"/>
          <w:noProof/>
          <w:sz w:val="22"/>
          <w:szCs w:val="22"/>
        </w:rPr>
      </w:pPr>
      <w:r w:rsidRPr="006C0519">
        <w:t>Évaluation d'une nouvelle substance psychoactive</w:t>
      </w:r>
      <w:r w:rsidRPr="006C0519">
        <w:tab/>
      </w:r>
      <w:r w:rsidRPr="006C0519">
        <w:rPr>
          <w:noProof/>
        </w:rPr>
        <w:fldChar w:fldCharType="begin"/>
      </w:r>
      <w:r w:rsidRPr="006C0519">
        <w:rPr>
          <w:noProof/>
        </w:rPr>
        <w:instrText xml:space="preserve"> PAGEREF \h _Toc432080883 \* MERGEFORMAT </w:instrText>
      </w:r>
      <w:r w:rsidRPr="006C0519">
        <w:rPr>
          <w:noProof/>
        </w:rPr>
      </w:r>
      <w:r w:rsidRPr="006C0519">
        <w:rPr>
          <w:noProof/>
        </w:rPr>
        <w:fldChar w:fldCharType="separate"/>
      </w:r>
      <w:r w:rsidR="006C0519">
        <w:rPr>
          <w:noProof/>
        </w:rPr>
        <w:t>7</w:t>
      </w:r>
      <w:r w:rsidRPr="006C0519">
        <w:rPr>
          <w:noProof/>
        </w:rPr>
        <w:fldChar w:fldCharType="end"/>
      </w:r>
    </w:p>
    <w:p w:rsidR="00DA7219" w:rsidRPr="006C0519" w:rsidRDefault="00DA7219" w:rsidP="00DA7219">
      <w:pPr>
        <w:pStyle w:val="TOC9"/>
        <w:rPr>
          <w:rFonts w:asciiTheme="minorHAnsi" w:eastAsiaTheme="minorEastAsia" w:hAnsiTheme="minorHAnsi" w:cstheme="minorBidi"/>
          <w:noProof/>
          <w:sz w:val="22"/>
          <w:szCs w:val="22"/>
        </w:rPr>
      </w:pPr>
      <w:r w:rsidRPr="006C0519">
        <w:t>Exemption de visa de court séjour</w:t>
      </w:r>
      <w:r w:rsidRPr="006C0519">
        <w:tab/>
      </w:r>
      <w:r w:rsidRPr="006C0519">
        <w:rPr>
          <w:noProof/>
        </w:rPr>
        <w:fldChar w:fldCharType="begin"/>
      </w:r>
      <w:r w:rsidRPr="006C0519">
        <w:rPr>
          <w:noProof/>
        </w:rPr>
        <w:instrText xml:space="preserve"> PAGEREF \h _Toc432080884 \* MERGEFORMAT </w:instrText>
      </w:r>
      <w:r w:rsidRPr="006C0519">
        <w:rPr>
          <w:noProof/>
        </w:rPr>
      </w:r>
      <w:r w:rsidRPr="006C0519">
        <w:rPr>
          <w:noProof/>
        </w:rPr>
        <w:fldChar w:fldCharType="separate"/>
      </w:r>
      <w:r w:rsidR="006C0519">
        <w:rPr>
          <w:noProof/>
        </w:rPr>
        <w:t>7</w:t>
      </w:r>
      <w:r w:rsidRPr="006C0519">
        <w:rPr>
          <w:noProof/>
        </w:rPr>
        <w:fldChar w:fldCharType="end"/>
      </w:r>
    </w:p>
    <w:p w:rsidR="00DA7219" w:rsidRPr="006C0519" w:rsidRDefault="00137FA3" w:rsidP="00DA7219">
      <w:pPr>
        <w:pStyle w:val="TOC8"/>
        <w:rPr>
          <w:rFonts w:asciiTheme="minorHAnsi" w:eastAsiaTheme="minorEastAsia" w:hAnsiTheme="minorHAnsi" w:cstheme="minorBidi"/>
          <w:i w:val="0"/>
          <w:noProof/>
          <w:sz w:val="22"/>
          <w:szCs w:val="22"/>
        </w:rPr>
      </w:pPr>
      <w:r w:rsidRPr="006C0519">
        <w:br w:type="page"/>
      </w:r>
      <w:r w:rsidRPr="006C0519">
        <w:lastRenderedPageBreak/>
        <w:t>AFFAIRES ÉCONOMIQUES ET FINANCIÈRES</w:t>
      </w:r>
    </w:p>
    <w:p w:rsidR="00DA7219" w:rsidRPr="006C0519" w:rsidRDefault="00DA7219" w:rsidP="00DA7219">
      <w:pPr>
        <w:pStyle w:val="TOC9"/>
        <w:rPr>
          <w:rFonts w:asciiTheme="minorHAnsi" w:eastAsiaTheme="minorEastAsia" w:hAnsiTheme="minorHAnsi" w:cstheme="minorBidi"/>
          <w:noProof/>
          <w:sz w:val="22"/>
          <w:szCs w:val="22"/>
        </w:rPr>
      </w:pPr>
      <w:r w:rsidRPr="006C0519">
        <w:t>Procédure concernant les déficits excessifs - Royaume-Uni</w:t>
      </w:r>
      <w:r w:rsidRPr="006C0519">
        <w:tab/>
      </w:r>
      <w:r w:rsidRPr="006C0519">
        <w:rPr>
          <w:noProof/>
        </w:rPr>
        <w:fldChar w:fldCharType="begin"/>
      </w:r>
      <w:r w:rsidRPr="006C0519">
        <w:rPr>
          <w:noProof/>
        </w:rPr>
        <w:instrText xml:space="preserve"> PAGEREF \h _Toc432080886 \* MERGEFORMAT </w:instrText>
      </w:r>
      <w:r w:rsidRPr="006C0519">
        <w:rPr>
          <w:noProof/>
        </w:rPr>
      </w:r>
      <w:r w:rsidRPr="006C0519">
        <w:rPr>
          <w:noProof/>
        </w:rPr>
        <w:fldChar w:fldCharType="separate"/>
      </w:r>
      <w:r w:rsidR="006C0519">
        <w:rPr>
          <w:noProof/>
        </w:rPr>
        <w:t>7</w:t>
      </w:r>
      <w:r w:rsidRPr="006C0519">
        <w:rPr>
          <w:noProof/>
        </w:rPr>
        <w:fldChar w:fldCharType="end"/>
      </w:r>
    </w:p>
    <w:p w:rsidR="00DA7219" w:rsidRPr="006C0519" w:rsidRDefault="00DA7219" w:rsidP="00DA7219">
      <w:pPr>
        <w:pStyle w:val="TOC8"/>
        <w:rPr>
          <w:rFonts w:asciiTheme="minorHAnsi" w:eastAsiaTheme="minorEastAsia" w:hAnsiTheme="minorHAnsi" w:cstheme="minorBidi"/>
          <w:i w:val="0"/>
          <w:noProof/>
          <w:sz w:val="22"/>
          <w:szCs w:val="22"/>
        </w:rPr>
      </w:pPr>
      <w:r w:rsidRPr="006C0519">
        <w:t>QUESTIONS BUDGÉTAIRES</w:t>
      </w:r>
    </w:p>
    <w:p w:rsidR="00DA7219" w:rsidRPr="006C0519" w:rsidRDefault="00DA7219" w:rsidP="00DA7219">
      <w:pPr>
        <w:pStyle w:val="TOC9"/>
        <w:rPr>
          <w:rFonts w:asciiTheme="minorHAnsi" w:eastAsiaTheme="minorEastAsia" w:hAnsiTheme="minorHAnsi" w:cstheme="minorBidi"/>
          <w:noProof/>
          <w:sz w:val="22"/>
          <w:szCs w:val="22"/>
        </w:rPr>
      </w:pPr>
      <w:r w:rsidRPr="006C0519">
        <w:t>Mobilisation du Fonds de solidarité de l'UE en faveur de la Bulgarie et de la Grèce</w:t>
      </w:r>
      <w:r w:rsidRPr="006C0519">
        <w:tab/>
      </w:r>
      <w:r w:rsidRPr="006C0519">
        <w:rPr>
          <w:noProof/>
        </w:rPr>
        <w:fldChar w:fldCharType="begin"/>
      </w:r>
      <w:r w:rsidRPr="006C0519">
        <w:rPr>
          <w:noProof/>
        </w:rPr>
        <w:instrText xml:space="preserve"> PAGEREF \h _Toc432080888 \* MERGEFORMAT </w:instrText>
      </w:r>
      <w:r w:rsidRPr="006C0519">
        <w:rPr>
          <w:noProof/>
        </w:rPr>
      </w:r>
      <w:r w:rsidRPr="006C0519">
        <w:rPr>
          <w:noProof/>
        </w:rPr>
        <w:fldChar w:fldCharType="separate"/>
      </w:r>
      <w:r w:rsidR="006C0519">
        <w:rPr>
          <w:noProof/>
        </w:rPr>
        <w:t>8</w:t>
      </w:r>
      <w:r w:rsidRPr="006C0519">
        <w:rPr>
          <w:noProof/>
        </w:rPr>
        <w:fldChar w:fldCharType="end"/>
      </w:r>
    </w:p>
    <w:p w:rsidR="00DA7219" w:rsidRPr="006C0519" w:rsidRDefault="00DA7219" w:rsidP="00DA7219">
      <w:pPr>
        <w:pStyle w:val="TOC8"/>
        <w:rPr>
          <w:rFonts w:asciiTheme="minorHAnsi" w:eastAsiaTheme="minorEastAsia" w:hAnsiTheme="minorHAnsi" w:cstheme="minorBidi"/>
          <w:i w:val="0"/>
          <w:noProof/>
          <w:sz w:val="22"/>
          <w:szCs w:val="22"/>
        </w:rPr>
      </w:pPr>
      <w:r w:rsidRPr="006C0519">
        <w:t>FISCALITÉ</w:t>
      </w:r>
    </w:p>
    <w:p w:rsidR="00DA7219" w:rsidRPr="006C0519" w:rsidRDefault="00DA7219" w:rsidP="00DA7219">
      <w:pPr>
        <w:pStyle w:val="TOC9"/>
        <w:rPr>
          <w:rFonts w:asciiTheme="minorHAnsi" w:eastAsiaTheme="minorEastAsia" w:hAnsiTheme="minorHAnsi" w:cstheme="minorBidi"/>
          <w:noProof/>
          <w:sz w:val="22"/>
          <w:szCs w:val="22"/>
        </w:rPr>
      </w:pPr>
      <w:r w:rsidRPr="006C0519">
        <w:t>Crédit à l'exportation: Réseaux intelligents</w:t>
      </w:r>
      <w:r w:rsidRPr="006C0519">
        <w:tab/>
      </w:r>
      <w:r w:rsidRPr="006C0519">
        <w:rPr>
          <w:noProof/>
        </w:rPr>
        <w:fldChar w:fldCharType="begin"/>
      </w:r>
      <w:r w:rsidRPr="006C0519">
        <w:rPr>
          <w:noProof/>
        </w:rPr>
        <w:instrText xml:space="preserve"> PAGEREF \h _Toc432080890 \* MERGEFORMAT </w:instrText>
      </w:r>
      <w:r w:rsidRPr="006C0519">
        <w:rPr>
          <w:noProof/>
        </w:rPr>
      </w:r>
      <w:r w:rsidRPr="006C0519">
        <w:rPr>
          <w:noProof/>
        </w:rPr>
        <w:fldChar w:fldCharType="separate"/>
      </w:r>
      <w:r w:rsidR="006C0519">
        <w:rPr>
          <w:noProof/>
        </w:rPr>
        <w:t>8</w:t>
      </w:r>
      <w:r w:rsidRPr="006C0519">
        <w:rPr>
          <w:noProof/>
        </w:rPr>
        <w:fldChar w:fldCharType="end"/>
      </w:r>
    </w:p>
    <w:p w:rsidR="00DA7219" w:rsidRPr="006C0519" w:rsidRDefault="00DA7219" w:rsidP="00DA7219">
      <w:pPr>
        <w:pStyle w:val="TOC8"/>
        <w:rPr>
          <w:rFonts w:asciiTheme="minorHAnsi" w:eastAsiaTheme="minorEastAsia" w:hAnsiTheme="minorHAnsi" w:cstheme="minorBidi"/>
          <w:i w:val="0"/>
          <w:noProof/>
          <w:sz w:val="22"/>
          <w:szCs w:val="22"/>
        </w:rPr>
      </w:pPr>
      <w:r w:rsidRPr="006C0519">
        <w:t>POLITIQUE COMMERCIALE</w:t>
      </w:r>
    </w:p>
    <w:p w:rsidR="00DA7219" w:rsidRPr="006C0519" w:rsidRDefault="00DA7219" w:rsidP="00DA7219">
      <w:pPr>
        <w:pStyle w:val="TOC9"/>
        <w:rPr>
          <w:rFonts w:asciiTheme="minorHAnsi" w:eastAsiaTheme="minorEastAsia" w:hAnsiTheme="minorHAnsi" w:cstheme="minorBidi"/>
          <w:noProof/>
          <w:sz w:val="22"/>
          <w:szCs w:val="22"/>
        </w:rPr>
      </w:pPr>
      <w:r w:rsidRPr="006C0519">
        <w:t>Marchés publics dans le cadre de l'OMC: Moldavie</w:t>
      </w:r>
      <w:r w:rsidRPr="006C0519">
        <w:tab/>
      </w:r>
      <w:r w:rsidRPr="006C0519">
        <w:rPr>
          <w:noProof/>
        </w:rPr>
        <w:fldChar w:fldCharType="begin"/>
      </w:r>
      <w:r w:rsidRPr="006C0519">
        <w:rPr>
          <w:noProof/>
        </w:rPr>
        <w:instrText xml:space="preserve"> PAGEREF \h _Toc432080892 \* MERGEFORMAT </w:instrText>
      </w:r>
      <w:r w:rsidRPr="006C0519">
        <w:rPr>
          <w:noProof/>
        </w:rPr>
      </w:r>
      <w:r w:rsidRPr="006C0519">
        <w:rPr>
          <w:noProof/>
        </w:rPr>
        <w:fldChar w:fldCharType="separate"/>
      </w:r>
      <w:r w:rsidR="006C0519">
        <w:rPr>
          <w:noProof/>
        </w:rPr>
        <w:t>9</w:t>
      </w:r>
      <w:r w:rsidRPr="006C0519">
        <w:rPr>
          <w:noProof/>
        </w:rPr>
        <w:fldChar w:fldCharType="end"/>
      </w:r>
    </w:p>
    <w:p w:rsidR="00DA7219" w:rsidRPr="006C0519" w:rsidRDefault="00DA7219" w:rsidP="00DA7219">
      <w:pPr>
        <w:pStyle w:val="TOC8"/>
        <w:rPr>
          <w:rFonts w:asciiTheme="minorHAnsi" w:eastAsiaTheme="minorEastAsia" w:hAnsiTheme="minorHAnsi" w:cstheme="minorBidi"/>
          <w:i w:val="0"/>
          <w:noProof/>
          <w:sz w:val="22"/>
          <w:szCs w:val="22"/>
        </w:rPr>
      </w:pPr>
      <w:r w:rsidRPr="006C0519">
        <w:t>POLITIQUE DE COHÉSION</w:t>
      </w:r>
    </w:p>
    <w:p w:rsidR="00DA7219" w:rsidRPr="006C0519" w:rsidRDefault="00DA7219" w:rsidP="00DA7219">
      <w:pPr>
        <w:pStyle w:val="TOC9"/>
        <w:rPr>
          <w:rFonts w:asciiTheme="minorHAnsi" w:eastAsiaTheme="minorEastAsia" w:hAnsiTheme="minorHAnsi" w:cstheme="minorBidi"/>
          <w:noProof/>
          <w:sz w:val="22"/>
          <w:szCs w:val="22"/>
        </w:rPr>
      </w:pPr>
      <w:r w:rsidRPr="006C0519">
        <w:t>Fonds social européen - Simplification de la gestion financière</w:t>
      </w:r>
      <w:r w:rsidRPr="006C0519">
        <w:tab/>
      </w:r>
      <w:r w:rsidRPr="006C0519">
        <w:rPr>
          <w:noProof/>
        </w:rPr>
        <w:fldChar w:fldCharType="begin"/>
      </w:r>
      <w:r w:rsidRPr="006C0519">
        <w:rPr>
          <w:noProof/>
        </w:rPr>
        <w:instrText xml:space="preserve"> PAGEREF \h _Toc432080894 \* MERGEFORMAT </w:instrText>
      </w:r>
      <w:r w:rsidRPr="006C0519">
        <w:rPr>
          <w:noProof/>
        </w:rPr>
      </w:r>
      <w:r w:rsidRPr="006C0519">
        <w:rPr>
          <w:noProof/>
        </w:rPr>
        <w:fldChar w:fldCharType="separate"/>
      </w:r>
      <w:r w:rsidR="006C0519">
        <w:rPr>
          <w:noProof/>
        </w:rPr>
        <w:t>9</w:t>
      </w:r>
      <w:r w:rsidRPr="006C0519">
        <w:rPr>
          <w:noProof/>
        </w:rPr>
        <w:fldChar w:fldCharType="end"/>
      </w:r>
    </w:p>
    <w:p w:rsidR="00DA7219" w:rsidRPr="006C0519" w:rsidRDefault="00DA7219" w:rsidP="00DA7219">
      <w:pPr>
        <w:pStyle w:val="TOC8"/>
        <w:rPr>
          <w:rFonts w:asciiTheme="minorHAnsi" w:eastAsiaTheme="minorEastAsia" w:hAnsiTheme="minorHAnsi" w:cstheme="minorBidi"/>
          <w:i w:val="0"/>
          <w:noProof/>
          <w:sz w:val="22"/>
          <w:szCs w:val="22"/>
        </w:rPr>
      </w:pPr>
      <w:r w:rsidRPr="006C0519">
        <w:t>TRANSPORTS</w:t>
      </w:r>
    </w:p>
    <w:p w:rsidR="00DA7219" w:rsidRPr="006C0519" w:rsidRDefault="00DA7219" w:rsidP="00DA7219">
      <w:pPr>
        <w:pStyle w:val="TOC9"/>
        <w:rPr>
          <w:rFonts w:asciiTheme="minorHAnsi" w:eastAsiaTheme="minorEastAsia" w:hAnsiTheme="minorHAnsi" w:cstheme="minorBidi"/>
          <w:noProof/>
          <w:sz w:val="22"/>
          <w:szCs w:val="22"/>
        </w:rPr>
      </w:pPr>
      <w:r w:rsidRPr="006C0519">
        <w:t>Accord avec la Chine sur les transports maritimes - mesures à la suite de l'adhésion de la Croatie</w:t>
      </w:r>
      <w:r w:rsidRPr="006C0519">
        <w:tab/>
      </w:r>
      <w:r w:rsidRPr="006C0519">
        <w:rPr>
          <w:noProof/>
        </w:rPr>
        <w:fldChar w:fldCharType="begin"/>
      </w:r>
      <w:r w:rsidRPr="006C0519">
        <w:rPr>
          <w:noProof/>
        </w:rPr>
        <w:instrText xml:space="preserve"> PAGEREF \h _Toc432080896 \* MERGEFORMAT </w:instrText>
      </w:r>
      <w:r w:rsidRPr="006C0519">
        <w:rPr>
          <w:noProof/>
        </w:rPr>
      </w:r>
      <w:r w:rsidRPr="006C0519">
        <w:rPr>
          <w:noProof/>
        </w:rPr>
        <w:fldChar w:fldCharType="separate"/>
      </w:r>
      <w:r w:rsidR="006C0519">
        <w:rPr>
          <w:noProof/>
        </w:rPr>
        <w:t>9</w:t>
      </w:r>
      <w:r w:rsidRPr="006C0519">
        <w:rPr>
          <w:noProof/>
        </w:rPr>
        <w:fldChar w:fldCharType="end"/>
      </w:r>
    </w:p>
    <w:p w:rsidR="00DA7219" w:rsidRPr="006C0519" w:rsidRDefault="00DA7219" w:rsidP="00DA7219">
      <w:pPr>
        <w:pStyle w:val="TOC8"/>
        <w:rPr>
          <w:rFonts w:asciiTheme="minorHAnsi" w:eastAsiaTheme="minorEastAsia" w:hAnsiTheme="minorHAnsi" w:cstheme="minorBidi"/>
          <w:i w:val="0"/>
          <w:noProof/>
          <w:sz w:val="22"/>
          <w:szCs w:val="22"/>
        </w:rPr>
      </w:pPr>
      <w:r w:rsidRPr="006C0519">
        <w:t>LÉGISLATION ALIMENTAIRE</w:t>
      </w:r>
    </w:p>
    <w:p w:rsidR="00DA7219" w:rsidRPr="006C0519" w:rsidRDefault="00DA7219" w:rsidP="00DA7219">
      <w:pPr>
        <w:pStyle w:val="TOC9"/>
        <w:rPr>
          <w:rFonts w:asciiTheme="minorHAnsi" w:eastAsiaTheme="minorEastAsia" w:hAnsiTheme="minorHAnsi" w:cstheme="minorBidi"/>
          <w:noProof/>
          <w:sz w:val="22"/>
          <w:szCs w:val="22"/>
        </w:rPr>
      </w:pPr>
      <w:r w:rsidRPr="006C0519">
        <w:t>Additifs alimentaires</w:t>
      </w:r>
      <w:r w:rsidRPr="006C0519">
        <w:tab/>
      </w:r>
      <w:r w:rsidRPr="006C0519">
        <w:rPr>
          <w:noProof/>
        </w:rPr>
        <w:fldChar w:fldCharType="begin"/>
      </w:r>
      <w:r w:rsidRPr="006C0519">
        <w:rPr>
          <w:noProof/>
        </w:rPr>
        <w:instrText xml:space="preserve"> PAGEREF \h _Toc432080898 \* MERGEFORMAT </w:instrText>
      </w:r>
      <w:r w:rsidRPr="006C0519">
        <w:rPr>
          <w:noProof/>
        </w:rPr>
      </w:r>
      <w:r w:rsidRPr="006C0519">
        <w:rPr>
          <w:noProof/>
        </w:rPr>
        <w:fldChar w:fldCharType="separate"/>
      </w:r>
      <w:r w:rsidR="006C0519">
        <w:rPr>
          <w:noProof/>
        </w:rPr>
        <w:t>10</w:t>
      </w:r>
      <w:r w:rsidRPr="006C0519">
        <w:rPr>
          <w:noProof/>
        </w:rPr>
        <w:fldChar w:fldCharType="end"/>
      </w:r>
    </w:p>
    <w:p w:rsidR="00DA7219" w:rsidRPr="006C0519" w:rsidRDefault="00DA7219" w:rsidP="00DA7219">
      <w:pPr>
        <w:pStyle w:val="TOC8"/>
        <w:rPr>
          <w:rFonts w:asciiTheme="minorHAnsi" w:eastAsiaTheme="minorEastAsia" w:hAnsiTheme="minorHAnsi" w:cstheme="minorBidi"/>
          <w:i w:val="0"/>
          <w:noProof/>
          <w:sz w:val="22"/>
          <w:szCs w:val="22"/>
        </w:rPr>
      </w:pPr>
      <w:r w:rsidRPr="006C0519">
        <w:t>AGRICULTURE</w:t>
      </w:r>
    </w:p>
    <w:p w:rsidR="00DA7219" w:rsidRPr="006C0519" w:rsidRDefault="00DA7219" w:rsidP="00DA7219">
      <w:pPr>
        <w:pStyle w:val="TOC9"/>
        <w:rPr>
          <w:rFonts w:asciiTheme="minorHAnsi" w:eastAsiaTheme="minorEastAsia" w:hAnsiTheme="minorHAnsi" w:cstheme="minorBidi"/>
          <w:noProof/>
          <w:sz w:val="22"/>
          <w:szCs w:val="22"/>
        </w:rPr>
      </w:pPr>
      <w:r w:rsidRPr="006C0519">
        <w:t>Mesures relatives à la santé animale - Accord politique</w:t>
      </w:r>
      <w:r w:rsidRPr="006C0519">
        <w:tab/>
      </w:r>
      <w:r w:rsidRPr="006C0519">
        <w:rPr>
          <w:noProof/>
        </w:rPr>
        <w:fldChar w:fldCharType="begin"/>
      </w:r>
      <w:r w:rsidRPr="006C0519">
        <w:rPr>
          <w:noProof/>
        </w:rPr>
        <w:instrText xml:space="preserve"> PAGEREF \h _Toc432080900 \* MERGEFORMAT </w:instrText>
      </w:r>
      <w:r w:rsidRPr="006C0519">
        <w:rPr>
          <w:noProof/>
        </w:rPr>
      </w:r>
      <w:r w:rsidRPr="006C0519">
        <w:rPr>
          <w:noProof/>
        </w:rPr>
        <w:fldChar w:fldCharType="separate"/>
      </w:r>
      <w:r w:rsidR="006C0519">
        <w:rPr>
          <w:noProof/>
        </w:rPr>
        <w:t>10</w:t>
      </w:r>
      <w:r w:rsidRPr="006C0519">
        <w:rPr>
          <w:noProof/>
        </w:rPr>
        <w:fldChar w:fldCharType="end"/>
      </w:r>
    </w:p>
    <w:p w:rsidR="00DA7219" w:rsidRPr="006C0519" w:rsidRDefault="00DA7219" w:rsidP="00DA7219">
      <w:pPr>
        <w:pStyle w:val="TOC8"/>
        <w:rPr>
          <w:rFonts w:asciiTheme="minorHAnsi" w:eastAsiaTheme="minorEastAsia" w:hAnsiTheme="minorHAnsi" w:cstheme="minorBidi"/>
          <w:i w:val="0"/>
          <w:noProof/>
          <w:sz w:val="22"/>
          <w:szCs w:val="22"/>
        </w:rPr>
      </w:pPr>
      <w:r w:rsidRPr="006C0519">
        <w:t>PÊCHE</w:t>
      </w:r>
    </w:p>
    <w:p w:rsidR="00DA7219" w:rsidRPr="006C0519" w:rsidRDefault="00DA7219" w:rsidP="00DA7219">
      <w:pPr>
        <w:pStyle w:val="TOC9"/>
        <w:rPr>
          <w:rFonts w:asciiTheme="minorHAnsi" w:eastAsiaTheme="minorEastAsia" w:hAnsiTheme="minorHAnsi" w:cstheme="minorBidi"/>
          <w:noProof/>
          <w:sz w:val="22"/>
          <w:szCs w:val="22"/>
        </w:rPr>
      </w:pPr>
      <w:r w:rsidRPr="006C0519">
        <w:t>Accès des navires de pêche vénézuéliens à la Guyane française</w:t>
      </w:r>
      <w:r w:rsidRPr="006C0519">
        <w:tab/>
      </w:r>
      <w:r w:rsidRPr="006C0519">
        <w:rPr>
          <w:noProof/>
        </w:rPr>
        <w:fldChar w:fldCharType="begin"/>
      </w:r>
      <w:r w:rsidRPr="006C0519">
        <w:rPr>
          <w:noProof/>
        </w:rPr>
        <w:instrText xml:space="preserve"> PAGEREF \h _Toc432080902 \* MERGEFORMAT </w:instrText>
      </w:r>
      <w:r w:rsidRPr="006C0519">
        <w:rPr>
          <w:noProof/>
        </w:rPr>
      </w:r>
      <w:r w:rsidRPr="006C0519">
        <w:rPr>
          <w:noProof/>
        </w:rPr>
        <w:fldChar w:fldCharType="separate"/>
      </w:r>
      <w:r w:rsidR="006C0519">
        <w:rPr>
          <w:noProof/>
        </w:rPr>
        <w:t>11</w:t>
      </w:r>
      <w:r w:rsidRPr="006C0519">
        <w:rPr>
          <w:noProof/>
        </w:rPr>
        <w:fldChar w:fldCharType="end"/>
      </w:r>
    </w:p>
    <w:p w:rsidR="00DA7219" w:rsidRPr="006C0519" w:rsidRDefault="00DA7219" w:rsidP="00DA7219">
      <w:pPr>
        <w:pStyle w:val="TOC8"/>
        <w:rPr>
          <w:rFonts w:asciiTheme="minorHAnsi" w:eastAsiaTheme="minorEastAsia" w:hAnsiTheme="minorHAnsi" w:cstheme="minorBidi"/>
          <w:i w:val="0"/>
          <w:noProof/>
          <w:sz w:val="22"/>
          <w:szCs w:val="22"/>
        </w:rPr>
      </w:pPr>
      <w:r w:rsidRPr="006C0519">
        <w:t>DÉCISION ADOPTÉE SELON LA PROCÉDURE ÉCRITE</w:t>
      </w:r>
    </w:p>
    <w:p w:rsidR="00DA7219" w:rsidRPr="006C0519" w:rsidRDefault="00DA7219" w:rsidP="00DA7219">
      <w:pPr>
        <w:pStyle w:val="TOC9"/>
      </w:pPr>
      <w:r w:rsidRPr="006C0519">
        <w:t>Fonds européen pour les investissements stratégiques</w:t>
      </w:r>
      <w:r w:rsidRPr="006C0519">
        <w:tab/>
      </w:r>
      <w:r w:rsidRPr="006C0519">
        <w:rPr>
          <w:noProof/>
        </w:rPr>
        <w:fldChar w:fldCharType="begin"/>
      </w:r>
      <w:r w:rsidRPr="006C0519">
        <w:rPr>
          <w:noProof/>
        </w:rPr>
        <w:instrText xml:space="preserve"> PAGEREF \h _Toc432080904 \* MERGEFORMAT </w:instrText>
      </w:r>
      <w:r w:rsidRPr="006C0519">
        <w:rPr>
          <w:noProof/>
        </w:rPr>
      </w:r>
      <w:r w:rsidRPr="006C0519">
        <w:rPr>
          <w:noProof/>
        </w:rPr>
        <w:fldChar w:fldCharType="separate"/>
      </w:r>
      <w:r w:rsidR="006C0519">
        <w:rPr>
          <w:noProof/>
        </w:rPr>
        <w:t>11</w:t>
      </w:r>
      <w:r w:rsidRPr="006C0519">
        <w:rPr>
          <w:noProof/>
        </w:rPr>
        <w:fldChar w:fldCharType="end"/>
      </w:r>
    </w:p>
    <w:p w:rsidR="00DA7219" w:rsidRPr="006C0519" w:rsidRDefault="00DA7219" w:rsidP="00C52975">
      <w:pPr>
        <w:sectPr w:rsidR="00DA7219" w:rsidRPr="006C0519" w:rsidSect="006C0519">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C52975" w:rsidRPr="006C0519" w:rsidRDefault="00A23286" w:rsidP="00A23286">
      <w:pPr>
        <w:pStyle w:val="ItemsDebatedHeading"/>
      </w:pPr>
      <w:r w:rsidRPr="006C0519">
        <w:lastRenderedPageBreak/>
        <w:t>POINTS AYANT FAIT L'OBJET D'UN DÉBAT</w:t>
      </w:r>
    </w:p>
    <w:p w:rsidR="004304B2" w:rsidRPr="006C0519" w:rsidRDefault="0075465A" w:rsidP="00557576">
      <w:pPr>
        <w:pStyle w:val="ItemDebated"/>
      </w:pPr>
      <w:bookmarkStart w:id="6" w:name="_Toc432080870"/>
      <w:r w:rsidRPr="006C0519">
        <w:t>Présentation du programme de travail de la présidence</w:t>
      </w:r>
      <w:r w:rsidRPr="00706685">
        <w:rPr>
          <w:u w:val="none"/>
        </w:rPr>
        <w:tab/>
      </w:r>
      <w:bookmarkEnd w:id="6"/>
    </w:p>
    <w:p w:rsidR="0075465A" w:rsidRPr="006C0519" w:rsidRDefault="0075465A" w:rsidP="0098463C">
      <w:pPr>
        <w:rPr>
          <w:rFonts w:asciiTheme="majorBidi" w:hAnsiTheme="majorBidi" w:cstheme="majorBidi"/>
        </w:rPr>
      </w:pPr>
      <w:r w:rsidRPr="006C0519">
        <w:t xml:space="preserve">La présidence luxembourgeoise a présenté, en séance publique, son </w:t>
      </w:r>
      <w:hyperlink r:id="rId19">
        <w:r w:rsidRPr="009C0B45">
          <w:rPr>
            <w:rStyle w:val="Hyperlink"/>
            <w:rFonts w:asciiTheme="majorBidi" w:hAnsiTheme="majorBidi" w:cstheme="majorBidi"/>
            <w:color w:val="0000FF"/>
          </w:rPr>
          <w:t>programme de travail</w:t>
        </w:r>
      </w:hyperlink>
      <w:r w:rsidRPr="006C0519">
        <w:t xml:space="preserve"> pour la durée de son mandat (de juillet à décembre 2015), et elle a rendu compte au Conseil de l'état d'avancement de plusieurs dossiers en cours.</w:t>
      </w:r>
    </w:p>
    <w:p w:rsidR="009E758A" w:rsidRPr="006C0519" w:rsidRDefault="004304B2" w:rsidP="0075465A">
      <w:pPr>
        <w:pStyle w:val="ItemDebated"/>
        <w:rPr>
          <w:noProof/>
        </w:rPr>
      </w:pPr>
      <w:bookmarkStart w:id="7" w:name="_Toc432080871"/>
      <w:r w:rsidRPr="006C0519">
        <w:t>Préparation du Conseil européen d'octobre</w:t>
      </w:r>
      <w:bookmarkEnd w:id="7"/>
    </w:p>
    <w:p w:rsidR="0075465A" w:rsidRPr="006C0519" w:rsidRDefault="0075465A" w:rsidP="0098463C">
      <w:pPr>
        <w:outlineLvl w:val="0"/>
        <w:rPr>
          <w:rFonts w:asciiTheme="majorBidi" w:hAnsiTheme="majorBidi" w:cstheme="majorBidi"/>
        </w:rPr>
      </w:pPr>
      <w:r w:rsidRPr="006C0519">
        <w:t xml:space="preserve">Le Conseil a examiné un </w:t>
      </w:r>
      <w:hyperlink r:id="rId20" w:tooltip="http://data.consilium.europa.eu/doc/document/st-11127-2015-init/fr/pdf">
        <w:r w:rsidRPr="009C0B45">
          <w:rPr>
            <w:rStyle w:val="Hyperlink"/>
            <w:rFonts w:asciiTheme="majorBidi" w:hAnsiTheme="majorBidi" w:cstheme="majorBidi"/>
            <w:color w:val="0000FF"/>
          </w:rPr>
          <w:t>projet d'ordre du jour annoté</w:t>
        </w:r>
      </w:hyperlink>
      <w:r w:rsidRPr="006C0519">
        <w:t>, établi par le président du Conseil européen en collaboration avec la présidence et la Commission, en vue de la réunion du Conseil européen qui se tiendra les 15 et 16 octobre 2015.</w:t>
      </w:r>
    </w:p>
    <w:p w:rsidR="0075465A" w:rsidRPr="006C0519" w:rsidRDefault="0075465A" w:rsidP="0098463C">
      <w:pPr>
        <w:outlineLvl w:val="0"/>
        <w:rPr>
          <w:rFonts w:asciiTheme="majorBidi" w:hAnsiTheme="majorBidi" w:cstheme="majorBidi"/>
        </w:rPr>
      </w:pPr>
      <w:r w:rsidRPr="006C0519">
        <w:rPr>
          <w:rFonts w:asciiTheme="majorBidi" w:hAnsiTheme="majorBidi" w:cstheme="majorBidi"/>
        </w:rPr>
        <w:t>Le Conseil européen axera ses travaux sur:</w:t>
      </w:r>
    </w:p>
    <w:p w:rsidR="0075465A" w:rsidRPr="006C0519" w:rsidRDefault="0075465A" w:rsidP="00C46CFA">
      <w:pPr>
        <w:pStyle w:val="Tiret1"/>
        <w:numPr>
          <w:ilvl w:val="0"/>
          <w:numId w:val="2"/>
        </w:numPr>
        <w:tabs>
          <w:tab w:val="clear" w:pos="1417"/>
          <w:tab w:val="num" w:pos="567"/>
        </w:tabs>
        <w:ind w:left="567"/>
        <w:outlineLvl w:val="9"/>
        <w:rPr>
          <w:rFonts w:asciiTheme="majorBidi" w:eastAsia="Calibri" w:hAnsiTheme="majorBidi" w:cstheme="majorBidi"/>
        </w:rPr>
      </w:pPr>
      <w:r w:rsidRPr="006C0519">
        <w:rPr>
          <w:rFonts w:asciiTheme="majorBidi" w:hAnsiTheme="majorBidi" w:cstheme="majorBidi"/>
        </w:rPr>
        <w:t>la question de la migration; il fera également le point sur les préparatifs du sommet de La Valette et sur la suite donnée à la conférence à haut niveau sur la route des Balkans occidentaux</w:t>
      </w:r>
    </w:p>
    <w:p w:rsidR="0075465A" w:rsidRPr="006C0519" w:rsidRDefault="0075465A" w:rsidP="00626158">
      <w:pPr>
        <w:pStyle w:val="Tiret1"/>
        <w:numPr>
          <w:ilvl w:val="0"/>
          <w:numId w:val="2"/>
        </w:numPr>
        <w:tabs>
          <w:tab w:val="clear" w:pos="1417"/>
          <w:tab w:val="num" w:pos="567"/>
        </w:tabs>
        <w:ind w:left="567"/>
        <w:outlineLvl w:val="9"/>
        <w:rPr>
          <w:rFonts w:asciiTheme="majorBidi" w:eastAsia="Calibri" w:hAnsiTheme="majorBidi" w:cstheme="majorBidi"/>
        </w:rPr>
      </w:pPr>
      <w:r w:rsidRPr="006C0519">
        <w:rPr>
          <w:rFonts w:asciiTheme="majorBidi" w:hAnsiTheme="majorBidi" w:cstheme="majorBidi"/>
        </w:rPr>
        <w:t>d'autres questions: le Conseil européen dressera le bilan des débats relatifs au rapport sur l'Union économique et monétaire et recevra de la part du président du Conseil européen des informations sur l'analyse technique des demandes du Royaume-Uni en préparation d'un référendum; il pourrait également être amené à se pencher sur certaines questions de politique étrangère en fonction de la situation.</w:t>
      </w:r>
    </w:p>
    <w:p w:rsidR="0075465A" w:rsidRPr="006C0519" w:rsidRDefault="0075465A" w:rsidP="0098463C">
      <w:pPr>
        <w:outlineLvl w:val="0"/>
        <w:rPr>
          <w:rFonts w:asciiTheme="majorBidi" w:hAnsiTheme="majorBidi" w:cstheme="majorBidi"/>
        </w:rPr>
      </w:pPr>
      <w:r w:rsidRPr="006C0519">
        <w:rPr>
          <w:rFonts w:asciiTheme="majorBidi" w:hAnsiTheme="majorBidi" w:cstheme="majorBidi"/>
        </w:rPr>
        <w:t>Le projet d'ordre du jour annoté servira de base pour le projet de conclusions, qui sera établi dans les jours précédant la réunion.</w:t>
      </w:r>
    </w:p>
    <w:p w:rsidR="009E758A" w:rsidRPr="006C0519" w:rsidRDefault="004304B2" w:rsidP="00DC19FE">
      <w:pPr>
        <w:pStyle w:val="ItemDebated"/>
        <w:rPr>
          <w:rFonts w:cs="Arial"/>
          <w:bCs/>
          <w:iCs/>
          <w:sz w:val="22"/>
        </w:rPr>
      </w:pPr>
      <w:bookmarkStart w:id="8" w:name="_Toc432080872"/>
      <w:r w:rsidRPr="006C0519">
        <w:rPr>
          <w:sz w:val="22"/>
        </w:rPr>
        <w:t>Programme de travail de la Commission pour 2016</w:t>
      </w:r>
      <w:r w:rsidRPr="00C630DE">
        <w:rPr>
          <w:u w:val="none"/>
        </w:rPr>
        <w:tab/>
      </w:r>
      <w:bookmarkEnd w:id="8"/>
    </w:p>
    <w:p w:rsidR="00893DE9" w:rsidRPr="006C0519" w:rsidRDefault="0075465A" w:rsidP="00DC19FE">
      <w:pPr>
        <w:outlineLvl w:val="0"/>
        <w:rPr>
          <w:rFonts w:asciiTheme="majorBidi" w:hAnsiTheme="majorBidi" w:cstheme="majorBidi"/>
        </w:rPr>
      </w:pPr>
      <w:r w:rsidRPr="006C0519">
        <w:t xml:space="preserve">Le Conseil a pris note d'une </w:t>
      </w:r>
      <w:hyperlink r:id="rId21" w:tooltip="http://data.consilium.europa.eu/doc/document/st-11693-2015-init/fr/pdf">
        <w:r w:rsidRPr="009C0B45">
          <w:rPr>
            <w:rStyle w:val="Hyperlink"/>
            <w:rFonts w:asciiTheme="majorBidi" w:hAnsiTheme="majorBidi" w:cstheme="majorBidi"/>
            <w:color w:val="0000FF"/>
          </w:rPr>
          <w:t>lettre d'intention de la Commission</w:t>
        </w:r>
      </w:hyperlink>
      <w:r w:rsidRPr="006C0519">
        <w:t xml:space="preserve"> concernant son programme de travail pour 2016.</w:t>
      </w:r>
      <w:r w:rsidRPr="006C0519">
        <w:rPr>
          <w:rFonts w:asciiTheme="majorBidi" w:hAnsiTheme="majorBidi" w:cstheme="majorBidi"/>
        </w:rPr>
        <w:t xml:space="preserve"> Cette démarche fait partie du processus préparatoire en vue de l'adoption par la Commission de son programme de travail pour l'année à venir, le 27 octobre prochain. </w:t>
      </w:r>
    </w:p>
    <w:p w:rsidR="00A10026" w:rsidRPr="006C0519" w:rsidRDefault="00A10026" w:rsidP="00DC19FE">
      <w:pPr>
        <w:outlineLvl w:val="0"/>
        <w:rPr>
          <w:rFonts w:asciiTheme="majorBidi" w:hAnsiTheme="majorBidi" w:cstheme="majorBidi"/>
        </w:rPr>
        <w:sectPr w:rsidR="00A10026" w:rsidRPr="006C0519" w:rsidSect="006C0519">
          <w:footnotePr>
            <w:numRestart w:val="eachPage"/>
          </w:footnotePr>
          <w:pgSz w:w="11907" w:h="16840" w:code="9"/>
          <w:pgMar w:top="1134" w:right="1134" w:bottom="1134" w:left="1134" w:header="567" w:footer="567" w:gutter="0"/>
          <w:cols w:space="708"/>
          <w:docGrid w:linePitch="360"/>
        </w:sectPr>
      </w:pPr>
    </w:p>
    <w:p w:rsidR="00C52975" w:rsidRPr="006C0519" w:rsidRDefault="00A23286" w:rsidP="00A23286">
      <w:pPr>
        <w:pStyle w:val="ItemsApprovedHeading"/>
      </w:pPr>
      <w:r w:rsidRPr="006C0519">
        <w:lastRenderedPageBreak/>
        <w:t>AUTRES POINTS APPROUVÉS</w:t>
      </w:r>
    </w:p>
    <w:p w:rsidR="00F873CB" w:rsidRPr="006C0519" w:rsidRDefault="00F873CB" w:rsidP="00F873CB">
      <w:pPr>
        <w:pStyle w:val="ItemApproved"/>
      </w:pPr>
      <w:r w:rsidRPr="006C0519">
        <w:t>AFFAIRES ÉTRANGÈRES</w:t>
      </w:r>
    </w:p>
    <w:p w:rsidR="00F873CB" w:rsidRPr="006C0519" w:rsidRDefault="00F873CB" w:rsidP="00F873CB">
      <w:pPr>
        <w:pStyle w:val="Sub-itemApproved"/>
      </w:pPr>
      <w:bookmarkStart w:id="9" w:name="_Toc432080874"/>
      <w:r w:rsidRPr="006C0519">
        <w:t>EUNAVFOR MED</w:t>
      </w:r>
      <w:r w:rsidRPr="006C0519">
        <w:tab/>
      </w:r>
      <w:bookmarkEnd w:id="9"/>
    </w:p>
    <w:p w:rsidR="00F873CB" w:rsidRPr="006C0519" w:rsidRDefault="00F873CB" w:rsidP="000D32B7">
      <w:pPr>
        <w:outlineLvl w:val="0"/>
        <w:rPr>
          <w:rFonts w:asciiTheme="majorBidi" w:hAnsiTheme="majorBidi" w:cstheme="majorBidi"/>
        </w:rPr>
      </w:pPr>
      <w:r w:rsidRPr="006C0519">
        <w:rPr>
          <w:rFonts w:asciiTheme="majorBidi" w:hAnsiTheme="majorBidi" w:cstheme="majorBidi"/>
        </w:rPr>
        <w:t>Le Conseil a adopté une évaluation positive aux termes de laquelle il a conclu que les conditions pour faire passer EUNAVFOR MED à la première étape de la deuxième phase, en haute mer, sont réunies. L'opération navale a atteint tous les objectifs militaires de la première phase, qui était axée sur la collecte et l'analyse d'informations et de renseignement.</w:t>
      </w:r>
    </w:p>
    <w:p w:rsidR="00F873CB" w:rsidRPr="006C0519" w:rsidRDefault="00F873CB" w:rsidP="00F873CB">
      <w:pPr>
        <w:rPr>
          <w:rFonts w:asciiTheme="majorBidi" w:hAnsiTheme="majorBidi" w:cstheme="majorBidi"/>
        </w:rPr>
      </w:pPr>
      <w:r w:rsidRPr="006C0519">
        <w:t xml:space="preserve">Voir le </w:t>
      </w:r>
      <w:hyperlink r:id="rId22">
        <w:r w:rsidRPr="009C0B45">
          <w:rPr>
            <w:rStyle w:val="Hyperlink"/>
            <w:rFonts w:asciiTheme="majorBidi" w:hAnsiTheme="majorBidi" w:cstheme="majorBidi"/>
            <w:color w:val="0000FF"/>
          </w:rPr>
          <w:t>communiqué de presse</w:t>
        </w:r>
      </w:hyperlink>
    </w:p>
    <w:p w:rsidR="00F873CB" w:rsidRPr="006C0519" w:rsidRDefault="00F873CB" w:rsidP="00F873CB">
      <w:pPr>
        <w:pStyle w:val="Sub-itemApproved"/>
      </w:pPr>
      <w:bookmarkStart w:id="10" w:name="_Toc432080875"/>
      <w:r w:rsidRPr="006C0519">
        <w:t>Libye</w:t>
      </w:r>
      <w:bookmarkEnd w:id="10"/>
    </w:p>
    <w:p w:rsidR="00893DE9" w:rsidRPr="006C0519" w:rsidRDefault="00F873CB" w:rsidP="009C30C1">
      <w:pPr>
        <w:rPr>
          <w:sz w:val="23"/>
          <w:szCs w:val="23"/>
        </w:rPr>
      </w:pPr>
      <w:r w:rsidRPr="006C0519">
        <w:t xml:space="preserve">Le Conseil a abrogé la </w:t>
      </w:r>
      <w:hyperlink r:id="rId23">
        <w:r w:rsidRPr="009C0B45">
          <w:rPr>
            <w:rStyle w:val="Hyperlink"/>
            <w:color w:val="0000FF"/>
          </w:rPr>
          <w:t>décision 2013/320/PESC</w:t>
        </w:r>
      </w:hyperlink>
      <w:r w:rsidRPr="006C0519">
        <w:t xml:space="preserve"> visant à aider les institutions publiques libyennes à garantir la bonne sécurité physique et une gestion rigoureuse des arsenaux libyens, afin de réduire les risques liés au trafic d'armes légères et de petit calibre (ALPC). Cette décision fait suite à la détérioration de la situation qui règne en Libye sur le plan politique et de la sécurité, sachant qu'il est difficile de savoir avec certitude quand la situation en Libye s'améliorera de manière telle que le personnel international puisse de nouveau mener des activités en toute sécurité dans le pays.</w:t>
      </w:r>
      <w:r w:rsidRPr="006C0519">
        <w:rPr>
          <w:sz w:val="23"/>
        </w:rPr>
        <w:t xml:space="preserve"> L'Union demeure fermement résolue à aider les autorités libyennes responsables à réduire les risques que font peser la prolifération illicite et l'accumulation excessive d'ALPC et de leurs munitions, dès que la situation en Libye le permettra de nouveau.</w:t>
      </w:r>
      <w:r w:rsidRPr="006C0519">
        <w:rPr>
          <w:sz w:val="23"/>
          <w:szCs w:val="23"/>
        </w:rPr>
        <w:br/>
      </w:r>
    </w:p>
    <w:p w:rsidR="00F873CB" w:rsidRPr="006C0519" w:rsidRDefault="00F873CB" w:rsidP="00893DE9">
      <w:pPr>
        <w:pStyle w:val="Sub-itemApproved"/>
      </w:pPr>
      <w:bookmarkStart w:id="11" w:name="_Toc432080876"/>
      <w:r w:rsidRPr="006C0519">
        <w:t>Mesures restrictives visant les actions compromettant l'intégrité territoriale de l'Ukraine</w:t>
      </w:r>
      <w:bookmarkEnd w:id="11"/>
    </w:p>
    <w:p w:rsidR="00893DE9" w:rsidRPr="006C0519" w:rsidRDefault="00F873CB" w:rsidP="00893DE9">
      <w:pPr>
        <w:rPr>
          <w:rStyle w:val="CommentReference"/>
        </w:rPr>
      </w:pPr>
      <w:r w:rsidRPr="006C0519">
        <w:rPr>
          <w:rFonts w:asciiTheme="majorBidi" w:hAnsiTheme="majorBidi" w:cstheme="majorBidi"/>
        </w:rPr>
        <w:t>Le Conseil a prorogé de six mois les sanctions de l'UE qui visent les actions menées contre l'intégrité territoriale, la souveraineté et l'indépendance de l'Ukraine. Le gel des avoirs et les interdictions de pénétrer sur le territoire de l'Union frappant 149 personnes et 37 entités ont été prorogés jusqu'au 15 mars 2016.</w:t>
      </w:r>
      <w:r w:rsidRPr="006C0519">
        <w:rPr>
          <w:rStyle w:val="CommentReference"/>
        </w:rPr>
        <w:br/>
      </w:r>
    </w:p>
    <w:p w:rsidR="00F873CB" w:rsidRPr="006C0519" w:rsidRDefault="00F873CB" w:rsidP="00893DE9">
      <w:pPr>
        <w:rPr>
          <w:sz w:val="16"/>
          <w:szCs w:val="16"/>
        </w:rPr>
      </w:pPr>
      <w:r w:rsidRPr="006C0519">
        <w:t xml:space="preserve">Voir le </w:t>
      </w:r>
      <w:hyperlink r:id="rId24">
        <w:r w:rsidRPr="009C0B45">
          <w:rPr>
            <w:rStyle w:val="Hyperlink"/>
            <w:rFonts w:asciiTheme="majorBidi" w:hAnsiTheme="majorBidi" w:cstheme="majorBidi"/>
            <w:color w:val="0000FF"/>
          </w:rPr>
          <w:t>communiqué de presse</w:t>
        </w:r>
      </w:hyperlink>
    </w:p>
    <w:p w:rsidR="00F873CB" w:rsidRPr="006C0519" w:rsidRDefault="00FE4086" w:rsidP="00F873CB">
      <w:pPr>
        <w:pStyle w:val="ItemApproved"/>
      </w:pPr>
      <w:r w:rsidRPr="006C0519">
        <w:br w:type="page"/>
      </w:r>
      <w:r w:rsidRPr="006C0519">
        <w:lastRenderedPageBreak/>
        <w:t>POLITIQUE DE SÉCURITÉ ET DE DÉFENSE COMMUNE</w:t>
      </w:r>
    </w:p>
    <w:p w:rsidR="00F873CB" w:rsidRPr="006C0519" w:rsidRDefault="00F873CB" w:rsidP="00893DE9">
      <w:pPr>
        <w:pStyle w:val="Sub-itemApproved"/>
      </w:pPr>
      <w:bookmarkStart w:id="12" w:name="_Toc432080878"/>
      <w:r w:rsidRPr="006C0519">
        <w:t>Accord avec le Maroc sur les opérations de gestion de crises</w:t>
      </w:r>
      <w:bookmarkEnd w:id="12"/>
    </w:p>
    <w:p w:rsidR="00F873CB" w:rsidRPr="006C0519" w:rsidRDefault="00F873CB" w:rsidP="00F873CB">
      <w:pPr>
        <w:outlineLvl w:val="0"/>
      </w:pPr>
      <w:r w:rsidRPr="006C0519">
        <w:t>Le Conseil a adopté une décision relative à la signature d'un accord établissant un cadre pour la participation du Maroc aux opérations de gestion de crises menées par l'UE.</w:t>
      </w:r>
    </w:p>
    <w:p w:rsidR="00F873CB" w:rsidRPr="006C0519" w:rsidRDefault="00F873CB" w:rsidP="00F873CB">
      <w:pPr>
        <w:pStyle w:val="Sub-itemApproved"/>
      </w:pPr>
      <w:bookmarkStart w:id="13" w:name="_Toc432080879"/>
      <w:r w:rsidRPr="006C0519">
        <w:t>Institut d'études de sécurité de l'UE</w:t>
      </w:r>
      <w:bookmarkEnd w:id="13"/>
    </w:p>
    <w:p w:rsidR="00F873CB" w:rsidRPr="006C0519" w:rsidRDefault="00F873CB" w:rsidP="00C46CFA">
      <w:pPr>
        <w:pStyle w:val="Footer"/>
        <w:keepNext/>
        <w:tabs>
          <w:tab w:val="clear" w:pos="9638"/>
        </w:tabs>
        <w:spacing w:before="120" w:after="240"/>
        <w:rPr>
          <w:color w:val="000000"/>
        </w:rPr>
      </w:pPr>
      <w:r w:rsidRPr="006C0519">
        <w:t>Le Conseil a marqué son accord sur le règlement financier applicable au budget général de l'Institut d'études de sécurité de l'Union européenne établi par le conseil d'administration de l'institut.</w:t>
      </w:r>
    </w:p>
    <w:p w:rsidR="00337C04" w:rsidRPr="006C0519" w:rsidRDefault="00337C04" w:rsidP="00337C04">
      <w:pPr>
        <w:pStyle w:val="ItemApproved"/>
      </w:pPr>
      <w:r w:rsidRPr="006C0519">
        <w:t>JUSTICE ET AFFAIRES INTÉRIEURES</w:t>
      </w:r>
    </w:p>
    <w:p w:rsidR="00337C04" w:rsidRPr="006C0519" w:rsidRDefault="00337C04" w:rsidP="00337C04">
      <w:pPr>
        <w:pStyle w:val="Sub-itemApproved"/>
      </w:pPr>
      <w:bookmarkStart w:id="14" w:name="_Toc432080881"/>
      <w:r w:rsidRPr="006C0519">
        <w:t>Rapport annuel d'Eurojust</w:t>
      </w:r>
      <w:bookmarkEnd w:id="14"/>
    </w:p>
    <w:p w:rsidR="00337C04" w:rsidRPr="006C0519" w:rsidRDefault="00337C04" w:rsidP="00217E69">
      <w:pPr>
        <w:rPr>
          <w:rFonts w:asciiTheme="majorBidi" w:hAnsiTheme="majorBidi" w:cstheme="majorBidi"/>
        </w:rPr>
      </w:pPr>
      <w:r w:rsidRPr="006C0519">
        <w:t xml:space="preserve">Le Conseil a adopté des conclusions (doc. </w:t>
      </w:r>
      <w:hyperlink r:id="rId25" w:tooltip="http://data.consilium.europa.eu/doc/document/st-10862-2015-init/fr/pdf">
        <w:r w:rsidRPr="009C0B45">
          <w:rPr>
            <w:rStyle w:val="Hyperlink"/>
            <w:rFonts w:asciiTheme="majorBidi" w:hAnsiTheme="majorBidi" w:cstheme="majorBidi"/>
            <w:color w:val="0000FF"/>
          </w:rPr>
          <w:t>10862/15</w:t>
        </w:r>
      </w:hyperlink>
      <w:r w:rsidRPr="006C0519">
        <w:t>) sur le rapport annuel 2014 d'Eurojust (doc.</w:t>
      </w:r>
      <w:r w:rsidR="00FD1DA8">
        <w:t> </w:t>
      </w:r>
      <w:hyperlink r:id="rId26" w:tooltip="http://data.consilium.europa.eu/doc/document/st-8607-2015-init/en/pdf">
        <w:r w:rsidRPr="009C0B45">
          <w:rPr>
            <w:rStyle w:val="Hyperlink"/>
            <w:rFonts w:asciiTheme="majorBidi" w:hAnsiTheme="majorBidi" w:cstheme="majorBidi"/>
            <w:color w:val="0000FF"/>
          </w:rPr>
          <w:t>8607/15</w:t>
        </w:r>
      </w:hyperlink>
      <w:r w:rsidRPr="006C0519">
        <w:t>).</w:t>
      </w:r>
    </w:p>
    <w:p w:rsidR="00337C04" w:rsidRPr="006C0519" w:rsidRDefault="00337C04" w:rsidP="00217E69">
      <w:pPr>
        <w:rPr>
          <w:rFonts w:asciiTheme="majorBidi" w:hAnsiTheme="majorBidi" w:cstheme="majorBidi"/>
        </w:rPr>
      </w:pPr>
      <w:r w:rsidRPr="006C0519">
        <w:rPr>
          <w:rFonts w:asciiTheme="majorBidi" w:hAnsiTheme="majorBidi" w:cstheme="majorBidi"/>
        </w:rPr>
        <w:t>Eurojust est un organisme de coordination judiciaire constitué de procureurs, de juges ou d'officiers de police nationaux ayant des prérogatives équivalentes détachés par chaque État membre conformément à son système juridique. Eurojust a pour mission de prévenir et lutter contre les formes graves de criminalité transnationale et organisée, telles que le terrorisme.</w:t>
      </w:r>
    </w:p>
    <w:p w:rsidR="00337C04" w:rsidRPr="006C0519" w:rsidRDefault="00337C04" w:rsidP="00337C04">
      <w:pPr>
        <w:pStyle w:val="Sub-itemApproved"/>
      </w:pPr>
      <w:bookmarkStart w:id="15" w:name="_Toc432080882"/>
      <w:r w:rsidRPr="006C0519">
        <w:t>Réduction de la demande de drogue dans l'UE</w:t>
      </w:r>
      <w:bookmarkEnd w:id="15"/>
    </w:p>
    <w:p w:rsidR="002529E8" w:rsidRPr="006C0519" w:rsidRDefault="00337C04" w:rsidP="002529E8">
      <w:r w:rsidRPr="006C0519">
        <w:t xml:space="preserve">Le Conseil a adopté des conclusions sur la mise en œuvre du plan d'action antidrogue de l'UE (2013-2016) en ce qui concerne des normes minimales de qualité pour la réduction de la demande de drogue dans l'Union européenne (doc. </w:t>
      </w:r>
      <w:hyperlink r:id="rId27" w:tooltip="http://data.consilium.europa.eu/doc/document/st-10371-2015-rev-1/fr/pdf">
        <w:r w:rsidRPr="009C0B45">
          <w:rPr>
            <w:rStyle w:val="Hyperlink"/>
            <w:color w:val="0000FF"/>
          </w:rPr>
          <w:t>10371/1/15 REV 1</w:t>
        </w:r>
      </w:hyperlink>
      <w:r w:rsidRPr="006C0519">
        <w:t>).</w:t>
      </w:r>
    </w:p>
    <w:p w:rsidR="002529E8" w:rsidRPr="006C0519" w:rsidRDefault="00337C04" w:rsidP="002529E8">
      <w:r w:rsidRPr="006C0519">
        <w:t xml:space="preserve">Le plan d'action (doc. </w:t>
      </w:r>
      <w:hyperlink r:id="rId28" w:tooltip="http://data.consilium.europa.eu/doc/document/st-9963-2013-init/fr/pdf">
        <w:r w:rsidRPr="009C0B45">
          <w:rPr>
            <w:rStyle w:val="Hyperlink"/>
            <w:color w:val="0000FF"/>
          </w:rPr>
          <w:t>9963/13</w:t>
        </w:r>
      </w:hyperlink>
      <w:r w:rsidRPr="006C0519">
        <w:t>) comporte 54 initiatives spécifiques, fondées sur des données factuelles, dans les domaines de la réduction de la demande et de l'offre de drogue, de la coordination, de la coopération internationale, des informations, de la recherche, de l'observation et de l'évaluation.</w:t>
      </w:r>
    </w:p>
    <w:p w:rsidR="00337C04" w:rsidRPr="006C0519" w:rsidRDefault="002529E8" w:rsidP="002529E8">
      <w:pPr>
        <w:pStyle w:val="Sub-itemApproved"/>
      </w:pPr>
      <w:r w:rsidRPr="006C0519">
        <w:br w:type="page"/>
      </w:r>
      <w:bookmarkStart w:id="16" w:name="_Toc432080883"/>
      <w:r w:rsidRPr="006C0519">
        <w:lastRenderedPageBreak/>
        <w:t>Évaluation d'une nouvelle substance psychoactive</w:t>
      </w:r>
      <w:r w:rsidRPr="006C0519">
        <w:tab/>
      </w:r>
      <w:bookmarkEnd w:id="16"/>
    </w:p>
    <w:p w:rsidR="00893DE9" w:rsidRPr="006C0519" w:rsidRDefault="00217E69" w:rsidP="00893DE9">
      <w:pPr>
        <w:rPr>
          <w:i/>
          <w:iCs/>
          <w:color w:val="000000"/>
        </w:rPr>
      </w:pPr>
      <w:r w:rsidRPr="006C0519">
        <w:t xml:space="preserve">Le Conseil a demandé une évaluation des risques liés à la substance 1-phenyl-2-(1-pyrrolidinyl)-1-pentanone (α-PVP) conformément à la </w:t>
      </w:r>
      <w:hyperlink r:id="rId29">
        <w:r w:rsidRPr="009C0B45">
          <w:rPr>
            <w:rStyle w:val="Hyperlink"/>
            <w:color w:val="0000FF"/>
          </w:rPr>
          <w:t xml:space="preserve">décision 2005/387/JAI du Conseil </w:t>
        </w:r>
      </w:hyperlink>
      <w:r w:rsidRPr="006C0519">
        <w:rPr>
          <w:rStyle w:val="FootnoteReference"/>
          <w:color w:val="000000"/>
        </w:rPr>
        <w:footnoteReference w:id="1"/>
      </w:r>
      <w:r w:rsidRPr="006C0519">
        <w:t xml:space="preserve"> relative à l'échange d'informations, à l'évaluation des risques et au contrôle des nouvelles substances psychoactives (doc. </w:t>
      </w:r>
      <w:hyperlink r:id="rId30" w:tooltip="http://data.consilium.europa.eu/doc/document/st-11558-2015-init/en/pdf">
        <w:r w:rsidRPr="009C0B45">
          <w:rPr>
            <w:rStyle w:val="Hyperlink"/>
            <w:color w:val="0000FF"/>
          </w:rPr>
          <w:t>11558/15</w:t>
        </w:r>
      </w:hyperlink>
      <w:r w:rsidRPr="006C0519">
        <w:t>).</w:t>
      </w:r>
    </w:p>
    <w:p w:rsidR="00217E69" w:rsidRPr="006C0519" w:rsidRDefault="00217E69" w:rsidP="00893DE9">
      <w:pPr>
        <w:rPr>
          <w:color w:val="000000"/>
        </w:rPr>
      </w:pPr>
      <w:r w:rsidRPr="006C0519">
        <w:t>Doivent notamment être évalués les risques pour la santé et pour la société qu'entraînent la consommation, la fabrication et le trafic de la 1-phényl-2-(1-pyrrolidinyl)-1-pentanone (α-PVP), l'implication d'organisations criminelles ainsi que les conséquences éventuelles des mesures de contrôle.</w:t>
      </w:r>
    </w:p>
    <w:p w:rsidR="00337C04" w:rsidRPr="006C0519" w:rsidRDefault="00217E69" w:rsidP="00217E69">
      <w:pPr>
        <w:rPr>
          <w:color w:val="000000"/>
        </w:rPr>
      </w:pPr>
      <w:r w:rsidRPr="006C0519">
        <w:rPr>
          <w:color w:val="000000"/>
        </w:rPr>
        <w:t>La demande du Conseil est fondée sur un rapport conjoint d'Europol et l'Observatoire européen des drogues et des toxicomanies (OEDT).</w:t>
      </w:r>
    </w:p>
    <w:p w:rsidR="00FE4086" w:rsidRPr="006C0519" w:rsidRDefault="00FE4086" w:rsidP="00A406D5">
      <w:pPr>
        <w:pStyle w:val="Sub-itemApproved"/>
        <w:rPr>
          <w:iCs/>
        </w:rPr>
      </w:pPr>
      <w:bookmarkStart w:id="17" w:name="_Toc432080884"/>
      <w:r w:rsidRPr="006C0519">
        <w:t>Exemption de visa de court séjour</w:t>
      </w:r>
      <w:r w:rsidRPr="006C0519">
        <w:tab/>
      </w:r>
      <w:bookmarkEnd w:id="17"/>
    </w:p>
    <w:p w:rsidR="00FE4086" w:rsidRPr="006C0519" w:rsidRDefault="00FE4086" w:rsidP="00FE4086">
      <w:r w:rsidRPr="006C0519">
        <w:t xml:space="preserve">Le Conseil a adopté une décision autorisant la Commission à ouvrir des négociations, au nom de l'Union européenne, avec la République populaire de Chine relatives à un accord d'exemption de visa de court séjour pour les titulaires de passeports diplomatiques (doc. </w:t>
      </w:r>
      <w:hyperlink r:id="rId31" w:tooltip="http://data.consilium.europa.eu/doc/document/st-11600-2015-init/fr/pdf">
        <w:r w:rsidRPr="009C0B45">
          <w:rPr>
            <w:rStyle w:val="Hyperlink"/>
            <w:color w:val="0000FF"/>
          </w:rPr>
          <w:t>11600/15</w:t>
        </w:r>
      </w:hyperlink>
      <w:r w:rsidRPr="006C0519">
        <w:t>).</w:t>
      </w:r>
    </w:p>
    <w:p w:rsidR="00F873CB" w:rsidRPr="006C0519" w:rsidRDefault="00F873CB" w:rsidP="00F873CB">
      <w:pPr>
        <w:pStyle w:val="ItemApproved"/>
      </w:pPr>
      <w:r w:rsidRPr="006C0519">
        <w:t>AFFAIRES ÉCONOMIQUES ET FINANCIÈRES</w:t>
      </w:r>
    </w:p>
    <w:p w:rsidR="00F873CB" w:rsidRPr="006C0519" w:rsidRDefault="00F873CB" w:rsidP="00F873CB">
      <w:pPr>
        <w:pStyle w:val="Sub-itemApproved"/>
      </w:pPr>
      <w:bookmarkStart w:id="18" w:name="_Toc432080886"/>
      <w:r w:rsidRPr="006C0519">
        <w:t>Procédure concernant les déficits excessifs - Royaume-Uni</w:t>
      </w:r>
      <w:bookmarkEnd w:id="18"/>
    </w:p>
    <w:p w:rsidR="00F873CB" w:rsidRPr="006C0519" w:rsidRDefault="00F873CB" w:rsidP="00F873CB">
      <w:r w:rsidRPr="006C0519">
        <w:t>Le Conseil a décidé d'informer le Conseil européen que le Royaume-Uni n'avait engagé aucune action suivie d'effets en réponse à une recommandation de 2009 dans le cadre de la procédure concernant les déficits excessifs.</w:t>
      </w:r>
    </w:p>
    <w:p w:rsidR="00F873CB" w:rsidRPr="006C0519" w:rsidRDefault="00F873CB" w:rsidP="00F873CB">
      <w:r w:rsidRPr="006C0519">
        <w:t>Le 19 juin 2015, il a constaté que le Royaume-Uni n'avait pas respecté le délai fixé pour ramener son déficit sous la barre de 3 % de son PIB, qui est la valeur de référence de l'UE pour les déficits publics. Il a formulé une nouvelle recommandation sur les mesures correctives à prendre.</w:t>
      </w:r>
    </w:p>
    <w:p w:rsidR="00F873CB" w:rsidRPr="006C0519" w:rsidRDefault="00F873CB" w:rsidP="00F873CB">
      <w:r w:rsidRPr="006C0519">
        <w:t xml:space="preserve">En son article 4, paragraphe 2, le </w:t>
      </w:r>
      <w:hyperlink r:id="rId32">
        <w:r w:rsidRPr="009C0B45">
          <w:rPr>
            <w:rStyle w:val="Hyperlink"/>
            <w:color w:val="0000FF"/>
          </w:rPr>
          <w:t>règlement (UE) n° 1177/2011</w:t>
        </w:r>
      </w:hyperlink>
      <w:r w:rsidRPr="006C0519">
        <w:t xml:space="preserve"> dispose que lorsque le Conseil constate que l</w:t>
      </w:r>
      <w:r w:rsidR="00363809">
        <w:t>'</w:t>
      </w:r>
      <w:r w:rsidRPr="006C0519">
        <w:t>État membre concerné n</w:t>
      </w:r>
      <w:r w:rsidR="00363809">
        <w:t>'</w:t>
      </w:r>
      <w:r w:rsidRPr="006C0519">
        <w:t>a pas pris d</w:t>
      </w:r>
      <w:r w:rsidR="00363809">
        <w:t>'</w:t>
      </w:r>
      <w:r w:rsidRPr="006C0519">
        <w:t>action suivie d</w:t>
      </w:r>
      <w:r w:rsidR="00363809">
        <w:t>'</w:t>
      </w:r>
      <w:r w:rsidRPr="006C0519">
        <w:t>effets, il en informe le Conseil européen.</w:t>
      </w:r>
    </w:p>
    <w:p w:rsidR="00FE4086" w:rsidRPr="006C0519" w:rsidRDefault="00363809" w:rsidP="00893DE9">
      <w:pPr>
        <w:rPr>
          <w:u w:val="single"/>
        </w:rPr>
      </w:pPr>
      <w:hyperlink r:id="rId33">
        <w:r w:rsidR="004E49FC" w:rsidRPr="009C0B45">
          <w:rPr>
            <w:rStyle w:val="Hyperlink"/>
            <w:color w:val="0000FF"/>
          </w:rPr>
          <w:t>Communiqué de presse du Conseil de juin 2015 relatif à la procédure concernant les déficits excessifs visant le Royaume-Uni</w:t>
        </w:r>
      </w:hyperlink>
    </w:p>
    <w:p w:rsidR="00FC12C1" w:rsidRPr="006C0519" w:rsidRDefault="00FE4086" w:rsidP="00893DE9">
      <w:pPr>
        <w:pStyle w:val="ItemApproved"/>
      </w:pPr>
      <w:r w:rsidRPr="006C0519">
        <w:br w:type="page"/>
      </w:r>
      <w:r w:rsidRPr="006C0519">
        <w:lastRenderedPageBreak/>
        <w:t>QUESTIONS BUDGÉTAIRES</w:t>
      </w:r>
    </w:p>
    <w:p w:rsidR="00FC12C1" w:rsidRPr="006C0519" w:rsidRDefault="0098463C" w:rsidP="0098463C">
      <w:pPr>
        <w:pStyle w:val="Sub-itemApproved"/>
        <w:rPr>
          <w:bCs/>
        </w:rPr>
      </w:pPr>
      <w:bookmarkStart w:id="19" w:name="_Toc432080888"/>
      <w:r w:rsidRPr="006C0519">
        <w:t>Mobilisation du Fonds de solidarité de l'UE en faveur de la Bulgarie et de la Grèce</w:t>
      </w:r>
      <w:bookmarkEnd w:id="19"/>
    </w:p>
    <w:p w:rsidR="0098463C" w:rsidRPr="006C0519" w:rsidRDefault="0098463C" w:rsidP="000230D8">
      <w:r w:rsidRPr="006C0519">
        <w:t>Le Conseil a adopté une décision mobilisant 16,3 millions EUR en crédits d'engagement et de paiement dans le cadre du Fonds de solidarité de l'UE afin d'apporter une aide financière à la Bulgarie (6,38 millions EUR) et à la Grèce (9,90 millions EUR) après qu'elles ont été frappées par des catastrophes.</w:t>
      </w:r>
    </w:p>
    <w:p w:rsidR="0098463C" w:rsidRPr="006C0519" w:rsidRDefault="0098463C" w:rsidP="0098463C">
      <w:r w:rsidRPr="006C0519">
        <w:t>La Bulgarie a été touchée par un hiver rigoureux en janvier et février 2015, et la Grèce a été confrontée à deux épisodes d'inondations survenus en février 2015.</w:t>
      </w:r>
    </w:p>
    <w:p w:rsidR="0098463C" w:rsidRPr="006C0519" w:rsidRDefault="0098463C" w:rsidP="0098463C">
      <w:r w:rsidRPr="006C0519">
        <w:t>Le Fonds de solidarité de l'UE peut être mobilisé en cas de catastrophe naturelle majeure ayant de graves répercussions sur les conditions de vie, l'environnement naturel et l'économie d'un État membre. On entend par catastrophe majeure toute catastrophe qui cause des dégâts pour un montant estimé à soit plus de 3 milliards EUR en prix de 2011 soit plus de 0,6% du RNB du pays concerné ou encore 1,5% du RNB de la région concernée.</w:t>
      </w:r>
    </w:p>
    <w:p w:rsidR="0098463C" w:rsidRPr="006C0519" w:rsidRDefault="0098463C" w:rsidP="0098463C">
      <w:r w:rsidRPr="006C0519">
        <w:t>L'objectif de l'aide financière est de contribuer à un retour rapide à des conditions de vie normales dans les régions touchées. L'aide de l'UE devrait compléter les efforts des pays concernés et couvre une partie des dépenses publiques engagées pour faire face aux dommages occasionnés par une catastrophe majeure. Elle est destinée à aider le pays bénéficiaire à rétablir les infrastructures, à proposer des logements temporaires, à mettre en place des infrastructures de protection et à nettoyer les zones touchées.</w:t>
      </w:r>
    </w:p>
    <w:p w:rsidR="00AC6F71" w:rsidRPr="006C0519" w:rsidRDefault="00AC6F71" w:rsidP="00AC6F71">
      <w:pPr>
        <w:pStyle w:val="ItemApproved"/>
      </w:pPr>
      <w:r w:rsidRPr="006C0519">
        <w:t>FISCALITÉ</w:t>
      </w:r>
    </w:p>
    <w:p w:rsidR="00AC6F71" w:rsidRPr="006C0519" w:rsidRDefault="00AC6F71" w:rsidP="00AC6F71">
      <w:pPr>
        <w:pStyle w:val="Sub-itemApproved"/>
      </w:pPr>
      <w:bookmarkStart w:id="20" w:name="_Toc432080890"/>
      <w:r w:rsidRPr="006C0519">
        <w:t>Crédit à l'exportation: Réseaux intelligents</w:t>
      </w:r>
      <w:bookmarkEnd w:id="20"/>
    </w:p>
    <w:p w:rsidR="00AC6F71" w:rsidRPr="006C0519" w:rsidRDefault="00AC6F71" w:rsidP="00893DE9">
      <w:r w:rsidRPr="006C0519">
        <w:t>Le Conseil a adopté une décision exposant la position à adopter par l'UE au sein des comités des crédits à l'exportation de l'OCDE en ce qui concerne le changement climatique et les crédits à l'exportation.</w:t>
      </w:r>
    </w:p>
    <w:p w:rsidR="00FE4086" w:rsidRPr="006C0519" w:rsidRDefault="00AC6F71" w:rsidP="00893DE9">
      <w:r w:rsidRPr="006C0519">
        <w:t>La décision consiste à soutenir les réseaux intelligents et à adopter la proposition relative aux conditions d'inclusion des réseaux intelligents dans l'accord sectoriel sur le changement climatique de l'arrangement sur les crédits à l'exportation bénéficiant d'un soutien public.</w:t>
      </w:r>
    </w:p>
    <w:p w:rsidR="0098463C" w:rsidRPr="006C0519" w:rsidRDefault="00FE4086" w:rsidP="00893DE9">
      <w:pPr>
        <w:pStyle w:val="ItemApproved"/>
      </w:pPr>
      <w:r w:rsidRPr="006C0519">
        <w:br w:type="page"/>
      </w:r>
      <w:r w:rsidRPr="006C0519">
        <w:lastRenderedPageBreak/>
        <w:t>POLITIQUE COMMERCIALE</w:t>
      </w:r>
    </w:p>
    <w:p w:rsidR="0098463C" w:rsidRPr="006C0519" w:rsidRDefault="0098463C" w:rsidP="005B2469">
      <w:pPr>
        <w:pStyle w:val="Sub-itemApproved"/>
      </w:pPr>
      <w:bookmarkStart w:id="21" w:name="_Toc432080892"/>
      <w:r w:rsidRPr="006C0519">
        <w:t>Marchés publics dans le cadre de l'OMC: Moldavie</w:t>
      </w:r>
      <w:bookmarkEnd w:id="21"/>
    </w:p>
    <w:p w:rsidR="0098463C" w:rsidRPr="006C0519" w:rsidRDefault="0098463C" w:rsidP="0098463C">
      <w:r w:rsidRPr="006C0519">
        <w:t>Le Conseil a adopté une décision établissant la position à prendre au nom de l'UE au sein du comité des marchés publics de l'OMC quant à l'accession de la Moldavie à l'accord sur les marchés publics révisé.</w:t>
      </w:r>
    </w:p>
    <w:p w:rsidR="0098463C" w:rsidRPr="006C0519" w:rsidRDefault="0098463C" w:rsidP="0098463C">
      <w:r w:rsidRPr="006C0519">
        <w:t>La Moldavie a demandé à accéder à l'accord le 7 janvier 2002. Elle a défini ses engagements quant au champ d'application dans son offre finale, présentée le 27 mai 2015.</w:t>
      </w:r>
    </w:p>
    <w:p w:rsidR="00F873CB" w:rsidRPr="006C0519" w:rsidRDefault="00F873CB" w:rsidP="00F873CB">
      <w:pPr>
        <w:pStyle w:val="ItemApproved"/>
      </w:pPr>
      <w:r w:rsidRPr="006C0519">
        <w:t>POLITIQUE DE COHÉSION</w:t>
      </w:r>
    </w:p>
    <w:p w:rsidR="00F873CB" w:rsidRPr="006C0519" w:rsidRDefault="00F873CB" w:rsidP="00F873CB">
      <w:pPr>
        <w:pStyle w:val="Sub-itemApproved"/>
      </w:pPr>
      <w:bookmarkStart w:id="22" w:name="_Toc432080894"/>
      <w:r w:rsidRPr="006C0519">
        <w:t>Fonds social européen - Simplification de la gestion financière</w:t>
      </w:r>
      <w:bookmarkEnd w:id="22"/>
    </w:p>
    <w:p w:rsidR="00893DE9" w:rsidRPr="006C0519" w:rsidRDefault="00F873CB" w:rsidP="00893DE9">
      <w:pPr>
        <w:rPr>
          <w:rStyle w:val="CommentReference"/>
        </w:rPr>
      </w:pPr>
      <w:r w:rsidRPr="006C0519">
        <w:t xml:space="preserve">Le Conseil a décidé de ne pas exprimer d'objections à l'égard d'un règlement de la Commission en ce qui concerne la définition des barèmes standard de coûts unitaires et des montants forfaitaires pour le remboursement des dépenses des États membres par la Commission dans le cadre du Fonds social européen (doc. </w:t>
      </w:r>
      <w:hyperlink r:id="rId34" w:tooltip="http://data.consilium.europa.eu/doc/document/st-10769-2015-init/fr/pdf">
        <w:r w:rsidRPr="009C0B45">
          <w:rPr>
            <w:rStyle w:val="Hyperlink"/>
            <w:noProof/>
            <w:color w:val="0000FF"/>
          </w:rPr>
          <w:t>10769/15</w:t>
        </w:r>
      </w:hyperlink>
      <w:r w:rsidRPr="006C0519">
        <w:t>).</w:t>
      </w:r>
      <w:r w:rsidRPr="006C0519">
        <w:rPr>
          <w:rStyle w:val="CommentReference"/>
        </w:rPr>
        <w:br/>
      </w:r>
    </w:p>
    <w:p w:rsidR="00F873CB" w:rsidRPr="006C0519" w:rsidRDefault="00F873CB" w:rsidP="006920CB">
      <w:pPr>
        <w:rPr>
          <w:sz w:val="16"/>
          <w:szCs w:val="16"/>
        </w:rPr>
      </w:pPr>
      <w:r w:rsidRPr="006C0519">
        <w:t>Ce règlement est un acte délégué conformément à l'article 290 du traité sur le fonctionnement de l'UE. Cela signifie que, le Conseil ayant décidé de ne pas s'y opposer, l'acte peut entrer en vigueur, à moins que le Parlement européen ne s'y oppose.</w:t>
      </w:r>
    </w:p>
    <w:p w:rsidR="00F873CB" w:rsidRPr="006C0519" w:rsidRDefault="00F873CB" w:rsidP="00F873CB">
      <w:pPr>
        <w:pStyle w:val="ItemApproved"/>
      </w:pPr>
      <w:r w:rsidRPr="006C0519">
        <w:t>TRANSPORTS</w:t>
      </w:r>
    </w:p>
    <w:p w:rsidR="00F873CB" w:rsidRPr="006C0519" w:rsidRDefault="00F873CB" w:rsidP="00F873CB">
      <w:pPr>
        <w:pStyle w:val="Sub-itemApproved"/>
      </w:pPr>
      <w:bookmarkStart w:id="23" w:name="_Toc432080896"/>
      <w:r w:rsidRPr="006C0519">
        <w:t>Accord avec la Chine sur les transports maritimes - mesures à la suite de l'adhésion de la Croatie</w:t>
      </w:r>
      <w:bookmarkEnd w:id="23"/>
    </w:p>
    <w:p w:rsidR="00F873CB" w:rsidRPr="006C0519" w:rsidRDefault="00F873CB" w:rsidP="00592D27">
      <w:r w:rsidRPr="006C0519">
        <w:t>Le Conseil a abrogé, pour des raisons de procédure, sa décision relative à la conclusion d'un protocole modifiant l'accord avec la Chine relatif aux transports maritimes. Il a par ailleurs approuvé en principe une nouvelle décision relative à la conclusion du même protocole. La nouvelle décision est libellée de façon identique à la décision abrogée et remplacera cette dernière.</w:t>
      </w:r>
    </w:p>
    <w:p w:rsidR="00893DE9" w:rsidRPr="006C0519" w:rsidRDefault="00363809" w:rsidP="00893DE9">
      <w:pPr>
        <w:rPr>
          <w:rStyle w:val="CommentReference"/>
        </w:rPr>
      </w:pPr>
      <w:hyperlink r:id="rId35" w:tooltip="http://data.consilium.europa.eu/doc/document/st-11467-2015-init/fr/pdf">
        <w:r w:rsidR="004E49FC" w:rsidRPr="009C0B45">
          <w:rPr>
            <w:rStyle w:val="Hyperlink"/>
            <w:color w:val="0000FF"/>
          </w:rPr>
          <w:t>Décision du Conseil abrogeant la décision relative à la conclusion d'un protocole modifiant l'accord avec la Chine relatif aux transports maritimes</w:t>
        </w:r>
      </w:hyperlink>
    </w:p>
    <w:p w:rsidR="00137FA3" w:rsidRPr="006C0519" w:rsidRDefault="00363809" w:rsidP="00893DE9">
      <w:pPr>
        <w:rPr>
          <w:rStyle w:val="Hyperlink"/>
        </w:rPr>
      </w:pPr>
      <w:hyperlink r:id="rId36" w:tooltip="http://data.consilium.europa.eu/doc/document/st-5083-2015-init/fr/pdf">
        <w:r w:rsidR="004E49FC" w:rsidRPr="009C0B45">
          <w:rPr>
            <w:rStyle w:val="Hyperlink"/>
            <w:color w:val="0000FF"/>
          </w:rPr>
          <w:t>Décision du Conseil relative à la conclusion d'un protocole modifiant l'accord avec la Chine relatif aux transports maritimes</w:t>
        </w:r>
      </w:hyperlink>
    </w:p>
    <w:p w:rsidR="00401911" w:rsidRPr="006C0519" w:rsidRDefault="00137FA3" w:rsidP="00137FA3">
      <w:pPr>
        <w:rPr>
          <w:rStyle w:val="Hyperlink"/>
        </w:rPr>
      </w:pPr>
      <w:r w:rsidRPr="006C0519">
        <w:br w:type="page"/>
      </w:r>
    </w:p>
    <w:p w:rsidR="002F0130" w:rsidRPr="006C0519" w:rsidRDefault="002F0130" w:rsidP="002F0130">
      <w:pPr>
        <w:pStyle w:val="ItemApproved"/>
      </w:pPr>
      <w:r w:rsidRPr="006C0519">
        <w:t>LÉGISLATION ALIMENTAIRE</w:t>
      </w:r>
    </w:p>
    <w:p w:rsidR="002F0130" w:rsidRPr="006C0519" w:rsidRDefault="002F0130" w:rsidP="00592D27">
      <w:pPr>
        <w:pStyle w:val="Sub-itemApproved"/>
      </w:pPr>
      <w:bookmarkStart w:id="24" w:name="_Toc432080898"/>
      <w:r w:rsidRPr="006C0519">
        <w:t>Additifs alimentaires</w:t>
      </w:r>
      <w:bookmarkEnd w:id="24"/>
    </w:p>
    <w:p w:rsidR="002F0130" w:rsidRPr="006C0519" w:rsidRDefault="002F0130" w:rsidP="002F0130">
      <w:r w:rsidRPr="006C0519">
        <w:t>Le Conseil a décidé de ne pas s'opposer à l'adoption des deux règlements de la Commission suivants:</w:t>
      </w:r>
    </w:p>
    <w:p w:rsidR="002F0130" w:rsidRPr="006C0519" w:rsidRDefault="002F0130" w:rsidP="00C46CFA">
      <w:pPr>
        <w:pStyle w:val="ListParagraph"/>
        <w:numPr>
          <w:ilvl w:val="0"/>
          <w:numId w:val="3"/>
        </w:numPr>
        <w:spacing w:before="120" w:after="240" w:line="240" w:lineRule="auto"/>
        <w:ind w:left="714" w:hanging="357"/>
      </w:pPr>
      <w:r w:rsidRPr="006C0519">
        <w:t xml:space="preserve">un règlement autorisant l'utilisation du tartrate de fer comme anti-agglomérant dans le sel et ses substituts et attribuant le numéro E 534 à cet additif alimentaire (doc. </w:t>
      </w:r>
      <w:hyperlink r:id="rId37" w:tooltip="http://data.consilium.europa.eu/doc/document/st-10950-2015-init/fr/pdf">
        <w:r w:rsidRPr="009C0B45">
          <w:rPr>
            <w:rStyle w:val="Hyperlink"/>
            <w:i/>
            <w:color w:val="0000FF"/>
          </w:rPr>
          <w:t>10950/15</w:t>
        </w:r>
      </w:hyperlink>
      <w:r w:rsidRPr="006C0519">
        <w:t xml:space="preserve">) </w:t>
      </w:r>
    </w:p>
    <w:p w:rsidR="002F0130" w:rsidRPr="006C0519" w:rsidRDefault="002F0130" w:rsidP="00C46CFA">
      <w:pPr>
        <w:pStyle w:val="ListParagraph"/>
        <w:numPr>
          <w:ilvl w:val="0"/>
          <w:numId w:val="3"/>
        </w:numPr>
        <w:spacing w:before="120" w:after="240" w:line="240" w:lineRule="auto"/>
        <w:ind w:left="714" w:hanging="357"/>
      </w:pPr>
      <w:r w:rsidRPr="006C0519">
        <w:t xml:space="preserve">un règlement modifiant les spécifications de l'additif alimentaire éthyl lauroyl arginate (E 243) (doc. </w:t>
      </w:r>
      <w:hyperlink r:id="rId38" w:tooltip="http://data.consilium.europa.eu/doc/document/st-10951-2015-init/fr/pdf">
        <w:r w:rsidRPr="009C0B45">
          <w:rPr>
            <w:rStyle w:val="Hyperlink"/>
            <w:i/>
            <w:noProof/>
            <w:color w:val="0000FF"/>
          </w:rPr>
          <w:t>10951/15</w:t>
        </w:r>
      </w:hyperlink>
      <w:r w:rsidRPr="006C0519">
        <w:t>)</w:t>
      </w:r>
    </w:p>
    <w:p w:rsidR="002F0130" w:rsidRPr="006C0519" w:rsidRDefault="002F0130" w:rsidP="00914040">
      <w:r w:rsidRPr="006C0519">
        <w:t>Ces règlements de la Commission sont soumis à la procédure de réglementation avec contrôle. Cela signifie que, le Conseil ayant donné son accord, la Commission peut à présent les adopter, à moins que le Parlement européen ne s'y oppose.</w:t>
      </w:r>
    </w:p>
    <w:p w:rsidR="00F873CB" w:rsidRPr="006C0519" w:rsidRDefault="00F873CB" w:rsidP="00F873CB">
      <w:pPr>
        <w:pStyle w:val="ItemApproved"/>
      </w:pPr>
      <w:r w:rsidRPr="006C0519">
        <w:t>AGRICULTURE</w:t>
      </w:r>
    </w:p>
    <w:p w:rsidR="00F873CB" w:rsidRPr="006C0519" w:rsidRDefault="00F873CB" w:rsidP="00F873CB">
      <w:pPr>
        <w:pStyle w:val="Sub-itemApproved"/>
      </w:pPr>
      <w:bookmarkStart w:id="25" w:name="_Toc432080900"/>
      <w:r w:rsidRPr="006C0519">
        <w:t>Mesures relatives à la santé animale - Accord politique</w:t>
      </w:r>
      <w:bookmarkEnd w:id="25"/>
    </w:p>
    <w:p w:rsidR="00893DE9" w:rsidRPr="006C0519" w:rsidRDefault="00F873CB" w:rsidP="00893DE9">
      <w:pPr>
        <w:rPr>
          <w:rStyle w:val="CommentReference"/>
        </w:rPr>
      </w:pPr>
      <w:r w:rsidRPr="006C0519">
        <w:t>Le Conseil a confirmé l'accord politique obtenu avec le Parlement européen le 1</w:t>
      </w:r>
      <w:r w:rsidRPr="006C0519">
        <w:rPr>
          <w:vertAlign w:val="superscript"/>
        </w:rPr>
        <w:t>er</w:t>
      </w:r>
      <w:r w:rsidRPr="006C0519">
        <w:t xml:space="preserve"> juin dernier sur la proposition de règlement relatif à la législation en matière de santé animale. Le règlement devrait être formellement adopté d'ici la fin 2015, au terme des procédures finales, y compris la mise au point du texte par les juristes-linguistes. Il sera d'application au terme d'un délai de cinq ans à compter de son entrée en vigueur.</w:t>
      </w:r>
    </w:p>
    <w:p w:rsidR="00FE4086" w:rsidRPr="006C0519" w:rsidRDefault="00F873CB" w:rsidP="00C46CFA">
      <w:r w:rsidRPr="006C0519">
        <w:t>La législation en matière de santé animale vise à garantir des normes élevées de santé animale et de santé publique dans l'UE. Elle fournira un cadre juridique unique et global définissant des principes harmonisés pour l'ensemble du secteur, qui est actuellement régi par une série de règlements et de directives étroitement liés.</w:t>
      </w:r>
    </w:p>
    <w:p w:rsidR="002F0130" w:rsidRPr="006C0519" w:rsidRDefault="00FE4086" w:rsidP="00893DE9">
      <w:pPr>
        <w:pStyle w:val="ItemApproved"/>
      </w:pPr>
      <w:r w:rsidRPr="006C0519">
        <w:br w:type="page"/>
      </w:r>
      <w:bookmarkStart w:id="26" w:name="ControlPages"/>
      <w:bookmarkEnd w:id="26"/>
      <w:r w:rsidRPr="006C0519">
        <w:lastRenderedPageBreak/>
        <w:t>PÊCHE</w:t>
      </w:r>
    </w:p>
    <w:p w:rsidR="002F0130" w:rsidRPr="006C0519" w:rsidRDefault="002F0130" w:rsidP="002F0130">
      <w:pPr>
        <w:pStyle w:val="Sub-itemApproved"/>
      </w:pPr>
      <w:bookmarkStart w:id="27" w:name="_Toc432080902"/>
      <w:r w:rsidRPr="006C0519">
        <w:t>Accès des navires de pêche vénézuéliens à la Guyane française</w:t>
      </w:r>
      <w:bookmarkEnd w:id="27"/>
    </w:p>
    <w:p w:rsidR="002F0130" w:rsidRPr="006C0519" w:rsidRDefault="002F0130" w:rsidP="00C46CFA">
      <w:pPr>
        <w:rPr>
          <w:noProof/>
        </w:rPr>
      </w:pPr>
      <w:r w:rsidRPr="006C0519">
        <w:t xml:space="preserve">Le Conseil a adopté une décision relative à l'approbation, au nom de l'UE, de la déclaration relative à l'attribution de possibilités de pêche dans les eaux de l'UE à des navires de pêche battant pavillon de la République bolivarienne du Venezuela, dans la zone économique exclusive située au large des côtes de la Guyane française (doc. </w:t>
      </w:r>
      <w:hyperlink r:id="rId39" w:tooltip="http://data.consilium.europa.eu/doc/document/st-5420-2015-init/fr/pdf">
        <w:r w:rsidRPr="009C0B45">
          <w:rPr>
            <w:rStyle w:val="Hyperlink"/>
            <w:noProof/>
            <w:color w:val="0000FF"/>
          </w:rPr>
          <w:t>5420/15</w:t>
        </w:r>
      </w:hyperlink>
      <w:r w:rsidRPr="006C0519">
        <w:t>).</w:t>
      </w:r>
    </w:p>
    <w:p w:rsidR="002F0130" w:rsidRPr="006C0519" w:rsidRDefault="002F0130" w:rsidP="002F0130">
      <w:pPr>
        <w:rPr>
          <w:noProof/>
        </w:rPr>
      </w:pPr>
      <w:r w:rsidRPr="006C0519">
        <w:t>Les navires de pêche battant pavillon vénézuélien sont autorisés à opérer dans la zone économique exclusive (ZEE) de la Guyane, département français d'outre-mer, depuis maintenant plusieurs décennies. En outre, l'industrie de transformation installée en Guyane française est tributaire des débarquements effectués par ces navires.</w:t>
      </w:r>
    </w:p>
    <w:p w:rsidR="002F0130" w:rsidRPr="006C0519" w:rsidRDefault="002F0130" w:rsidP="00592D27">
      <w:pPr>
        <w:rPr>
          <w:noProof/>
        </w:rPr>
      </w:pPr>
      <w:r w:rsidRPr="006C0519">
        <w:t>En l'absence d'un accord international en matière de pêche avec le Venezuela et vu la faible étendue de la pêcherie en question, le Conseil a adopté une déclaration unilatérale qui remplit un objectif similaire à celui d'un accord de pêche, dans la mesure où elle constitue un consentement à la délivrance d'autorisations de pêche en faveur des navires vénézuéliens.</w:t>
      </w:r>
    </w:p>
    <w:p w:rsidR="002F0130" w:rsidRPr="006C0519" w:rsidRDefault="002F0130" w:rsidP="00893DE9">
      <w:pPr>
        <w:rPr>
          <w:noProof/>
        </w:rPr>
      </w:pPr>
      <w:r w:rsidRPr="006C0519">
        <w:t>Toutefois, par son arrêt du 26 novembre 2014, la Cour a annulé cette décision, jugeant sa base juridique incorrecte. Le nouveau texte tient compte de cet arrêt.</w:t>
      </w:r>
    </w:p>
    <w:p w:rsidR="00D917B6" w:rsidRPr="006C0519" w:rsidRDefault="00D917B6" w:rsidP="00D917B6">
      <w:pPr>
        <w:pStyle w:val="ItemApproved"/>
      </w:pPr>
      <w:r w:rsidRPr="006C0519">
        <w:t>DÉCISION ADOPTÉE SELON LA PROCÉDURE ÉCRITE</w:t>
      </w:r>
    </w:p>
    <w:p w:rsidR="00D917B6" w:rsidRPr="006C0519" w:rsidRDefault="00D917B6" w:rsidP="00D917B6">
      <w:pPr>
        <w:pStyle w:val="Sub-itemApproved"/>
      </w:pPr>
      <w:bookmarkStart w:id="28" w:name="_Toc432080904"/>
      <w:r w:rsidRPr="006C0519">
        <w:t>Fonds européen pour les investissements stratégiques</w:t>
      </w:r>
      <w:bookmarkEnd w:id="28"/>
    </w:p>
    <w:p w:rsidR="00D917B6" w:rsidRPr="006C0519" w:rsidRDefault="00F237DC" w:rsidP="00F237DC">
      <w:r w:rsidRPr="006C0519">
        <w:t xml:space="preserve">Le 7 septembre 2015, le Conseil a décidé de ne pas exprimer d'objections à l'égard d'un règlement de la Commission complétant le règlement (UE) 2015/1017 sur le Fonds européen pour les investissements stratégiques (doc. </w:t>
      </w:r>
      <w:hyperlink r:id="rId40" w:tooltip="http://data.consilium.europa.eu/doc/document/st-11498-2015-init/fr/pdf">
        <w:r w:rsidRPr="009C0B45">
          <w:rPr>
            <w:rStyle w:val="Hyperlink"/>
            <w:color w:val="0000FF"/>
          </w:rPr>
          <w:t>11498/15</w:t>
        </w:r>
      </w:hyperlink>
      <w:r w:rsidRPr="006C0519">
        <w:t xml:space="preserve"> </w:t>
      </w:r>
      <w:r w:rsidRPr="006C0519">
        <w:rPr>
          <w:u w:val="single"/>
        </w:rPr>
        <w:t>+ ADD 1</w:t>
      </w:r>
      <w:r w:rsidRPr="006C0519">
        <w:t>).</w:t>
      </w:r>
    </w:p>
    <w:p w:rsidR="00D917B6" w:rsidRPr="006C0519" w:rsidRDefault="00D917B6" w:rsidP="00D917B6">
      <w:r w:rsidRPr="006C0519">
        <w:t>Le texte établit un tableau de bord d'indicateurs destiné à garantir une évaluation indépendante et transparente par le comité d'investissement de l'EFSI de l'utilisation de la garantie de l'UE.</w:t>
      </w:r>
    </w:p>
    <w:p w:rsidR="00D917B6" w:rsidRPr="006C0519" w:rsidRDefault="00D917B6" w:rsidP="00D917B6">
      <w:r w:rsidRPr="006C0519">
        <w:t>Ce règlement de la Commission est un acte délégué conformément à l'article 290 du traité sur le fonctionnement de l'UE. Il peut désormais entrer en vigueur, à moins que le Parlement européen n'exprime des objections à son égard.</w:t>
      </w:r>
    </w:p>
    <w:p w:rsidR="00D917B6" w:rsidRPr="00A23286" w:rsidRDefault="00363809" w:rsidP="00D917B6">
      <w:pPr>
        <w:rPr>
          <w:rStyle w:val="Hyperlink"/>
        </w:rPr>
      </w:pPr>
      <w:hyperlink r:id="rId41">
        <w:r w:rsidR="004E49FC" w:rsidRPr="009C0B45">
          <w:rPr>
            <w:rStyle w:val="Hyperlink"/>
            <w:color w:val="0000FF"/>
          </w:rPr>
          <w:t>Communiqué de presse du Conseil du 25 juin 2015 relatif à l'adoption du règlement sur l'EFSI</w:t>
        </w:r>
      </w:hyperlink>
    </w:p>
    <w:sectPr w:rsidR="00D917B6" w:rsidRPr="00A23286" w:rsidSect="006C0519">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975" w:rsidRDefault="00C52975">
      <w:pPr>
        <w:spacing w:before="0" w:after="0"/>
      </w:pPr>
      <w:r>
        <w:separator/>
      </w:r>
    </w:p>
  </w:endnote>
  <w:endnote w:type="continuationSeparator" w:id="0">
    <w:p w:rsidR="00C52975" w:rsidRDefault="00C529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809" w:rsidRDefault="003638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6C0519" w:rsidRPr="007410E8" w:rsidTr="006C0519">
      <w:trPr>
        <w:jc w:val="center"/>
      </w:trPr>
      <w:tc>
        <w:tcPr>
          <w:tcW w:w="2604" w:type="pct"/>
          <w:shd w:val="clear" w:color="auto" w:fill="auto"/>
        </w:tcPr>
        <w:p w:rsidR="006C0519" w:rsidRPr="007410E8" w:rsidRDefault="006C0519" w:rsidP="0035025C">
          <w:pPr>
            <w:pStyle w:val="FooterText"/>
            <w:rPr>
              <w:sz w:val="16"/>
              <w:szCs w:val="16"/>
            </w:rPr>
          </w:pPr>
          <w:bookmarkStart w:id="2" w:name="FOOTER_PR_STANDARD"/>
        </w:p>
      </w:tc>
      <w:tc>
        <w:tcPr>
          <w:tcW w:w="1319" w:type="pct"/>
          <w:shd w:val="clear" w:color="auto" w:fill="auto"/>
        </w:tcPr>
        <w:p w:rsidR="006C0519" w:rsidRPr="007410E8" w:rsidRDefault="006C0519" w:rsidP="0035025C">
          <w:pPr>
            <w:pStyle w:val="FooterText"/>
            <w:rPr>
              <w:sz w:val="16"/>
              <w:szCs w:val="16"/>
            </w:rPr>
          </w:pPr>
        </w:p>
      </w:tc>
      <w:tc>
        <w:tcPr>
          <w:tcW w:w="1077" w:type="pct"/>
          <w:shd w:val="clear" w:color="auto" w:fill="auto"/>
        </w:tcPr>
        <w:p w:rsidR="006C0519" w:rsidRPr="007410E8" w:rsidRDefault="006C0519" w:rsidP="0035025C">
          <w:pPr>
            <w:pStyle w:val="FooterText"/>
            <w:jc w:val="right"/>
            <w:rPr>
              <w:sz w:val="16"/>
              <w:szCs w:val="16"/>
            </w:rPr>
          </w:pPr>
        </w:p>
      </w:tc>
    </w:tr>
    <w:tr w:rsidR="006C0519" w:rsidRPr="007410E8" w:rsidTr="006C0519">
      <w:trPr>
        <w:jc w:val="center"/>
      </w:trPr>
      <w:tc>
        <w:tcPr>
          <w:tcW w:w="2604" w:type="pct"/>
          <w:shd w:val="clear" w:color="auto" w:fill="auto"/>
        </w:tcPr>
        <w:p w:rsidR="006C0519" w:rsidRPr="007410E8" w:rsidRDefault="006C0519" w:rsidP="0035025C">
          <w:pPr>
            <w:pStyle w:val="FooterText"/>
            <w:rPr>
              <w:sz w:val="16"/>
            </w:rPr>
          </w:pPr>
          <w:r>
            <w:t>11966/15</w:t>
          </w:r>
          <w:r w:rsidRPr="002511D8">
            <w:t xml:space="preserve"> </w:t>
          </w:r>
        </w:p>
      </w:tc>
      <w:tc>
        <w:tcPr>
          <w:tcW w:w="1319" w:type="pct"/>
          <w:shd w:val="clear" w:color="auto" w:fill="auto"/>
        </w:tcPr>
        <w:p w:rsidR="006C0519" w:rsidRPr="007410E8" w:rsidRDefault="006C0519" w:rsidP="0035025C">
          <w:pPr>
            <w:pStyle w:val="FooterText"/>
            <w:rPr>
              <w:sz w:val="16"/>
            </w:rPr>
          </w:pPr>
        </w:p>
      </w:tc>
      <w:tc>
        <w:tcPr>
          <w:tcW w:w="1077" w:type="pct"/>
          <w:shd w:val="clear" w:color="auto" w:fill="auto"/>
        </w:tcPr>
        <w:p w:rsidR="006C0519" w:rsidRPr="007410E8" w:rsidRDefault="006C0519" w:rsidP="0035025C">
          <w:pPr>
            <w:pStyle w:val="FooterText"/>
            <w:jc w:val="right"/>
            <w:rPr>
              <w:sz w:val="16"/>
            </w:rPr>
          </w:pPr>
          <w:r>
            <w:fldChar w:fldCharType="begin"/>
          </w:r>
          <w:r>
            <w:instrText xml:space="preserve"> PAGE  \* MERGEFORMAT </w:instrText>
          </w:r>
          <w:r>
            <w:fldChar w:fldCharType="separate"/>
          </w:r>
          <w:r w:rsidR="00363809">
            <w:rPr>
              <w:noProof/>
            </w:rPr>
            <w:t>11</w:t>
          </w:r>
          <w:r>
            <w:fldChar w:fldCharType="end"/>
          </w:r>
        </w:p>
      </w:tc>
    </w:tr>
    <w:tr w:rsidR="006C0519" w:rsidRPr="007410E8" w:rsidTr="006C0519">
      <w:trPr>
        <w:jc w:val="center"/>
      </w:trPr>
      <w:tc>
        <w:tcPr>
          <w:tcW w:w="2604" w:type="pct"/>
          <w:shd w:val="clear" w:color="auto" w:fill="auto"/>
        </w:tcPr>
        <w:p w:rsidR="006C0519" w:rsidRPr="007410E8" w:rsidRDefault="006C0519" w:rsidP="0035025C">
          <w:pPr>
            <w:pStyle w:val="FooterText"/>
            <w:rPr>
              <w:sz w:val="16"/>
            </w:rPr>
          </w:pPr>
        </w:p>
      </w:tc>
      <w:tc>
        <w:tcPr>
          <w:tcW w:w="1319" w:type="pct"/>
          <w:shd w:val="clear" w:color="auto" w:fill="auto"/>
        </w:tcPr>
        <w:p w:rsidR="006C0519" w:rsidRPr="007410E8" w:rsidRDefault="006C0519" w:rsidP="0035025C">
          <w:pPr>
            <w:pStyle w:val="FooterText"/>
            <w:rPr>
              <w:sz w:val="16"/>
            </w:rPr>
          </w:pPr>
        </w:p>
      </w:tc>
      <w:tc>
        <w:tcPr>
          <w:tcW w:w="1077" w:type="pct"/>
          <w:shd w:val="clear" w:color="auto" w:fill="auto"/>
        </w:tcPr>
        <w:p w:rsidR="006C0519" w:rsidRPr="007410E8" w:rsidRDefault="006C0519" w:rsidP="0035025C">
          <w:pPr>
            <w:pStyle w:val="FooterText"/>
            <w:jc w:val="right"/>
            <w:rPr>
              <w:sz w:val="16"/>
            </w:rPr>
          </w:pPr>
          <w:r>
            <w:rPr>
              <w:b/>
              <w:position w:val="-4"/>
              <w:sz w:val="36"/>
            </w:rPr>
            <w:t>FR</w:t>
          </w:r>
        </w:p>
      </w:tc>
    </w:tr>
    <w:bookmarkEnd w:id="2"/>
  </w:tbl>
  <w:p w:rsidR="00926EAF" w:rsidRPr="006C0519" w:rsidRDefault="00926EAF" w:rsidP="006C0519">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6C0519" w:rsidRPr="009C2FB3" w:rsidTr="006C0519">
      <w:trPr>
        <w:jc w:val="center"/>
      </w:trPr>
      <w:tc>
        <w:tcPr>
          <w:tcW w:w="569" w:type="pct"/>
          <w:shd w:val="clear" w:color="auto" w:fill="auto"/>
        </w:tcPr>
        <w:p w:rsidR="006C0519" w:rsidRPr="009C2FB3" w:rsidRDefault="006C0519" w:rsidP="0035025C">
          <w:pPr>
            <w:pStyle w:val="FooterText"/>
          </w:pPr>
          <w:bookmarkStart w:id="3" w:name="FOOTER_PR_COVERPAGE"/>
        </w:p>
      </w:tc>
      <w:tc>
        <w:tcPr>
          <w:tcW w:w="3760" w:type="pct"/>
          <w:gridSpan w:val="3"/>
          <w:shd w:val="clear" w:color="auto" w:fill="auto"/>
          <w:noWrap/>
        </w:tcPr>
        <w:p w:rsidR="006C0519" w:rsidRPr="00F37CD6" w:rsidRDefault="006C0519"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6C0519" w:rsidRPr="009C2FB3" w:rsidRDefault="006C0519" w:rsidP="0035025C">
          <w:pPr>
            <w:pStyle w:val="FooterText"/>
          </w:pPr>
        </w:p>
      </w:tc>
    </w:tr>
    <w:tr w:rsidR="006C0519" w:rsidRPr="007410E8" w:rsidTr="006C0519">
      <w:trPr>
        <w:jc w:val="center"/>
      </w:trPr>
      <w:tc>
        <w:tcPr>
          <w:tcW w:w="5000" w:type="pct"/>
          <w:gridSpan w:val="5"/>
          <w:shd w:val="clear" w:color="auto" w:fill="auto"/>
        </w:tcPr>
        <w:p w:rsidR="006C0519" w:rsidRPr="00827A78" w:rsidRDefault="006C0519" w:rsidP="0035025C">
          <w:pPr>
            <w:pStyle w:val="FooterAddressText"/>
          </w:pPr>
        </w:p>
        <w:p w:rsidR="006C0519" w:rsidRPr="007410E8" w:rsidRDefault="006C0519" w:rsidP="0035025C">
          <w:pPr>
            <w:pStyle w:val="FooterAddressText"/>
          </w:pPr>
          <w:r>
            <w:t>Rue de la Loi 175  B – 1048 BRUXELLES  Tél. +32 (0)2 281 6319  Fax +32 (0)2 281 8026</w:t>
          </w:r>
        </w:p>
      </w:tc>
    </w:tr>
    <w:tr w:rsidR="006C0519" w:rsidRPr="007410E8" w:rsidTr="006C0519">
      <w:trPr>
        <w:jc w:val="center"/>
      </w:trPr>
      <w:tc>
        <w:tcPr>
          <w:tcW w:w="5000" w:type="pct"/>
          <w:gridSpan w:val="5"/>
          <w:shd w:val="clear" w:color="auto" w:fill="auto"/>
        </w:tcPr>
        <w:p w:rsidR="006C0519" w:rsidRPr="007410E8" w:rsidRDefault="00363809" w:rsidP="0035025C">
          <w:pPr>
            <w:pStyle w:val="FooterText"/>
            <w:jc w:val="center"/>
            <w:rPr>
              <w:sz w:val="20"/>
              <w:szCs w:val="20"/>
            </w:rPr>
          </w:pPr>
          <w:hyperlink r:id="rId1" w:history="1">
            <w:r w:rsidR="006C0519" w:rsidRPr="006C0519">
              <w:rPr>
                <w:rStyle w:val="Hyperlink"/>
                <w:sz w:val="20"/>
              </w:rPr>
              <w:t>press.office@consilium.europa.eu</w:t>
            </w:r>
          </w:hyperlink>
          <w:r w:rsidR="006C0519" w:rsidRPr="007410E8">
            <w:rPr>
              <w:sz w:val="20"/>
              <w:szCs w:val="20"/>
            </w:rPr>
            <w:t xml:space="preserve">  </w:t>
          </w:r>
          <w:hyperlink r:id="rId2" w:history="1">
            <w:r w:rsidR="006C0519" w:rsidRPr="006C0519">
              <w:rPr>
                <w:rStyle w:val="Hyperlink"/>
                <w:sz w:val="20"/>
              </w:rPr>
              <w:t>http://www.consilium.europa.eu/press</w:t>
            </w:r>
          </w:hyperlink>
        </w:p>
      </w:tc>
    </w:tr>
    <w:tr w:rsidR="006C0519" w:rsidRPr="007410E8" w:rsidTr="006C0519">
      <w:trPr>
        <w:jc w:val="center"/>
      </w:trPr>
      <w:tc>
        <w:tcPr>
          <w:tcW w:w="2604" w:type="pct"/>
          <w:gridSpan w:val="2"/>
          <w:shd w:val="clear" w:color="auto" w:fill="auto"/>
        </w:tcPr>
        <w:p w:rsidR="006C0519" w:rsidRPr="007410E8" w:rsidRDefault="006C0519" w:rsidP="0035025C">
          <w:pPr>
            <w:pStyle w:val="FooterText"/>
            <w:spacing w:before="60"/>
            <w:rPr>
              <w:sz w:val="16"/>
            </w:rPr>
          </w:pPr>
          <w:r>
            <w:t>11966/15</w:t>
          </w:r>
          <w:r w:rsidRPr="002511D8">
            <w:t xml:space="preserve"> </w:t>
          </w:r>
        </w:p>
      </w:tc>
      <w:tc>
        <w:tcPr>
          <w:tcW w:w="1319" w:type="pct"/>
          <w:shd w:val="clear" w:color="auto" w:fill="auto"/>
        </w:tcPr>
        <w:p w:rsidR="006C0519" w:rsidRPr="007410E8" w:rsidRDefault="006C0519" w:rsidP="0035025C">
          <w:pPr>
            <w:pStyle w:val="FooterText"/>
            <w:spacing w:before="120"/>
            <w:rPr>
              <w:sz w:val="16"/>
            </w:rPr>
          </w:pPr>
        </w:p>
      </w:tc>
      <w:tc>
        <w:tcPr>
          <w:tcW w:w="1077" w:type="pct"/>
          <w:gridSpan w:val="2"/>
          <w:shd w:val="clear" w:color="auto" w:fill="auto"/>
        </w:tcPr>
        <w:p w:rsidR="006C0519" w:rsidRPr="007410E8" w:rsidRDefault="006C0519" w:rsidP="0035025C">
          <w:pPr>
            <w:pStyle w:val="FooterText"/>
            <w:spacing w:before="60"/>
            <w:jc w:val="right"/>
            <w:rPr>
              <w:sz w:val="16"/>
            </w:rPr>
          </w:pPr>
          <w:r>
            <w:fldChar w:fldCharType="begin"/>
          </w:r>
          <w:r>
            <w:instrText xml:space="preserve"> PAGE  \* MERGEFORMAT </w:instrText>
          </w:r>
          <w:r>
            <w:fldChar w:fldCharType="separate"/>
          </w:r>
          <w:r w:rsidR="00363809">
            <w:rPr>
              <w:noProof/>
            </w:rPr>
            <w:t>1</w:t>
          </w:r>
          <w:r>
            <w:fldChar w:fldCharType="end"/>
          </w:r>
        </w:p>
      </w:tc>
    </w:tr>
    <w:tr w:rsidR="006C0519" w:rsidRPr="007410E8" w:rsidTr="006C0519">
      <w:trPr>
        <w:jc w:val="center"/>
      </w:trPr>
      <w:tc>
        <w:tcPr>
          <w:tcW w:w="2604" w:type="pct"/>
          <w:gridSpan w:val="2"/>
          <w:shd w:val="clear" w:color="auto" w:fill="auto"/>
        </w:tcPr>
        <w:p w:rsidR="006C0519" w:rsidRPr="007410E8" w:rsidRDefault="006C0519" w:rsidP="0035025C">
          <w:pPr>
            <w:pStyle w:val="FooterText"/>
            <w:rPr>
              <w:sz w:val="16"/>
            </w:rPr>
          </w:pPr>
        </w:p>
      </w:tc>
      <w:tc>
        <w:tcPr>
          <w:tcW w:w="1319" w:type="pct"/>
          <w:shd w:val="clear" w:color="auto" w:fill="auto"/>
        </w:tcPr>
        <w:p w:rsidR="006C0519" w:rsidRPr="007410E8" w:rsidRDefault="006C0519" w:rsidP="0035025C">
          <w:pPr>
            <w:pStyle w:val="FooterText"/>
            <w:rPr>
              <w:sz w:val="16"/>
            </w:rPr>
          </w:pPr>
        </w:p>
      </w:tc>
      <w:tc>
        <w:tcPr>
          <w:tcW w:w="1077" w:type="pct"/>
          <w:gridSpan w:val="2"/>
          <w:shd w:val="clear" w:color="auto" w:fill="auto"/>
        </w:tcPr>
        <w:p w:rsidR="006C0519" w:rsidRPr="007410E8" w:rsidRDefault="006C0519" w:rsidP="0035025C">
          <w:pPr>
            <w:pStyle w:val="FooterText"/>
            <w:jc w:val="right"/>
            <w:rPr>
              <w:sz w:val="16"/>
            </w:rPr>
          </w:pPr>
          <w:r>
            <w:rPr>
              <w:b/>
              <w:position w:val="-4"/>
              <w:sz w:val="36"/>
            </w:rPr>
            <w:t>FR</w:t>
          </w:r>
        </w:p>
      </w:tc>
    </w:tr>
    <w:bookmarkEnd w:id="3"/>
  </w:tbl>
  <w:p w:rsidR="00926EAF" w:rsidRPr="006C0519" w:rsidRDefault="00926EAF" w:rsidP="006C0519">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6C0519" w:rsidRPr="007410E8" w:rsidTr="006C0519">
      <w:trPr>
        <w:jc w:val="center"/>
      </w:trPr>
      <w:tc>
        <w:tcPr>
          <w:tcW w:w="5000" w:type="pct"/>
          <w:gridSpan w:val="3"/>
          <w:shd w:val="clear" w:color="auto" w:fill="auto"/>
        </w:tcPr>
        <w:p w:rsidR="006C0519" w:rsidRPr="007410E8" w:rsidRDefault="006C0519"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6C0519" w:rsidRPr="007410E8" w:rsidRDefault="006C0519"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6C0519" w:rsidRPr="007410E8" w:rsidRDefault="006C0519"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6C0519" w:rsidRPr="007410E8" w:rsidRDefault="006C0519" w:rsidP="0035025C">
          <w:pPr>
            <w:pStyle w:val="FooterText"/>
            <w:tabs>
              <w:tab w:val="left" w:pos="285"/>
              <w:tab w:val="left" w:pos="585"/>
            </w:tabs>
            <w:rPr>
              <w:sz w:val="21"/>
              <w:szCs w:val="21"/>
            </w:rPr>
          </w:pPr>
        </w:p>
      </w:tc>
    </w:tr>
    <w:tr w:rsidR="006C0519" w:rsidRPr="007410E8" w:rsidTr="006C0519">
      <w:trPr>
        <w:jc w:val="center"/>
      </w:trPr>
      <w:tc>
        <w:tcPr>
          <w:tcW w:w="2604" w:type="pct"/>
          <w:shd w:val="clear" w:color="auto" w:fill="auto"/>
        </w:tcPr>
        <w:p w:rsidR="006C0519" w:rsidRPr="007410E8" w:rsidRDefault="006C0519" w:rsidP="0035025C">
          <w:pPr>
            <w:pStyle w:val="FooterText"/>
            <w:rPr>
              <w:sz w:val="16"/>
            </w:rPr>
          </w:pPr>
          <w:r>
            <w:t>11966/15</w:t>
          </w:r>
          <w:r w:rsidRPr="002511D8">
            <w:t xml:space="preserve"> </w:t>
          </w:r>
        </w:p>
      </w:tc>
      <w:tc>
        <w:tcPr>
          <w:tcW w:w="1319" w:type="pct"/>
          <w:shd w:val="clear" w:color="auto" w:fill="auto"/>
        </w:tcPr>
        <w:p w:rsidR="006C0519" w:rsidRPr="007410E8" w:rsidRDefault="006C0519" w:rsidP="0035025C">
          <w:pPr>
            <w:pStyle w:val="FooterText"/>
            <w:rPr>
              <w:sz w:val="16"/>
            </w:rPr>
          </w:pPr>
        </w:p>
      </w:tc>
      <w:tc>
        <w:tcPr>
          <w:tcW w:w="1077" w:type="pct"/>
          <w:shd w:val="clear" w:color="auto" w:fill="auto"/>
        </w:tcPr>
        <w:p w:rsidR="006C0519" w:rsidRPr="007410E8" w:rsidRDefault="006C0519" w:rsidP="0035025C">
          <w:pPr>
            <w:pStyle w:val="FooterText"/>
            <w:jc w:val="right"/>
            <w:rPr>
              <w:sz w:val="16"/>
            </w:rPr>
          </w:pPr>
          <w:r>
            <w:fldChar w:fldCharType="begin"/>
          </w:r>
          <w:r>
            <w:instrText xml:space="preserve"> PAGE  \* MERGEFORMAT </w:instrText>
          </w:r>
          <w:r>
            <w:fldChar w:fldCharType="separate"/>
          </w:r>
          <w:r w:rsidR="00363809">
            <w:rPr>
              <w:noProof/>
            </w:rPr>
            <w:t>2</w:t>
          </w:r>
          <w:r>
            <w:fldChar w:fldCharType="end"/>
          </w:r>
        </w:p>
      </w:tc>
    </w:tr>
    <w:tr w:rsidR="006C0519" w:rsidRPr="007410E8" w:rsidTr="006C0519">
      <w:trPr>
        <w:jc w:val="center"/>
      </w:trPr>
      <w:tc>
        <w:tcPr>
          <w:tcW w:w="2604" w:type="pct"/>
          <w:shd w:val="clear" w:color="auto" w:fill="auto"/>
        </w:tcPr>
        <w:p w:rsidR="006C0519" w:rsidRPr="007410E8" w:rsidRDefault="006C0519" w:rsidP="0035025C">
          <w:pPr>
            <w:pStyle w:val="FooterText"/>
            <w:rPr>
              <w:sz w:val="16"/>
            </w:rPr>
          </w:pPr>
        </w:p>
      </w:tc>
      <w:tc>
        <w:tcPr>
          <w:tcW w:w="1319" w:type="pct"/>
          <w:shd w:val="clear" w:color="auto" w:fill="auto"/>
        </w:tcPr>
        <w:p w:rsidR="006C0519" w:rsidRPr="007410E8" w:rsidRDefault="006C0519" w:rsidP="0035025C">
          <w:pPr>
            <w:pStyle w:val="FooterText"/>
            <w:rPr>
              <w:sz w:val="16"/>
            </w:rPr>
          </w:pPr>
        </w:p>
      </w:tc>
      <w:tc>
        <w:tcPr>
          <w:tcW w:w="1077" w:type="pct"/>
          <w:shd w:val="clear" w:color="auto" w:fill="auto"/>
        </w:tcPr>
        <w:p w:rsidR="006C0519" w:rsidRPr="007410E8" w:rsidRDefault="006C0519" w:rsidP="0035025C">
          <w:pPr>
            <w:pStyle w:val="FooterText"/>
            <w:jc w:val="right"/>
            <w:rPr>
              <w:sz w:val="16"/>
            </w:rPr>
          </w:pPr>
          <w:r>
            <w:rPr>
              <w:b/>
              <w:position w:val="-4"/>
              <w:sz w:val="36"/>
            </w:rPr>
            <w:t>FR</w:t>
          </w:r>
        </w:p>
      </w:tc>
    </w:tr>
    <w:bookmarkEnd w:id="5"/>
  </w:tbl>
  <w:p w:rsidR="00C52975" w:rsidRPr="006C0519" w:rsidRDefault="00C52975" w:rsidP="006C0519">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975" w:rsidRDefault="00C52975">
      <w:pPr>
        <w:spacing w:before="0" w:after="0"/>
      </w:pPr>
      <w:r>
        <w:separator/>
      </w:r>
    </w:p>
  </w:footnote>
  <w:footnote w:type="continuationSeparator" w:id="0">
    <w:p w:rsidR="00C52975" w:rsidRDefault="00C52975">
      <w:pPr>
        <w:spacing w:before="0" w:after="0"/>
      </w:pPr>
      <w:r>
        <w:continuationSeparator/>
      </w:r>
    </w:p>
  </w:footnote>
  <w:footnote w:id="1">
    <w:p w:rsidR="00217E69" w:rsidRPr="00A23286" w:rsidRDefault="00217E69" w:rsidP="00217E69">
      <w:pPr>
        <w:pStyle w:val="FootnoteText"/>
      </w:pPr>
      <w:r>
        <w:rPr>
          <w:rStyle w:val="FootnoteReference"/>
        </w:rPr>
        <w:footnoteRef/>
      </w:r>
      <w:r>
        <w:tab/>
        <w:t>JO L 127 du 20.5.2005.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809" w:rsidRDefault="003638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809" w:rsidRDefault="003638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809" w:rsidRDefault="003638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6C0519" w:rsidRPr="007410E8" w:rsidTr="006C0519">
      <w:trPr>
        <w:jc w:val="center"/>
      </w:trPr>
      <w:tc>
        <w:tcPr>
          <w:tcW w:w="2500" w:type="pct"/>
          <w:shd w:val="clear" w:color="auto" w:fill="auto"/>
        </w:tcPr>
        <w:p w:rsidR="006C0519" w:rsidRPr="007410E8" w:rsidRDefault="006C0519" w:rsidP="0035025C">
          <w:pPr>
            <w:pStyle w:val="HeaderText"/>
            <w:rPr>
              <w:b/>
              <w:i/>
              <w:sz w:val="16"/>
              <w:u w:val="single"/>
            </w:rPr>
          </w:pPr>
          <w:bookmarkStart w:id="4" w:name="HEADER_PRMEET"/>
        </w:p>
      </w:tc>
      <w:tc>
        <w:tcPr>
          <w:tcW w:w="2500" w:type="pct"/>
          <w:shd w:val="clear" w:color="auto" w:fill="auto"/>
        </w:tcPr>
        <w:p w:rsidR="006C0519" w:rsidRPr="007410E8" w:rsidRDefault="006C0519" w:rsidP="006C0519">
          <w:pPr>
            <w:pStyle w:val="HeaderText"/>
            <w:jc w:val="right"/>
            <w:rPr>
              <w:sz w:val="16"/>
            </w:rPr>
          </w:pPr>
          <w:r w:rsidRPr="006C0519">
            <w:t>14 septembre 2015</w:t>
          </w:r>
        </w:p>
      </w:tc>
    </w:tr>
    <w:bookmarkEnd w:id="4"/>
  </w:tbl>
  <w:p w:rsidR="00C52975" w:rsidRPr="006C0519" w:rsidRDefault="00C52975" w:rsidP="006C0519">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6C0519" w:rsidRPr="007410E8" w:rsidTr="006C0519">
      <w:trPr>
        <w:jc w:val="center"/>
      </w:trPr>
      <w:tc>
        <w:tcPr>
          <w:tcW w:w="2500" w:type="pct"/>
          <w:shd w:val="clear" w:color="auto" w:fill="auto"/>
        </w:tcPr>
        <w:p w:rsidR="006C0519" w:rsidRPr="007410E8" w:rsidRDefault="006C0519" w:rsidP="0035025C">
          <w:pPr>
            <w:pStyle w:val="HeaderText"/>
            <w:rPr>
              <w:b/>
              <w:i/>
              <w:sz w:val="16"/>
              <w:u w:val="single"/>
            </w:rPr>
          </w:pPr>
        </w:p>
      </w:tc>
      <w:tc>
        <w:tcPr>
          <w:tcW w:w="2500" w:type="pct"/>
          <w:shd w:val="clear" w:color="auto" w:fill="auto"/>
        </w:tcPr>
        <w:p w:rsidR="006C0519" w:rsidRPr="007410E8" w:rsidRDefault="006C0519" w:rsidP="006C0519">
          <w:pPr>
            <w:pStyle w:val="HeaderText"/>
            <w:jc w:val="right"/>
            <w:rPr>
              <w:sz w:val="16"/>
            </w:rPr>
          </w:pPr>
          <w:r w:rsidRPr="006C0519">
            <w:t>14 septembre 2015</w:t>
          </w:r>
        </w:p>
      </w:tc>
    </w:tr>
  </w:tbl>
  <w:p w:rsidR="00C52975" w:rsidRPr="006C0519" w:rsidRDefault="00C52975" w:rsidP="006C0519">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8F424D0"/>
    <w:multiLevelType w:val="multilevel"/>
    <w:tmpl w:val="507E5342"/>
    <w:name w:val="Points"/>
    <w:lvl w:ilvl="0">
      <w:start w:val="2"/>
      <w:numFmt w:val="decimal"/>
      <w:lvlRestart w:val="0"/>
      <w:pStyle w:val="Point123"/>
      <w:lvlText w:val="%1."/>
      <w:lvlJc w:val="left"/>
      <w:pPr>
        <w:tabs>
          <w:tab w:val="num" w:pos="567"/>
        </w:tabs>
        <w:ind w:left="567" w:hanging="567"/>
      </w:pPr>
      <w:rPr>
        <w:rFonts w:hint="default"/>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8">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9">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1">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4">
    <w:nsid w:val="613D36C4"/>
    <w:multiLevelType w:val="hybridMultilevel"/>
    <w:tmpl w:val="ADD67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num>
  <w:num w:numId="2">
    <w:abstractNumId w:val="13"/>
    <w:lvlOverride w:ilvl="0">
      <w:startOverride w:val="1"/>
    </w:lvlOverride>
  </w:num>
  <w:num w:numId="3">
    <w:abstractNumId w:val="14"/>
  </w:num>
  <w:num w:numId="4">
    <w:abstractNumId w:val="4"/>
  </w:num>
  <w:num w:numId="5">
    <w:abstractNumId w:val="13"/>
  </w:num>
  <w:num w:numId="6">
    <w:abstractNumId w:val="6"/>
  </w:num>
  <w:num w:numId="7">
    <w:abstractNumId w:val="5"/>
  </w:num>
  <w:num w:numId="8">
    <w:abstractNumId w:val="1"/>
  </w:num>
  <w:num w:numId="9">
    <w:abstractNumId w:val="15"/>
  </w:num>
  <w:num w:numId="10">
    <w:abstractNumId w:val="2"/>
  </w:num>
  <w:num w:numId="11">
    <w:abstractNumId w:val="3"/>
  </w:num>
  <w:num w:numId="12">
    <w:abstractNumId w:val="12"/>
  </w:num>
  <w:num w:numId="13">
    <w:abstractNumId w:val="9"/>
  </w:num>
  <w:num w:numId="14">
    <w:abstractNumId w:val="0"/>
  </w:num>
  <w:num w:numId="15">
    <w:abstractNumId w:val="16"/>
  </w:num>
  <w:num w:numId="16">
    <w:abstractNumId w:val="11"/>
  </w:num>
  <w:num w:numId="17">
    <w:abstractNumId w:val="10"/>
  </w:num>
  <w:num w:numId="18">
    <w:abstractNumId w:val="8"/>
  </w:num>
  <w:num w:numId="19">
    <w:abstractNumId w:val="8"/>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7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4817"/>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2aaf4baf-b86e-4805-bc46-acb6090a242a&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1966&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52&lt;/text&gt;_x000d__x000a_      &lt;text&gt;PR CO 4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luxembourgeois des affaires étrangères et européennes&quot; name=&quot;Jean Asselborn&quot; text=&quot;Jean Asselborn, Ministre luxembourgeois des affaires étrangères et européennes&quot; genderKeyBds=&quot;gend_01&quot; /&gt;_x000d__x000a_    &lt;/presidents&gt;_x000d__x000a_  &lt;/metadata&gt;_x000d__x000a_  &lt;metadata key=&quot;md_MeetingNumber&quot;&gt;_x000d__x000a_    &lt;text&gt;3407&lt;/text&gt;_x000d__x000a_  &lt;/metadata&gt;_x000d__x000a_  &lt;metadata key=&quot;md_CouncilConfiguration&quot;&gt;_x000d__x000a_    &lt;basicdatatype&gt;_x000d__x000a_      &lt;configuration key=&quot;cc_01&quot; text=&quot;Affaires général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9-14&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C52975"/>
    <w:rsid w:val="000230D8"/>
    <w:rsid w:val="00035E1C"/>
    <w:rsid w:val="000535E7"/>
    <w:rsid w:val="00084D6F"/>
    <w:rsid w:val="00085E51"/>
    <w:rsid w:val="000910C8"/>
    <w:rsid w:val="000A63B0"/>
    <w:rsid w:val="000C05AA"/>
    <w:rsid w:val="000D32B7"/>
    <w:rsid w:val="001036B3"/>
    <w:rsid w:val="001273AA"/>
    <w:rsid w:val="00137270"/>
    <w:rsid w:val="00137FA3"/>
    <w:rsid w:val="00140AD8"/>
    <w:rsid w:val="001412C5"/>
    <w:rsid w:val="001D5D1E"/>
    <w:rsid w:val="001F6E9D"/>
    <w:rsid w:val="00203ADD"/>
    <w:rsid w:val="00215D05"/>
    <w:rsid w:val="00217E69"/>
    <w:rsid w:val="0023705F"/>
    <w:rsid w:val="002529E8"/>
    <w:rsid w:val="002550D0"/>
    <w:rsid w:val="002560A0"/>
    <w:rsid w:val="00261DA7"/>
    <w:rsid w:val="002A6D99"/>
    <w:rsid w:val="002F0130"/>
    <w:rsid w:val="00312185"/>
    <w:rsid w:val="00337C04"/>
    <w:rsid w:val="00363472"/>
    <w:rsid w:val="00363809"/>
    <w:rsid w:val="003752E3"/>
    <w:rsid w:val="00390C80"/>
    <w:rsid w:val="003946C8"/>
    <w:rsid w:val="003B4708"/>
    <w:rsid w:val="003B71A5"/>
    <w:rsid w:val="003C45CC"/>
    <w:rsid w:val="003E47CB"/>
    <w:rsid w:val="00401911"/>
    <w:rsid w:val="004304B2"/>
    <w:rsid w:val="00432101"/>
    <w:rsid w:val="004C6946"/>
    <w:rsid w:val="004E49FC"/>
    <w:rsid w:val="00521605"/>
    <w:rsid w:val="00522794"/>
    <w:rsid w:val="005411E9"/>
    <w:rsid w:val="00546259"/>
    <w:rsid w:val="00557576"/>
    <w:rsid w:val="005736A1"/>
    <w:rsid w:val="00592D27"/>
    <w:rsid w:val="005B2469"/>
    <w:rsid w:val="005C04AF"/>
    <w:rsid w:val="00626158"/>
    <w:rsid w:val="006555D8"/>
    <w:rsid w:val="00686958"/>
    <w:rsid w:val="006873B3"/>
    <w:rsid w:val="006920CB"/>
    <w:rsid w:val="006A56D8"/>
    <w:rsid w:val="006A70FA"/>
    <w:rsid w:val="006C0519"/>
    <w:rsid w:val="006D5380"/>
    <w:rsid w:val="006E2F9D"/>
    <w:rsid w:val="006F056D"/>
    <w:rsid w:val="006F4E9F"/>
    <w:rsid w:val="00706685"/>
    <w:rsid w:val="0074441F"/>
    <w:rsid w:val="0075465A"/>
    <w:rsid w:val="007B6083"/>
    <w:rsid w:val="007C31E7"/>
    <w:rsid w:val="007E2514"/>
    <w:rsid w:val="00804E9D"/>
    <w:rsid w:val="0083743D"/>
    <w:rsid w:val="008774FD"/>
    <w:rsid w:val="0088518D"/>
    <w:rsid w:val="00893DE9"/>
    <w:rsid w:val="00895676"/>
    <w:rsid w:val="008C36E2"/>
    <w:rsid w:val="00914040"/>
    <w:rsid w:val="00926EAF"/>
    <w:rsid w:val="009661C5"/>
    <w:rsid w:val="009663A7"/>
    <w:rsid w:val="0098463C"/>
    <w:rsid w:val="009C0B45"/>
    <w:rsid w:val="009C2397"/>
    <w:rsid w:val="009C30C1"/>
    <w:rsid w:val="009C5D1E"/>
    <w:rsid w:val="009E0D44"/>
    <w:rsid w:val="009E758A"/>
    <w:rsid w:val="00A10026"/>
    <w:rsid w:val="00A124E8"/>
    <w:rsid w:val="00A128A6"/>
    <w:rsid w:val="00A23286"/>
    <w:rsid w:val="00A33747"/>
    <w:rsid w:val="00A36655"/>
    <w:rsid w:val="00A406D5"/>
    <w:rsid w:val="00A656B9"/>
    <w:rsid w:val="00A66015"/>
    <w:rsid w:val="00A67613"/>
    <w:rsid w:val="00A76CDC"/>
    <w:rsid w:val="00A92512"/>
    <w:rsid w:val="00A9375E"/>
    <w:rsid w:val="00AA2C2E"/>
    <w:rsid w:val="00AA65E4"/>
    <w:rsid w:val="00AC6F71"/>
    <w:rsid w:val="00B03546"/>
    <w:rsid w:val="00B076D5"/>
    <w:rsid w:val="00B34272"/>
    <w:rsid w:val="00BD54A3"/>
    <w:rsid w:val="00BE2CA6"/>
    <w:rsid w:val="00C226F0"/>
    <w:rsid w:val="00C22BE3"/>
    <w:rsid w:val="00C464E8"/>
    <w:rsid w:val="00C46CFA"/>
    <w:rsid w:val="00C52975"/>
    <w:rsid w:val="00C57AAC"/>
    <w:rsid w:val="00C630DE"/>
    <w:rsid w:val="00C71EC4"/>
    <w:rsid w:val="00CA0D26"/>
    <w:rsid w:val="00CD11FB"/>
    <w:rsid w:val="00D45C7C"/>
    <w:rsid w:val="00D725B6"/>
    <w:rsid w:val="00D77B50"/>
    <w:rsid w:val="00D917B6"/>
    <w:rsid w:val="00DA7219"/>
    <w:rsid w:val="00DC04C7"/>
    <w:rsid w:val="00DC19FE"/>
    <w:rsid w:val="00E13F60"/>
    <w:rsid w:val="00E30EAC"/>
    <w:rsid w:val="00E31933"/>
    <w:rsid w:val="00E3671E"/>
    <w:rsid w:val="00E65EDE"/>
    <w:rsid w:val="00E737DC"/>
    <w:rsid w:val="00EA7EF0"/>
    <w:rsid w:val="00EB52C3"/>
    <w:rsid w:val="00EB7F3A"/>
    <w:rsid w:val="00F237DC"/>
    <w:rsid w:val="00F25564"/>
    <w:rsid w:val="00F33B18"/>
    <w:rsid w:val="00F47E87"/>
    <w:rsid w:val="00F77C19"/>
    <w:rsid w:val="00F873CB"/>
    <w:rsid w:val="00FC12C1"/>
    <w:rsid w:val="00FC7382"/>
    <w:rsid w:val="00FC739A"/>
    <w:rsid w:val="00FD1DA8"/>
    <w:rsid w:val="00FE4086"/>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10"/>
      </w:numPr>
      <w:spacing w:before="360"/>
      <w:outlineLvl w:val="0"/>
    </w:pPr>
    <w:rPr>
      <w:b/>
      <w:bCs/>
      <w:smallCaps/>
      <w:szCs w:val="32"/>
    </w:rPr>
  </w:style>
  <w:style w:type="paragraph" w:styleId="Heading2">
    <w:name w:val="heading 2"/>
    <w:basedOn w:val="Normal"/>
    <w:next w:val="Text1"/>
    <w:qFormat/>
    <w:rsid w:val="00A76CDC"/>
    <w:pPr>
      <w:keepNext/>
      <w:numPr>
        <w:ilvl w:val="1"/>
        <w:numId w:val="10"/>
      </w:numPr>
      <w:outlineLvl w:val="1"/>
    </w:pPr>
    <w:rPr>
      <w:b/>
      <w:bCs/>
      <w:iCs/>
      <w:szCs w:val="28"/>
    </w:rPr>
  </w:style>
  <w:style w:type="paragraph" w:styleId="Heading3">
    <w:name w:val="heading 3"/>
    <w:basedOn w:val="Normal"/>
    <w:next w:val="Text1"/>
    <w:qFormat/>
    <w:rsid w:val="00A76CDC"/>
    <w:pPr>
      <w:keepNext/>
      <w:numPr>
        <w:ilvl w:val="2"/>
        <w:numId w:val="10"/>
      </w:numPr>
      <w:outlineLvl w:val="2"/>
    </w:pPr>
    <w:rPr>
      <w:bCs/>
      <w:i/>
      <w:szCs w:val="26"/>
    </w:rPr>
  </w:style>
  <w:style w:type="paragraph" w:styleId="Heading4">
    <w:name w:val="heading 4"/>
    <w:basedOn w:val="Normal"/>
    <w:next w:val="Text1"/>
    <w:qFormat/>
    <w:rsid w:val="00A76CDC"/>
    <w:pPr>
      <w:keepNext/>
      <w:numPr>
        <w:ilvl w:val="3"/>
        <w:numId w:val="10"/>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C52975"/>
    <w:pPr>
      <w:spacing w:before="0" w:after="440"/>
      <w:ind w:left="-1134" w:right="-1134"/>
    </w:pPr>
    <w:rPr>
      <w:sz w:val="2"/>
    </w:rPr>
  </w:style>
  <w:style w:type="character" w:customStyle="1" w:styleId="TechnicalBlockChar">
    <w:name w:val="Technical Block Char"/>
    <w:basedOn w:val="DefaultParagraphFont"/>
    <w:rsid w:val="00C52975"/>
    <w:rPr>
      <w:sz w:val="24"/>
      <w:szCs w:val="24"/>
      <w:lang w:val="fr-FR" w:eastAsia="fr-FR"/>
    </w:rPr>
  </w:style>
  <w:style w:type="character" w:customStyle="1" w:styleId="HeaderCouncilLargeChar">
    <w:name w:val="Header Council Large Char"/>
    <w:basedOn w:val="TechnicalBlockChar"/>
    <w:link w:val="HeaderCouncilLarge"/>
    <w:rsid w:val="00C52975"/>
    <w:rPr>
      <w:sz w:val="2"/>
      <w:szCs w:val="24"/>
      <w:lang w:val="fr-FR" w:eastAsia="fr-FR"/>
    </w:rPr>
  </w:style>
  <w:style w:type="paragraph" w:customStyle="1" w:styleId="FooterText">
    <w:name w:val="Footer Text"/>
    <w:basedOn w:val="Normal"/>
    <w:rsid w:val="00C52975"/>
    <w:pPr>
      <w:spacing w:before="0" w:after="0"/>
    </w:pPr>
  </w:style>
  <w:style w:type="paragraph" w:customStyle="1" w:styleId="FooterAddressText">
    <w:name w:val="Footer Address Text"/>
    <w:basedOn w:val="FooterText"/>
    <w:qFormat/>
    <w:rsid w:val="00C52975"/>
    <w:pPr>
      <w:jc w:val="center"/>
    </w:pPr>
    <w:rPr>
      <w:spacing w:val="10"/>
      <w:sz w:val="16"/>
      <w:szCs w:val="16"/>
    </w:rPr>
  </w:style>
  <w:style w:type="character" w:styleId="Hyperlink">
    <w:name w:val="Hyperlink"/>
    <w:basedOn w:val="DefaultParagraphFont"/>
    <w:unhideWhenUsed/>
    <w:qFormat/>
    <w:rsid w:val="00C52975"/>
    <w:rPr>
      <w:color w:val="0000FF" w:themeColor="hyperlink"/>
      <w:u w:val="single"/>
    </w:rPr>
  </w:style>
  <w:style w:type="paragraph" w:customStyle="1" w:styleId="HeaderText">
    <w:name w:val="Header Text"/>
    <w:basedOn w:val="Normal"/>
    <w:rsid w:val="00C52975"/>
    <w:pPr>
      <w:spacing w:before="0" w:after="0"/>
    </w:pPr>
  </w:style>
  <w:style w:type="paragraph" w:styleId="EndnoteText">
    <w:name w:val="endnote text"/>
    <w:basedOn w:val="Normal"/>
    <w:link w:val="EndnoteTextChar"/>
    <w:semiHidden/>
    <w:rsid w:val="00FC12C1"/>
    <w:pPr>
      <w:widowControl w:val="0"/>
      <w:spacing w:before="0" w:after="0"/>
    </w:pPr>
    <w:rPr>
      <w:snapToGrid w:val="0"/>
      <w:szCs w:val="20"/>
    </w:rPr>
  </w:style>
  <w:style w:type="character" w:customStyle="1" w:styleId="EndnoteTextChar">
    <w:name w:val="Endnote Text Char"/>
    <w:basedOn w:val="DefaultParagraphFont"/>
    <w:link w:val="EndnoteText"/>
    <w:semiHidden/>
    <w:rsid w:val="00FC12C1"/>
    <w:rPr>
      <w:snapToGrid w:val="0"/>
      <w:sz w:val="24"/>
      <w:lang w:val="fr-FR" w:eastAsia="fr-FR"/>
    </w:rPr>
  </w:style>
  <w:style w:type="paragraph" w:customStyle="1" w:styleId="Pointabc">
    <w:name w:val="Point abc"/>
    <w:basedOn w:val="Normal"/>
    <w:rsid w:val="00FC12C1"/>
    <w:pPr>
      <w:numPr>
        <w:ilvl w:val="1"/>
        <w:numId w:val="1"/>
      </w:numPr>
      <w:spacing w:after="120" w:line="360" w:lineRule="auto"/>
    </w:pPr>
  </w:style>
  <w:style w:type="paragraph" w:customStyle="1" w:styleId="Pointabc1">
    <w:name w:val="Point abc (1)"/>
    <w:basedOn w:val="Normal"/>
    <w:rsid w:val="00FC12C1"/>
    <w:pPr>
      <w:numPr>
        <w:ilvl w:val="3"/>
        <w:numId w:val="1"/>
      </w:numPr>
      <w:spacing w:after="120" w:line="360" w:lineRule="auto"/>
      <w:outlineLvl w:val="0"/>
    </w:pPr>
  </w:style>
  <w:style w:type="paragraph" w:customStyle="1" w:styleId="Pointabc2">
    <w:name w:val="Point abc (2)"/>
    <w:basedOn w:val="Normal"/>
    <w:rsid w:val="00FC12C1"/>
    <w:pPr>
      <w:numPr>
        <w:ilvl w:val="5"/>
        <w:numId w:val="1"/>
      </w:numPr>
      <w:spacing w:after="120" w:line="360" w:lineRule="auto"/>
      <w:outlineLvl w:val="1"/>
    </w:pPr>
  </w:style>
  <w:style w:type="paragraph" w:customStyle="1" w:styleId="Pointabc3">
    <w:name w:val="Point abc (3)"/>
    <w:basedOn w:val="Normal"/>
    <w:rsid w:val="00FC12C1"/>
    <w:pPr>
      <w:numPr>
        <w:ilvl w:val="7"/>
        <w:numId w:val="1"/>
      </w:numPr>
      <w:spacing w:after="120" w:line="360" w:lineRule="auto"/>
      <w:outlineLvl w:val="2"/>
    </w:pPr>
  </w:style>
  <w:style w:type="paragraph" w:customStyle="1" w:styleId="Pointabc4">
    <w:name w:val="Point abc (4)"/>
    <w:basedOn w:val="Normal"/>
    <w:rsid w:val="00FC12C1"/>
    <w:pPr>
      <w:numPr>
        <w:ilvl w:val="8"/>
        <w:numId w:val="1"/>
      </w:numPr>
      <w:spacing w:after="120" w:line="360" w:lineRule="auto"/>
      <w:outlineLvl w:val="3"/>
    </w:pPr>
  </w:style>
  <w:style w:type="paragraph" w:customStyle="1" w:styleId="Point123">
    <w:name w:val="Point 123"/>
    <w:basedOn w:val="Normal"/>
    <w:rsid w:val="00FC12C1"/>
    <w:pPr>
      <w:numPr>
        <w:numId w:val="1"/>
      </w:numPr>
      <w:spacing w:after="120" w:line="360" w:lineRule="auto"/>
    </w:pPr>
  </w:style>
  <w:style w:type="paragraph" w:customStyle="1" w:styleId="Point1231">
    <w:name w:val="Point 123 (1)"/>
    <w:basedOn w:val="Normal"/>
    <w:rsid w:val="00FC12C1"/>
    <w:pPr>
      <w:numPr>
        <w:ilvl w:val="2"/>
        <w:numId w:val="1"/>
      </w:numPr>
      <w:spacing w:after="120" w:line="360" w:lineRule="auto"/>
      <w:outlineLvl w:val="0"/>
    </w:pPr>
  </w:style>
  <w:style w:type="paragraph" w:customStyle="1" w:styleId="Point1232">
    <w:name w:val="Point 123 (2)"/>
    <w:basedOn w:val="Normal"/>
    <w:rsid w:val="00FC12C1"/>
    <w:pPr>
      <w:numPr>
        <w:ilvl w:val="4"/>
        <w:numId w:val="1"/>
      </w:numPr>
      <w:spacing w:after="120" w:line="360" w:lineRule="auto"/>
      <w:outlineLvl w:val="1"/>
    </w:pPr>
  </w:style>
  <w:style w:type="paragraph" w:customStyle="1" w:styleId="Point1233">
    <w:name w:val="Point 123 (3)"/>
    <w:basedOn w:val="Normal"/>
    <w:rsid w:val="00FC12C1"/>
    <w:pPr>
      <w:numPr>
        <w:ilvl w:val="6"/>
        <w:numId w:val="1"/>
      </w:numPr>
      <w:spacing w:after="120" w:line="360" w:lineRule="auto"/>
      <w:outlineLvl w:val="2"/>
    </w:pPr>
  </w:style>
  <w:style w:type="character" w:customStyle="1" w:styleId="FootnoteTextChar">
    <w:name w:val="Footnote Text Char"/>
    <w:basedOn w:val="DefaultParagraphFont"/>
    <w:uiPriority w:val="99"/>
    <w:rsid w:val="00FC12C1"/>
    <w:rPr>
      <w:sz w:val="24"/>
      <w:lang w:val="fr-FR" w:eastAsia="fr-FR"/>
    </w:rPr>
  </w:style>
  <w:style w:type="paragraph" w:customStyle="1" w:styleId="entemet">
    <w:name w:val="entemet"/>
    <w:basedOn w:val="Normal"/>
    <w:rsid w:val="000535E7"/>
    <w:pPr>
      <w:spacing w:before="100" w:beforeAutospacing="1" w:after="100" w:afterAutospacing="1"/>
    </w:pPr>
    <w:rPr>
      <w:rFonts w:eastAsia="Calibri"/>
    </w:rPr>
  </w:style>
  <w:style w:type="paragraph" w:styleId="ListParagraph">
    <w:name w:val="List Paragraph"/>
    <w:basedOn w:val="Normal"/>
    <w:uiPriority w:val="34"/>
    <w:qFormat/>
    <w:rsid w:val="000535E7"/>
    <w:pPr>
      <w:spacing w:before="0" w:after="0" w:line="360" w:lineRule="auto"/>
      <w:ind w:left="720"/>
      <w:contextualSpacing/>
    </w:pPr>
    <w:rPr>
      <w:rFonts w:eastAsia="Calibri" w:cs="Arial"/>
      <w:szCs w:val="22"/>
    </w:rPr>
  </w:style>
  <w:style w:type="character" w:styleId="Strong">
    <w:name w:val="Strong"/>
    <w:uiPriority w:val="22"/>
    <w:qFormat/>
    <w:rsid w:val="000535E7"/>
    <w:rPr>
      <w:b/>
      <w:bCs/>
    </w:rPr>
  </w:style>
  <w:style w:type="paragraph" w:customStyle="1" w:styleId="CarcterCarcterCharCarcterCarcterCharCarcterCarcterCharCharCarcterCarcter">
    <w:name w:val="Carácter Carácter Char Carácter Carácter Char Carácter Carácter Char Char Carácter Carácter"/>
    <w:basedOn w:val="Normal"/>
    <w:rsid w:val="006D5380"/>
    <w:pPr>
      <w:spacing w:before="0" w:after="0"/>
    </w:pPr>
  </w:style>
  <w:style w:type="paragraph" w:customStyle="1" w:styleId="PointManual">
    <w:name w:val="Point Manual"/>
    <w:basedOn w:val="Normal"/>
    <w:link w:val="PointManualChar"/>
    <w:rsid w:val="006D5380"/>
    <w:pPr>
      <w:spacing w:before="200" w:after="0"/>
      <w:ind w:left="567" w:hanging="567"/>
    </w:pPr>
    <w:rPr>
      <w:rFonts w:eastAsia="Calibri"/>
    </w:rPr>
  </w:style>
  <w:style w:type="character" w:customStyle="1" w:styleId="PointManualChar">
    <w:name w:val="Point Manual Char"/>
    <w:link w:val="PointManual"/>
    <w:locked/>
    <w:rsid w:val="006D5380"/>
    <w:rPr>
      <w:rFonts w:eastAsia="Calibri"/>
      <w:sz w:val="24"/>
      <w:szCs w:val="24"/>
      <w:lang w:val="fr-FR" w:eastAsia="fr-FR"/>
    </w:rPr>
  </w:style>
  <w:style w:type="character" w:customStyle="1" w:styleId="Heading1Char">
    <w:name w:val="Heading 1 Char"/>
    <w:basedOn w:val="DefaultParagraphFont"/>
    <w:rsid w:val="009E758A"/>
    <w:rPr>
      <w:b/>
      <w:bCs/>
      <w:smallCaps/>
      <w:sz w:val="24"/>
      <w:szCs w:val="32"/>
      <w:lang w:val="fr-FR" w:eastAsia="fr-FR"/>
    </w:rPr>
  </w:style>
  <w:style w:type="paragraph" w:styleId="BalloonText">
    <w:name w:val="Balloon Text"/>
    <w:basedOn w:val="Normal"/>
    <w:link w:val="BalloonTextChar"/>
    <w:uiPriority w:val="99"/>
    <w:semiHidden/>
    <w:unhideWhenUsed/>
    <w:rsid w:val="001273A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AA"/>
    <w:rPr>
      <w:rFonts w:ascii="Tahoma" w:hAnsi="Tahoma" w:cs="Tahoma"/>
      <w:sz w:val="16"/>
      <w:szCs w:val="16"/>
      <w:lang w:val="fr-FR" w:eastAsia="fr-FR"/>
    </w:rPr>
  </w:style>
  <w:style w:type="paragraph" w:customStyle="1" w:styleId="HeadingCentered">
    <w:name w:val="Heading Centered"/>
    <w:basedOn w:val="Normal"/>
    <w:next w:val="Normal"/>
    <w:rsid w:val="001273AA"/>
    <w:pPr>
      <w:spacing w:before="360" w:after="120" w:line="360" w:lineRule="auto"/>
      <w:jc w:val="center"/>
      <w:outlineLvl w:val="0"/>
    </w:pPr>
    <w:rPr>
      <w:b/>
      <w:caps/>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5736A1"/>
    <w:rPr>
      <w:lang w:val="fr-FR" w:eastAsia="fr-FR"/>
    </w:rPr>
  </w:style>
  <w:style w:type="paragraph" w:styleId="CommentSubject">
    <w:name w:val="annotation subject"/>
    <w:basedOn w:val="CommentText"/>
    <w:next w:val="CommentText"/>
    <w:link w:val="CommentSubjectChar"/>
    <w:uiPriority w:val="99"/>
    <w:semiHidden/>
    <w:unhideWhenUsed/>
    <w:rsid w:val="005736A1"/>
    <w:rPr>
      <w:b/>
      <w:bCs/>
    </w:rPr>
  </w:style>
  <w:style w:type="character" w:customStyle="1" w:styleId="CommentSubjectChar">
    <w:name w:val="Comment Subject Char"/>
    <w:basedOn w:val="CommentTextChar"/>
    <w:link w:val="CommentSubject"/>
    <w:uiPriority w:val="99"/>
    <w:semiHidden/>
    <w:rsid w:val="005736A1"/>
    <w:rPr>
      <w:b/>
      <w:bCs/>
      <w:lang w:val="fr-FR" w:eastAsia="fr-FR"/>
    </w:rPr>
  </w:style>
  <w:style w:type="paragraph" w:customStyle="1" w:styleId="CharChar1CharCharCharCharCharCharCharCharCharCharCharCharChar">
    <w:name w:val="Char Char1 Char Char Char Char Char Char Char Char Char Char Char Char Char"/>
    <w:basedOn w:val="Normal"/>
    <w:rsid w:val="0098463C"/>
    <w:pPr>
      <w:spacing w:before="0" w:after="160" w:line="240" w:lineRule="exact"/>
    </w:pPr>
    <w:rPr>
      <w:rFonts w:ascii="Verdana" w:hAnsi="Verdana"/>
      <w:sz w:val="20"/>
      <w:szCs w:val="20"/>
    </w:rPr>
  </w:style>
  <w:style w:type="character" w:customStyle="1" w:styleId="FooterChar">
    <w:name w:val="Footer Char"/>
    <w:basedOn w:val="DefaultParagraphFont"/>
    <w:uiPriority w:val="99"/>
    <w:rsid w:val="005B2469"/>
    <w:rPr>
      <w:sz w:val="24"/>
      <w:szCs w:val="24"/>
      <w:lang w:val="fr-FR" w:eastAsia="fr-FR"/>
    </w:rPr>
  </w:style>
  <w:style w:type="paragraph" w:customStyle="1" w:styleId="CharCharCharCharCharCharCharCharCharCharCharCharCharCharChar">
    <w:name w:val="Char Char Char Char Char Char Char Char Char Char Char Char Char Char Char"/>
    <w:basedOn w:val="Normal"/>
    <w:next w:val="Normal"/>
    <w:rsid w:val="00337C04"/>
    <w:pPr>
      <w:spacing w:before="0" w:after="160" w:line="240" w:lineRule="exact"/>
    </w:pPr>
    <w:rPr>
      <w:rFonts w:ascii="Tahoma" w:hAnsi="Tahoma"/>
      <w:szCs w:val="20"/>
    </w:rPr>
  </w:style>
  <w:style w:type="character" w:styleId="FollowedHyperlink">
    <w:name w:val="FollowedHyperlink"/>
    <w:basedOn w:val="DefaultParagraphFont"/>
    <w:uiPriority w:val="99"/>
    <w:semiHidden/>
    <w:unhideWhenUsed/>
    <w:rsid w:val="00592D27"/>
    <w:rPr>
      <w:color w:val="800080" w:themeColor="followedHyperlink"/>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4"/>
      </w:numPr>
    </w:pPr>
  </w:style>
  <w:style w:type="paragraph" w:customStyle="1" w:styleId="Tiret1">
    <w:name w:val="Tiret 1"/>
    <w:basedOn w:val="Normal"/>
    <w:rsid w:val="00A76CDC"/>
    <w:pPr>
      <w:numPr>
        <w:numId w:val="5"/>
      </w:numPr>
      <w:outlineLvl w:val="0"/>
    </w:pPr>
  </w:style>
  <w:style w:type="paragraph" w:customStyle="1" w:styleId="Tiret2">
    <w:name w:val="Tiret 2"/>
    <w:basedOn w:val="Normal"/>
    <w:rsid w:val="00A76CDC"/>
    <w:pPr>
      <w:numPr>
        <w:numId w:val="6"/>
      </w:numPr>
      <w:outlineLvl w:val="1"/>
    </w:pPr>
  </w:style>
  <w:style w:type="paragraph" w:customStyle="1" w:styleId="Tiret3">
    <w:name w:val="Tiret 3"/>
    <w:basedOn w:val="Normal"/>
    <w:rsid w:val="00A76CDC"/>
    <w:pPr>
      <w:numPr>
        <w:numId w:val="7"/>
      </w:numPr>
      <w:outlineLvl w:val="2"/>
    </w:pPr>
  </w:style>
  <w:style w:type="paragraph" w:customStyle="1" w:styleId="Tiret4">
    <w:name w:val="Tiret 4"/>
    <w:basedOn w:val="Normal"/>
    <w:rsid w:val="00A76CDC"/>
    <w:pPr>
      <w:numPr>
        <w:numId w:val="8"/>
      </w:numPr>
      <w:outlineLvl w:val="3"/>
    </w:pPr>
  </w:style>
  <w:style w:type="paragraph" w:customStyle="1" w:styleId="NumPar1">
    <w:name w:val="NumPar 1"/>
    <w:basedOn w:val="Normal"/>
    <w:next w:val="Text1"/>
    <w:rsid w:val="00A76CDC"/>
    <w:pPr>
      <w:numPr>
        <w:numId w:val="9"/>
      </w:numPr>
      <w:outlineLvl w:val="0"/>
    </w:pPr>
  </w:style>
  <w:style w:type="paragraph" w:customStyle="1" w:styleId="NumPar2">
    <w:name w:val="NumPar 2"/>
    <w:basedOn w:val="Normal"/>
    <w:next w:val="Text1"/>
    <w:rsid w:val="00A76CDC"/>
    <w:pPr>
      <w:numPr>
        <w:ilvl w:val="1"/>
        <w:numId w:val="9"/>
      </w:numPr>
      <w:outlineLvl w:val="1"/>
    </w:pPr>
  </w:style>
  <w:style w:type="paragraph" w:customStyle="1" w:styleId="NumPar3">
    <w:name w:val="NumPar 3"/>
    <w:basedOn w:val="Normal"/>
    <w:next w:val="Text1"/>
    <w:rsid w:val="00A76CDC"/>
    <w:pPr>
      <w:numPr>
        <w:ilvl w:val="2"/>
        <w:numId w:val="9"/>
      </w:numPr>
      <w:outlineLvl w:val="2"/>
    </w:pPr>
  </w:style>
  <w:style w:type="paragraph" w:customStyle="1" w:styleId="NumPar4">
    <w:name w:val="NumPar 4"/>
    <w:basedOn w:val="Normal"/>
    <w:next w:val="Text1"/>
    <w:rsid w:val="00A76CDC"/>
    <w:pPr>
      <w:numPr>
        <w:ilvl w:val="3"/>
        <w:numId w:val="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1"/>
      </w:numPr>
    </w:pPr>
  </w:style>
  <w:style w:type="paragraph" w:customStyle="1" w:styleId="Point1number">
    <w:name w:val="Point 1 (number)"/>
    <w:basedOn w:val="Normal"/>
    <w:rsid w:val="00A76CDC"/>
    <w:pPr>
      <w:numPr>
        <w:ilvl w:val="2"/>
        <w:numId w:val="11"/>
      </w:numPr>
      <w:outlineLvl w:val="0"/>
    </w:pPr>
  </w:style>
  <w:style w:type="paragraph" w:customStyle="1" w:styleId="Point2number">
    <w:name w:val="Point 2 (number)"/>
    <w:basedOn w:val="Normal"/>
    <w:rsid w:val="00A76CDC"/>
    <w:pPr>
      <w:numPr>
        <w:ilvl w:val="4"/>
        <w:numId w:val="11"/>
      </w:numPr>
      <w:outlineLvl w:val="1"/>
    </w:pPr>
  </w:style>
  <w:style w:type="paragraph" w:customStyle="1" w:styleId="Point3number">
    <w:name w:val="Point 3 (number)"/>
    <w:basedOn w:val="Normal"/>
    <w:rsid w:val="00A76CDC"/>
    <w:pPr>
      <w:numPr>
        <w:ilvl w:val="6"/>
        <w:numId w:val="11"/>
      </w:numPr>
      <w:outlineLvl w:val="2"/>
    </w:pPr>
  </w:style>
  <w:style w:type="paragraph" w:customStyle="1" w:styleId="Point0letter">
    <w:name w:val="Point 0 (letter)"/>
    <w:basedOn w:val="Normal"/>
    <w:rsid w:val="00A76CDC"/>
    <w:pPr>
      <w:numPr>
        <w:ilvl w:val="1"/>
        <w:numId w:val="11"/>
      </w:numPr>
    </w:pPr>
  </w:style>
  <w:style w:type="paragraph" w:customStyle="1" w:styleId="Point1letter">
    <w:name w:val="Point 1 (letter)"/>
    <w:basedOn w:val="Normal"/>
    <w:rsid w:val="00A76CDC"/>
    <w:pPr>
      <w:numPr>
        <w:ilvl w:val="3"/>
        <w:numId w:val="11"/>
      </w:numPr>
      <w:outlineLvl w:val="0"/>
    </w:pPr>
  </w:style>
  <w:style w:type="paragraph" w:customStyle="1" w:styleId="Point2letter">
    <w:name w:val="Point 2 (letter)"/>
    <w:basedOn w:val="Normal"/>
    <w:rsid w:val="00A76CDC"/>
    <w:pPr>
      <w:numPr>
        <w:ilvl w:val="5"/>
        <w:numId w:val="11"/>
      </w:numPr>
      <w:outlineLvl w:val="1"/>
    </w:pPr>
  </w:style>
  <w:style w:type="paragraph" w:customStyle="1" w:styleId="Point3letter">
    <w:name w:val="Point 3 (letter)"/>
    <w:basedOn w:val="Normal"/>
    <w:rsid w:val="00A76CDC"/>
    <w:pPr>
      <w:numPr>
        <w:ilvl w:val="7"/>
        <w:numId w:val="11"/>
      </w:numPr>
      <w:outlineLvl w:val="2"/>
    </w:pPr>
  </w:style>
  <w:style w:type="paragraph" w:customStyle="1" w:styleId="Point4letter">
    <w:name w:val="Point 4 (letter)"/>
    <w:basedOn w:val="Normal"/>
    <w:rsid w:val="00A76CDC"/>
    <w:pPr>
      <w:numPr>
        <w:ilvl w:val="8"/>
        <w:numId w:val="11"/>
      </w:numPr>
      <w:outlineLvl w:val="3"/>
    </w:pPr>
  </w:style>
  <w:style w:type="paragraph" w:customStyle="1" w:styleId="Bullet0">
    <w:name w:val="Bullet 0"/>
    <w:basedOn w:val="Normal"/>
    <w:rsid w:val="00A76CDC"/>
    <w:pPr>
      <w:numPr>
        <w:numId w:val="12"/>
      </w:numPr>
    </w:pPr>
  </w:style>
  <w:style w:type="paragraph" w:customStyle="1" w:styleId="Bullet1">
    <w:name w:val="Bullet 1"/>
    <w:basedOn w:val="Normal"/>
    <w:rsid w:val="00A76CDC"/>
    <w:pPr>
      <w:numPr>
        <w:numId w:val="13"/>
      </w:numPr>
      <w:outlineLvl w:val="0"/>
    </w:pPr>
  </w:style>
  <w:style w:type="paragraph" w:customStyle="1" w:styleId="Bullet2">
    <w:name w:val="Bullet 2"/>
    <w:basedOn w:val="Normal"/>
    <w:rsid w:val="00A76CDC"/>
    <w:pPr>
      <w:numPr>
        <w:numId w:val="14"/>
      </w:numPr>
      <w:outlineLvl w:val="1"/>
    </w:pPr>
  </w:style>
  <w:style w:type="paragraph" w:customStyle="1" w:styleId="Bullet3">
    <w:name w:val="Bullet 3"/>
    <w:basedOn w:val="Normal"/>
    <w:rsid w:val="00A76CDC"/>
    <w:pPr>
      <w:numPr>
        <w:numId w:val="15"/>
      </w:numPr>
      <w:outlineLvl w:val="2"/>
    </w:pPr>
  </w:style>
  <w:style w:type="paragraph" w:customStyle="1" w:styleId="Bullet4">
    <w:name w:val="Bullet 4"/>
    <w:basedOn w:val="Normal"/>
    <w:rsid w:val="00A76CDC"/>
    <w:pPr>
      <w:numPr>
        <w:numId w:val="1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6C0519"/>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10"/>
      </w:numPr>
      <w:spacing w:before="360"/>
      <w:outlineLvl w:val="0"/>
    </w:pPr>
    <w:rPr>
      <w:b/>
      <w:bCs/>
      <w:smallCaps/>
      <w:szCs w:val="32"/>
    </w:rPr>
  </w:style>
  <w:style w:type="paragraph" w:styleId="Heading2">
    <w:name w:val="heading 2"/>
    <w:basedOn w:val="Normal"/>
    <w:next w:val="Text1"/>
    <w:qFormat/>
    <w:rsid w:val="00A76CDC"/>
    <w:pPr>
      <w:keepNext/>
      <w:numPr>
        <w:ilvl w:val="1"/>
        <w:numId w:val="10"/>
      </w:numPr>
      <w:outlineLvl w:val="1"/>
    </w:pPr>
    <w:rPr>
      <w:b/>
      <w:bCs/>
      <w:iCs/>
      <w:szCs w:val="28"/>
    </w:rPr>
  </w:style>
  <w:style w:type="paragraph" w:styleId="Heading3">
    <w:name w:val="heading 3"/>
    <w:basedOn w:val="Normal"/>
    <w:next w:val="Text1"/>
    <w:qFormat/>
    <w:rsid w:val="00A76CDC"/>
    <w:pPr>
      <w:keepNext/>
      <w:numPr>
        <w:ilvl w:val="2"/>
        <w:numId w:val="10"/>
      </w:numPr>
      <w:outlineLvl w:val="2"/>
    </w:pPr>
    <w:rPr>
      <w:bCs/>
      <w:i/>
      <w:szCs w:val="26"/>
    </w:rPr>
  </w:style>
  <w:style w:type="paragraph" w:styleId="Heading4">
    <w:name w:val="heading 4"/>
    <w:basedOn w:val="Normal"/>
    <w:next w:val="Text1"/>
    <w:qFormat/>
    <w:rsid w:val="00A76CDC"/>
    <w:pPr>
      <w:keepNext/>
      <w:numPr>
        <w:ilvl w:val="3"/>
        <w:numId w:val="10"/>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C52975"/>
    <w:pPr>
      <w:spacing w:before="0" w:after="440"/>
      <w:ind w:left="-1134" w:right="-1134"/>
    </w:pPr>
    <w:rPr>
      <w:sz w:val="2"/>
    </w:rPr>
  </w:style>
  <w:style w:type="character" w:customStyle="1" w:styleId="TechnicalBlockChar">
    <w:name w:val="Technical Block Char"/>
    <w:basedOn w:val="DefaultParagraphFont"/>
    <w:rsid w:val="00C52975"/>
    <w:rPr>
      <w:sz w:val="24"/>
      <w:szCs w:val="24"/>
      <w:lang w:val="fr-FR" w:eastAsia="fr-FR"/>
    </w:rPr>
  </w:style>
  <w:style w:type="character" w:customStyle="1" w:styleId="HeaderCouncilLargeChar">
    <w:name w:val="Header Council Large Char"/>
    <w:basedOn w:val="TechnicalBlockChar"/>
    <w:link w:val="HeaderCouncilLarge"/>
    <w:rsid w:val="00C52975"/>
    <w:rPr>
      <w:sz w:val="2"/>
      <w:szCs w:val="24"/>
      <w:lang w:val="fr-FR" w:eastAsia="fr-FR"/>
    </w:rPr>
  </w:style>
  <w:style w:type="paragraph" w:customStyle="1" w:styleId="FooterText">
    <w:name w:val="Footer Text"/>
    <w:basedOn w:val="Normal"/>
    <w:rsid w:val="00C52975"/>
    <w:pPr>
      <w:spacing w:before="0" w:after="0"/>
    </w:pPr>
  </w:style>
  <w:style w:type="paragraph" w:customStyle="1" w:styleId="FooterAddressText">
    <w:name w:val="Footer Address Text"/>
    <w:basedOn w:val="FooterText"/>
    <w:qFormat/>
    <w:rsid w:val="00C52975"/>
    <w:pPr>
      <w:jc w:val="center"/>
    </w:pPr>
    <w:rPr>
      <w:spacing w:val="10"/>
      <w:sz w:val="16"/>
      <w:szCs w:val="16"/>
    </w:rPr>
  </w:style>
  <w:style w:type="character" w:styleId="Hyperlink">
    <w:name w:val="Hyperlink"/>
    <w:basedOn w:val="DefaultParagraphFont"/>
    <w:unhideWhenUsed/>
    <w:qFormat/>
    <w:rsid w:val="00C52975"/>
    <w:rPr>
      <w:color w:val="0000FF" w:themeColor="hyperlink"/>
      <w:u w:val="single"/>
    </w:rPr>
  </w:style>
  <w:style w:type="paragraph" w:customStyle="1" w:styleId="HeaderText">
    <w:name w:val="Header Text"/>
    <w:basedOn w:val="Normal"/>
    <w:rsid w:val="00C52975"/>
    <w:pPr>
      <w:spacing w:before="0" w:after="0"/>
    </w:pPr>
  </w:style>
  <w:style w:type="paragraph" w:styleId="EndnoteText">
    <w:name w:val="endnote text"/>
    <w:basedOn w:val="Normal"/>
    <w:link w:val="EndnoteTextChar"/>
    <w:semiHidden/>
    <w:rsid w:val="00FC12C1"/>
    <w:pPr>
      <w:widowControl w:val="0"/>
      <w:spacing w:before="0" w:after="0"/>
    </w:pPr>
    <w:rPr>
      <w:snapToGrid w:val="0"/>
      <w:szCs w:val="20"/>
    </w:rPr>
  </w:style>
  <w:style w:type="character" w:customStyle="1" w:styleId="EndnoteTextChar">
    <w:name w:val="Endnote Text Char"/>
    <w:basedOn w:val="DefaultParagraphFont"/>
    <w:link w:val="EndnoteText"/>
    <w:semiHidden/>
    <w:rsid w:val="00FC12C1"/>
    <w:rPr>
      <w:snapToGrid w:val="0"/>
      <w:sz w:val="24"/>
      <w:lang w:val="fr-FR" w:eastAsia="fr-FR"/>
    </w:rPr>
  </w:style>
  <w:style w:type="paragraph" w:customStyle="1" w:styleId="Pointabc">
    <w:name w:val="Point abc"/>
    <w:basedOn w:val="Normal"/>
    <w:rsid w:val="00FC12C1"/>
    <w:pPr>
      <w:numPr>
        <w:ilvl w:val="1"/>
        <w:numId w:val="1"/>
      </w:numPr>
      <w:spacing w:after="120" w:line="360" w:lineRule="auto"/>
    </w:pPr>
  </w:style>
  <w:style w:type="paragraph" w:customStyle="1" w:styleId="Pointabc1">
    <w:name w:val="Point abc (1)"/>
    <w:basedOn w:val="Normal"/>
    <w:rsid w:val="00FC12C1"/>
    <w:pPr>
      <w:numPr>
        <w:ilvl w:val="3"/>
        <w:numId w:val="1"/>
      </w:numPr>
      <w:spacing w:after="120" w:line="360" w:lineRule="auto"/>
      <w:outlineLvl w:val="0"/>
    </w:pPr>
  </w:style>
  <w:style w:type="paragraph" w:customStyle="1" w:styleId="Pointabc2">
    <w:name w:val="Point abc (2)"/>
    <w:basedOn w:val="Normal"/>
    <w:rsid w:val="00FC12C1"/>
    <w:pPr>
      <w:numPr>
        <w:ilvl w:val="5"/>
        <w:numId w:val="1"/>
      </w:numPr>
      <w:spacing w:after="120" w:line="360" w:lineRule="auto"/>
      <w:outlineLvl w:val="1"/>
    </w:pPr>
  </w:style>
  <w:style w:type="paragraph" w:customStyle="1" w:styleId="Pointabc3">
    <w:name w:val="Point abc (3)"/>
    <w:basedOn w:val="Normal"/>
    <w:rsid w:val="00FC12C1"/>
    <w:pPr>
      <w:numPr>
        <w:ilvl w:val="7"/>
        <w:numId w:val="1"/>
      </w:numPr>
      <w:spacing w:after="120" w:line="360" w:lineRule="auto"/>
      <w:outlineLvl w:val="2"/>
    </w:pPr>
  </w:style>
  <w:style w:type="paragraph" w:customStyle="1" w:styleId="Pointabc4">
    <w:name w:val="Point abc (4)"/>
    <w:basedOn w:val="Normal"/>
    <w:rsid w:val="00FC12C1"/>
    <w:pPr>
      <w:numPr>
        <w:ilvl w:val="8"/>
        <w:numId w:val="1"/>
      </w:numPr>
      <w:spacing w:after="120" w:line="360" w:lineRule="auto"/>
      <w:outlineLvl w:val="3"/>
    </w:pPr>
  </w:style>
  <w:style w:type="paragraph" w:customStyle="1" w:styleId="Point123">
    <w:name w:val="Point 123"/>
    <w:basedOn w:val="Normal"/>
    <w:rsid w:val="00FC12C1"/>
    <w:pPr>
      <w:numPr>
        <w:numId w:val="1"/>
      </w:numPr>
      <w:spacing w:after="120" w:line="360" w:lineRule="auto"/>
    </w:pPr>
  </w:style>
  <w:style w:type="paragraph" w:customStyle="1" w:styleId="Point1231">
    <w:name w:val="Point 123 (1)"/>
    <w:basedOn w:val="Normal"/>
    <w:rsid w:val="00FC12C1"/>
    <w:pPr>
      <w:numPr>
        <w:ilvl w:val="2"/>
        <w:numId w:val="1"/>
      </w:numPr>
      <w:spacing w:after="120" w:line="360" w:lineRule="auto"/>
      <w:outlineLvl w:val="0"/>
    </w:pPr>
  </w:style>
  <w:style w:type="paragraph" w:customStyle="1" w:styleId="Point1232">
    <w:name w:val="Point 123 (2)"/>
    <w:basedOn w:val="Normal"/>
    <w:rsid w:val="00FC12C1"/>
    <w:pPr>
      <w:numPr>
        <w:ilvl w:val="4"/>
        <w:numId w:val="1"/>
      </w:numPr>
      <w:spacing w:after="120" w:line="360" w:lineRule="auto"/>
      <w:outlineLvl w:val="1"/>
    </w:pPr>
  </w:style>
  <w:style w:type="paragraph" w:customStyle="1" w:styleId="Point1233">
    <w:name w:val="Point 123 (3)"/>
    <w:basedOn w:val="Normal"/>
    <w:rsid w:val="00FC12C1"/>
    <w:pPr>
      <w:numPr>
        <w:ilvl w:val="6"/>
        <w:numId w:val="1"/>
      </w:numPr>
      <w:spacing w:after="120" w:line="360" w:lineRule="auto"/>
      <w:outlineLvl w:val="2"/>
    </w:pPr>
  </w:style>
  <w:style w:type="character" w:customStyle="1" w:styleId="FootnoteTextChar">
    <w:name w:val="Footnote Text Char"/>
    <w:basedOn w:val="DefaultParagraphFont"/>
    <w:uiPriority w:val="99"/>
    <w:rsid w:val="00FC12C1"/>
    <w:rPr>
      <w:sz w:val="24"/>
      <w:lang w:val="fr-FR" w:eastAsia="fr-FR"/>
    </w:rPr>
  </w:style>
  <w:style w:type="paragraph" w:customStyle="1" w:styleId="entemet">
    <w:name w:val="entemet"/>
    <w:basedOn w:val="Normal"/>
    <w:rsid w:val="000535E7"/>
    <w:pPr>
      <w:spacing w:before="100" w:beforeAutospacing="1" w:after="100" w:afterAutospacing="1"/>
    </w:pPr>
    <w:rPr>
      <w:rFonts w:eastAsia="Calibri"/>
    </w:rPr>
  </w:style>
  <w:style w:type="paragraph" w:styleId="ListParagraph">
    <w:name w:val="List Paragraph"/>
    <w:basedOn w:val="Normal"/>
    <w:uiPriority w:val="34"/>
    <w:qFormat/>
    <w:rsid w:val="000535E7"/>
    <w:pPr>
      <w:spacing w:before="0" w:after="0" w:line="360" w:lineRule="auto"/>
      <w:ind w:left="720"/>
      <w:contextualSpacing/>
    </w:pPr>
    <w:rPr>
      <w:rFonts w:eastAsia="Calibri" w:cs="Arial"/>
      <w:szCs w:val="22"/>
    </w:rPr>
  </w:style>
  <w:style w:type="character" w:styleId="Strong">
    <w:name w:val="Strong"/>
    <w:uiPriority w:val="22"/>
    <w:qFormat/>
    <w:rsid w:val="000535E7"/>
    <w:rPr>
      <w:b/>
      <w:bCs/>
    </w:rPr>
  </w:style>
  <w:style w:type="paragraph" w:customStyle="1" w:styleId="CarcterCarcterCharCarcterCarcterCharCarcterCarcterCharCharCarcterCarcter">
    <w:name w:val="Carácter Carácter Char Carácter Carácter Char Carácter Carácter Char Char Carácter Carácter"/>
    <w:basedOn w:val="Normal"/>
    <w:rsid w:val="006D5380"/>
    <w:pPr>
      <w:spacing w:before="0" w:after="0"/>
    </w:pPr>
  </w:style>
  <w:style w:type="paragraph" w:customStyle="1" w:styleId="PointManual">
    <w:name w:val="Point Manual"/>
    <w:basedOn w:val="Normal"/>
    <w:link w:val="PointManualChar"/>
    <w:rsid w:val="006D5380"/>
    <w:pPr>
      <w:spacing w:before="200" w:after="0"/>
      <w:ind w:left="567" w:hanging="567"/>
    </w:pPr>
    <w:rPr>
      <w:rFonts w:eastAsia="Calibri"/>
    </w:rPr>
  </w:style>
  <w:style w:type="character" w:customStyle="1" w:styleId="PointManualChar">
    <w:name w:val="Point Manual Char"/>
    <w:link w:val="PointManual"/>
    <w:locked/>
    <w:rsid w:val="006D5380"/>
    <w:rPr>
      <w:rFonts w:eastAsia="Calibri"/>
      <w:sz w:val="24"/>
      <w:szCs w:val="24"/>
      <w:lang w:val="fr-FR" w:eastAsia="fr-FR"/>
    </w:rPr>
  </w:style>
  <w:style w:type="character" w:customStyle="1" w:styleId="Heading1Char">
    <w:name w:val="Heading 1 Char"/>
    <w:basedOn w:val="DefaultParagraphFont"/>
    <w:rsid w:val="009E758A"/>
    <w:rPr>
      <w:b/>
      <w:bCs/>
      <w:smallCaps/>
      <w:sz w:val="24"/>
      <w:szCs w:val="32"/>
      <w:lang w:val="fr-FR" w:eastAsia="fr-FR"/>
    </w:rPr>
  </w:style>
  <w:style w:type="paragraph" w:styleId="BalloonText">
    <w:name w:val="Balloon Text"/>
    <w:basedOn w:val="Normal"/>
    <w:link w:val="BalloonTextChar"/>
    <w:uiPriority w:val="99"/>
    <w:semiHidden/>
    <w:unhideWhenUsed/>
    <w:rsid w:val="001273A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AA"/>
    <w:rPr>
      <w:rFonts w:ascii="Tahoma" w:hAnsi="Tahoma" w:cs="Tahoma"/>
      <w:sz w:val="16"/>
      <w:szCs w:val="16"/>
      <w:lang w:val="fr-FR" w:eastAsia="fr-FR"/>
    </w:rPr>
  </w:style>
  <w:style w:type="paragraph" w:customStyle="1" w:styleId="HeadingCentered">
    <w:name w:val="Heading Centered"/>
    <w:basedOn w:val="Normal"/>
    <w:next w:val="Normal"/>
    <w:rsid w:val="001273AA"/>
    <w:pPr>
      <w:spacing w:before="360" w:after="120" w:line="360" w:lineRule="auto"/>
      <w:jc w:val="center"/>
      <w:outlineLvl w:val="0"/>
    </w:pPr>
    <w:rPr>
      <w:b/>
      <w:caps/>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5736A1"/>
    <w:rPr>
      <w:lang w:val="fr-FR" w:eastAsia="fr-FR"/>
    </w:rPr>
  </w:style>
  <w:style w:type="paragraph" w:styleId="CommentSubject">
    <w:name w:val="annotation subject"/>
    <w:basedOn w:val="CommentText"/>
    <w:next w:val="CommentText"/>
    <w:link w:val="CommentSubjectChar"/>
    <w:uiPriority w:val="99"/>
    <w:semiHidden/>
    <w:unhideWhenUsed/>
    <w:rsid w:val="005736A1"/>
    <w:rPr>
      <w:b/>
      <w:bCs/>
    </w:rPr>
  </w:style>
  <w:style w:type="character" w:customStyle="1" w:styleId="CommentSubjectChar">
    <w:name w:val="Comment Subject Char"/>
    <w:basedOn w:val="CommentTextChar"/>
    <w:link w:val="CommentSubject"/>
    <w:uiPriority w:val="99"/>
    <w:semiHidden/>
    <w:rsid w:val="005736A1"/>
    <w:rPr>
      <w:b/>
      <w:bCs/>
      <w:lang w:val="fr-FR" w:eastAsia="fr-FR"/>
    </w:rPr>
  </w:style>
  <w:style w:type="paragraph" w:customStyle="1" w:styleId="CharChar1CharCharCharCharCharCharCharCharCharCharCharCharChar">
    <w:name w:val="Char Char1 Char Char Char Char Char Char Char Char Char Char Char Char Char"/>
    <w:basedOn w:val="Normal"/>
    <w:rsid w:val="0098463C"/>
    <w:pPr>
      <w:spacing w:before="0" w:after="160" w:line="240" w:lineRule="exact"/>
    </w:pPr>
    <w:rPr>
      <w:rFonts w:ascii="Verdana" w:hAnsi="Verdana"/>
      <w:sz w:val="20"/>
      <w:szCs w:val="20"/>
    </w:rPr>
  </w:style>
  <w:style w:type="character" w:customStyle="1" w:styleId="FooterChar">
    <w:name w:val="Footer Char"/>
    <w:basedOn w:val="DefaultParagraphFont"/>
    <w:uiPriority w:val="99"/>
    <w:rsid w:val="005B2469"/>
    <w:rPr>
      <w:sz w:val="24"/>
      <w:szCs w:val="24"/>
      <w:lang w:val="fr-FR" w:eastAsia="fr-FR"/>
    </w:rPr>
  </w:style>
  <w:style w:type="paragraph" w:customStyle="1" w:styleId="CharCharCharCharCharCharCharCharCharCharCharCharCharCharChar">
    <w:name w:val="Char Char Char Char Char Char Char Char Char Char Char Char Char Char Char"/>
    <w:basedOn w:val="Normal"/>
    <w:next w:val="Normal"/>
    <w:rsid w:val="00337C04"/>
    <w:pPr>
      <w:spacing w:before="0" w:after="160" w:line="240" w:lineRule="exact"/>
    </w:pPr>
    <w:rPr>
      <w:rFonts w:ascii="Tahoma" w:hAnsi="Tahoma"/>
      <w:szCs w:val="20"/>
    </w:rPr>
  </w:style>
  <w:style w:type="character" w:styleId="FollowedHyperlink">
    <w:name w:val="FollowedHyperlink"/>
    <w:basedOn w:val="DefaultParagraphFont"/>
    <w:uiPriority w:val="99"/>
    <w:semiHidden/>
    <w:unhideWhenUsed/>
    <w:rsid w:val="00592D27"/>
    <w:rPr>
      <w:color w:val="800080" w:themeColor="followedHyperlink"/>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4"/>
      </w:numPr>
    </w:pPr>
  </w:style>
  <w:style w:type="paragraph" w:customStyle="1" w:styleId="Tiret1">
    <w:name w:val="Tiret 1"/>
    <w:basedOn w:val="Normal"/>
    <w:rsid w:val="00A76CDC"/>
    <w:pPr>
      <w:numPr>
        <w:numId w:val="5"/>
      </w:numPr>
      <w:outlineLvl w:val="0"/>
    </w:pPr>
  </w:style>
  <w:style w:type="paragraph" w:customStyle="1" w:styleId="Tiret2">
    <w:name w:val="Tiret 2"/>
    <w:basedOn w:val="Normal"/>
    <w:rsid w:val="00A76CDC"/>
    <w:pPr>
      <w:numPr>
        <w:numId w:val="6"/>
      </w:numPr>
      <w:outlineLvl w:val="1"/>
    </w:pPr>
  </w:style>
  <w:style w:type="paragraph" w:customStyle="1" w:styleId="Tiret3">
    <w:name w:val="Tiret 3"/>
    <w:basedOn w:val="Normal"/>
    <w:rsid w:val="00A76CDC"/>
    <w:pPr>
      <w:numPr>
        <w:numId w:val="7"/>
      </w:numPr>
      <w:outlineLvl w:val="2"/>
    </w:pPr>
  </w:style>
  <w:style w:type="paragraph" w:customStyle="1" w:styleId="Tiret4">
    <w:name w:val="Tiret 4"/>
    <w:basedOn w:val="Normal"/>
    <w:rsid w:val="00A76CDC"/>
    <w:pPr>
      <w:numPr>
        <w:numId w:val="8"/>
      </w:numPr>
      <w:outlineLvl w:val="3"/>
    </w:pPr>
  </w:style>
  <w:style w:type="paragraph" w:customStyle="1" w:styleId="NumPar1">
    <w:name w:val="NumPar 1"/>
    <w:basedOn w:val="Normal"/>
    <w:next w:val="Text1"/>
    <w:rsid w:val="00A76CDC"/>
    <w:pPr>
      <w:numPr>
        <w:numId w:val="9"/>
      </w:numPr>
      <w:outlineLvl w:val="0"/>
    </w:pPr>
  </w:style>
  <w:style w:type="paragraph" w:customStyle="1" w:styleId="NumPar2">
    <w:name w:val="NumPar 2"/>
    <w:basedOn w:val="Normal"/>
    <w:next w:val="Text1"/>
    <w:rsid w:val="00A76CDC"/>
    <w:pPr>
      <w:numPr>
        <w:ilvl w:val="1"/>
        <w:numId w:val="9"/>
      </w:numPr>
      <w:outlineLvl w:val="1"/>
    </w:pPr>
  </w:style>
  <w:style w:type="paragraph" w:customStyle="1" w:styleId="NumPar3">
    <w:name w:val="NumPar 3"/>
    <w:basedOn w:val="Normal"/>
    <w:next w:val="Text1"/>
    <w:rsid w:val="00A76CDC"/>
    <w:pPr>
      <w:numPr>
        <w:ilvl w:val="2"/>
        <w:numId w:val="9"/>
      </w:numPr>
      <w:outlineLvl w:val="2"/>
    </w:pPr>
  </w:style>
  <w:style w:type="paragraph" w:customStyle="1" w:styleId="NumPar4">
    <w:name w:val="NumPar 4"/>
    <w:basedOn w:val="Normal"/>
    <w:next w:val="Text1"/>
    <w:rsid w:val="00A76CDC"/>
    <w:pPr>
      <w:numPr>
        <w:ilvl w:val="3"/>
        <w:numId w:val="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1"/>
      </w:numPr>
    </w:pPr>
  </w:style>
  <w:style w:type="paragraph" w:customStyle="1" w:styleId="Point1number">
    <w:name w:val="Point 1 (number)"/>
    <w:basedOn w:val="Normal"/>
    <w:rsid w:val="00A76CDC"/>
    <w:pPr>
      <w:numPr>
        <w:ilvl w:val="2"/>
        <w:numId w:val="11"/>
      </w:numPr>
      <w:outlineLvl w:val="0"/>
    </w:pPr>
  </w:style>
  <w:style w:type="paragraph" w:customStyle="1" w:styleId="Point2number">
    <w:name w:val="Point 2 (number)"/>
    <w:basedOn w:val="Normal"/>
    <w:rsid w:val="00A76CDC"/>
    <w:pPr>
      <w:numPr>
        <w:ilvl w:val="4"/>
        <w:numId w:val="11"/>
      </w:numPr>
      <w:outlineLvl w:val="1"/>
    </w:pPr>
  </w:style>
  <w:style w:type="paragraph" w:customStyle="1" w:styleId="Point3number">
    <w:name w:val="Point 3 (number)"/>
    <w:basedOn w:val="Normal"/>
    <w:rsid w:val="00A76CDC"/>
    <w:pPr>
      <w:numPr>
        <w:ilvl w:val="6"/>
        <w:numId w:val="11"/>
      </w:numPr>
      <w:outlineLvl w:val="2"/>
    </w:pPr>
  </w:style>
  <w:style w:type="paragraph" w:customStyle="1" w:styleId="Point0letter">
    <w:name w:val="Point 0 (letter)"/>
    <w:basedOn w:val="Normal"/>
    <w:rsid w:val="00A76CDC"/>
    <w:pPr>
      <w:numPr>
        <w:ilvl w:val="1"/>
        <w:numId w:val="11"/>
      </w:numPr>
    </w:pPr>
  </w:style>
  <w:style w:type="paragraph" w:customStyle="1" w:styleId="Point1letter">
    <w:name w:val="Point 1 (letter)"/>
    <w:basedOn w:val="Normal"/>
    <w:rsid w:val="00A76CDC"/>
    <w:pPr>
      <w:numPr>
        <w:ilvl w:val="3"/>
        <w:numId w:val="11"/>
      </w:numPr>
      <w:outlineLvl w:val="0"/>
    </w:pPr>
  </w:style>
  <w:style w:type="paragraph" w:customStyle="1" w:styleId="Point2letter">
    <w:name w:val="Point 2 (letter)"/>
    <w:basedOn w:val="Normal"/>
    <w:rsid w:val="00A76CDC"/>
    <w:pPr>
      <w:numPr>
        <w:ilvl w:val="5"/>
        <w:numId w:val="11"/>
      </w:numPr>
      <w:outlineLvl w:val="1"/>
    </w:pPr>
  </w:style>
  <w:style w:type="paragraph" w:customStyle="1" w:styleId="Point3letter">
    <w:name w:val="Point 3 (letter)"/>
    <w:basedOn w:val="Normal"/>
    <w:rsid w:val="00A76CDC"/>
    <w:pPr>
      <w:numPr>
        <w:ilvl w:val="7"/>
        <w:numId w:val="11"/>
      </w:numPr>
      <w:outlineLvl w:val="2"/>
    </w:pPr>
  </w:style>
  <w:style w:type="paragraph" w:customStyle="1" w:styleId="Point4letter">
    <w:name w:val="Point 4 (letter)"/>
    <w:basedOn w:val="Normal"/>
    <w:rsid w:val="00A76CDC"/>
    <w:pPr>
      <w:numPr>
        <w:ilvl w:val="8"/>
        <w:numId w:val="11"/>
      </w:numPr>
      <w:outlineLvl w:val="3"/>
    </w:pPr>
  </w:style>
  <w:style w:type="paragraph" w:customStyle="1" w:styleId="Bullet0">
    <w:name w:val="Bullet 0"/>
    <w:basedOn w:val="Normal"/>
    <w:rsid w:val="00A76CDC"/>
    <w:pPr>
      <w:numPr>
        <w:numId w:val="12"/>
      </w:numPr>
    </w:pPr>
  </w:style>
  <w:style w:type="paragraph" w:customStyle="1" w:styleId="Bullet1">
    <w:name w:val="Bullet 1"/>
    <w:basedOn w:val="Normal"/>
    <w:rsid w:val="00A76CDC"/>
    <w:pPr>
      <w:numPr>
        <w:numId w:val="13"/>
      </w:numPr>
      <w:outlineLvl w:val="0"/>
    </w:pPr>
  </w:style>
  <w:style w:type="paragraph" w:customStyle="1" w:styleId="Bullet2">
    <w:name w:val="Bullet 2"/>
    <w:basedOn w:val="Normal"/>
    <w:rsid w:val="00A76CDC"/>
    <w:pPr>
      <w:numPr>
        <w:numId w:val="14"/>
      </w:numPr>
      <w:outlineLvl w:val="1"/>
    </w:pPr>
  </w:style>
  <w:style w:type="paragraph" w:customStyle="1" w:styleId="Bullet3">
    <w:name w:val="Bullet 3"/>
    <w:basedOn w:val="Normal"/>
    <w:rsid w:val="00A76CDC"/>
    <w:pPr>
      <w:numPr>
        <w:numId w:val="15"/>
      </w:numPr>
      <w:outlineLvl w:val="2"/>
    </w:pPr>
  </w:style>
  <w:style w:type="paragraph" w:customStyle="1" w:styleId="Bullet4">
    <w:name w:val="Bullet 4"/>
    <w:basedOn w:val="Normal"/>
    <w:rsid w:val="00A76CDC"/>
    <w:pPr>
      <w:numPr>
        <w:numId w:val="1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6C0519"/>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data.consilium.europa.eu/doc/document/st-8607-2015-init/en/pdf" TargetMode="External"/><Relationship Id="rId39" Type="http://schemas.openxmlformats.org/officeDocument/2006/relationships/hyperlink" Target="http://data.consilium.europa.eu/doc/document/st-5420-2015-init/fr/pdf" TargetMode="External"/><Relationship Id="rId3" Type="http://schemas.openxmlformats.org/officeDocument/2006/relationships/styles" Target="styles.xml"/><Relationship Id="rId21" Type="http://schemas.openxmlformats.org/officeDocument/2006/relationships/hyperlink" Target="http://data.consilium.europa.eu/doc/document/st-11693-2015-init/fr/pdf" TargetMode="External"/><Relationship Id="rId34" Type="http://schemas.openxmlformats.org/officeDocument/2006/relationships/hyperlink" Target="http://data.consilium.europa.eu/doc/document/st-10769-2015-init/fr/pdf"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data.consilium.europa.eu/doc/document/st-10862-2015-init/fr/pdf" TargetMode="External"/><Relationship Id="rId33" Type="http://schemas.openxmlformats.org/officeDocument/2006/relationships/hyperlink" Target="http://www.consilium.europa.eu/fr/press/press-releases/2015/06/19-uk-excessive-deficit-procedure-council-issues-new-recommendation/" TargetMode="External"/><Relationship Id="rId38" Type="http://schemas.openxmlformats.org/officeDocument/2006/relationships/hyperlink" Target="http://data.consilium.europa.eu/doc/document/st-10951-2015-init/fr/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data.consilium.europa.eu/doc/document/st-11127-2015-init/fr/pdf" TargetMode="External"/><Relationship Id="rId29" Type="http://schemas.openxmlformats.org/officeDocument/2006/relationships/hyperlink" Target="http://eur-lex.europa.eu/legal-content/FR/TXT/?uri=CELEX:32005D0387" TargetMode="External"/><Relationship Id="rId41" Type="http://schemas.openxmlformats.org/officeDocument/2006/relationships/hyperlink" Target="http://www.consilium.europa.eu/fr/press/press-releases/2015/06/25-council-adopts-efsi-regul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onsilium.europa.eu/fr/press/press-releases/2015/09/15-eu-extends-of-sanctions-over-actions-againstu-ukraines-territorial-integrity/" TargetMode="External"/><Relationship Id="rId32" Type="http://schemas.openxmlformats.org/officeDocument/2006/relationships/hyperlink" Target="http://eur-lex.europa.eu/LexUriServ/LexUriServ.do?uri=OJ:L:2011:306:0033:0040:fr:PDF" TargetMode="External"/><Relationship Id="rId37" Type="http://schemas.openxmlformats.org/officeDocument/2006/relationships/hyperlink" Target="http://data.consilium.europa.eu/doc/document/st-10950-2015-init/fr/pdf" TargetMode="External"/><Relationship Id="rId40" Type="http://schemas.openxmlformats.org/officeDocument/2006/relationships/hyperlink" Target="http://data.consilium.europa.eu/doc/document/st-11498-2015-init/fr/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eur-lex.europa.eu/legal-content/FR/TXT/?uri=CELEX:32013D0320" TargetMode="External"/><Relationship Id="rId28" Type="http://schemas.openxmlformats.org/officeDocument/2006/relationships/hyperlink" Target="http://data.consilium.europa.eu/doc/document/st-9963-2013-init/fr/pdf" TargetMode="External"/><Relationship Id="rId36" Type="http://schemas.openxmlformats.org/officeDocument/2006/relationships/hyperlink" Target="http://data.consilium.europa.eu/doc/document/st-5083-2015-init/fr/pdf" TargetMode="External"/><Relationship Id="rId10" Type="http://schemas.openxmlformats.org/officeDocument/2006/relationships/header" Target="header1.xml"/><Relationship Id="rId19" Type="http://schemas.openxmlformats.org/officeDocument/2006/relationships/hyperlink" Target="http://www.eu2015lu.eu/fr/la-presidence/a-propos-presidence/programme-et-priorites/index.html" TargetMode="External"/><Relationship Id="rId31" Type="http://schemas.openxmlformats.org/officeDocument/2006/relationships/hyperlink" Target="http://data.consilium.europa.eu/doc/document/st-11600-2015-init/fr/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www.consilium.europa.eu/fr/press/press-releases/2015/09/14-eunavfor-med-council-adopts-positive-assessment-on-conditions-to-move-to-first-step-of-phase-2-on-high-seas/" TargetMode="External"/><Relationship Id="rId27" Type="http://schemas.openxmlformats.org/officeDocument/2006/relationships/hyperlink" Target="http://data.consilium.europa.eu/doc/document/st-10371-2015-rev-1/fr/pdf" TargetMode="External"/><Relationship Id="rId30" Type="http://schemas.openxmlformats.org/officeDocument/2006/relationships/hyperlink" Target="http://data.consilium.europa.eu/doc/document/st-11558-2015-init/en/pdf" TargetMode="External"/><Relationship Id="rId35" Type="http://schemas.openxmlformats.org/officeDocument/2006/relationships/hyperlink" Target="http://data.consilium.europa.eu/doc/document/st-11467-2015-init/fr/pdf" TargetMode="Externa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0FD09-6E50-4ADD-8BD3-7E6E33F9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0</TotalTime>
  <Pages>11</Pages>
  <Words>3094</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GEUBEL Charlotte</cp:lastModifiedBy>
  <cp:revision>3</cp:revision>
  <cp:lastPrinted>2015-10-08T13:28:00Z</cp:lastPrinted>
  <dcterms:created xsi:type="dcterms:W3CDTF">2015-10-09T12:02:00Z</dcterms:created>
  <dcterms:modified xsi:type="dcterms:W3CDTF">2015-10-09T12:03:00Z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y fmtid="{D5CDD505-2E9C-101B-9397-08002B2CF9AE}" pid="5" name="SkipControlLengthPage">
    <vt:lpwstr/>
  </property>
</Properties>
</file>