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5C" w:rsidRPr="00E742A9" w:rsidRDefault="00D5219D" w:rsidP="00E742A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cfd674-7527-4a66-9c6a-896fc8f6f89c_0" style="width:573.7pt;height:413.3pt">
            <v:imagedata r:id="rId9" o:title=""/>
          </v:shape>
        </w:pict>
      </w:r>
      <w:bookmarkEnd w:id="0"/>
    </w:p>
    <w:p w:rsidR="00DF1265" w:rsidRDefault="00DF1265" w:rsidP="00DF1265">
      <w:pPr>
        <w:pStyle w:val="TechnicalBlock"/>
        <w:ind w:left="-1134" w:right="-1134"/>
        <w:sectPr w:rsidR="00DF1265" w:rsidSect="00E742A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A9350A" w:rsidRDefault="00F37326" w:rsidP="00F37326">
      <w:pPr>
        <w:pStyle w:val="TOCHeading"/>
      </w:pPr>
      <w:r>
        <w:lastRenderedPageBreak/>
        <w:t>CONTENTS</w:t>
      </w:r>
      <w:r w:rsidRPr="00F37326">
        <w:rPr>
          <w:vertAlign w:val="superscript"/>
        </w:rPr>
        <w:t>1</w:t>
      </w:r>
    </w:p>
    <w:p w:rsidR="00F37326" w:rsidRDefault="00F37326" w:rsidP="00F37326">
      <w:pPr>
        <w:pStyle w:val="TOC5"/>
      </w:pPr>
      <w:r>
        <w:t>ITEMS DEBATED</w:t>
      </w:r>
    </w:p>
    <w:p w:rsidR="00F37326" w:rsidRDefault="00F37326" w:rsidP="00F37326">
      <w:pPr>
        <w:pStyle w:val="TOC6"/>
        <w:rPr>
          <w:rFonts w:asciiTheme="minorHAnsi" w:eastAsiaTheme="minorEastAsia" w:hAnsiTheme="minorHAnsi" w:cstheme="minorBidi"/>
          <w:noProof/>
          <w:sz w:val="22"/>
          <w:szCs w:val="22"/>
          <w:lang w:eastAsia="en-GB"/>
        </w:rPr>
      </w:pPr>
      <w:r>
        <w:rPr>
          <w:noProof/>
        </w:rPr>
        <w:t>CROSS-BORDER TAX RULINGS</w:t>
      </w:r>
      <w:r>
        <w:rPr>
          <w:noProof/>
        </w:rPr>
        <w:tab/>
      </w:r>
      <w:r>
        <w:rPr>
          <w:noProof/>
        </w:rPr>
        <w:fldChar w:fldCharType="begin"/>
      </w:r>
      <w:r>
        <w:rPr>
          <w:noProof/>
        </w:rPr>
        <w:instrText xml:space="preserve"> PAGEREF \h _Toc431911592 \* MERGEFORMAT </w:instrText>
      </w:r>
      <w:r>
        <w:rPr>
          <w:noProof/>
        </w:rPr>
      </w:r>
      <w:r>
        <w:rPr>
          <w:noProof/>
        </w:rPr>
        <w:fldChar w:fldCharType="separate"/>
      </w:r>
      <w:r w:rsidR="005348B7">
        <w:rPr>
          <w:noProof/>
        </w:rPr>
        <w:t>3</w:t>
      </w:r>
      <w:r>
        <w:rPr>
          <w:noProof/>
        </w:rPr>
        <w:fldChar w:fldCharType="end"/>
      </w:r>
    </w:p>
    <w:p w:rsidR="00F37326" w:rsidRDefault="00F37326" w:rsidP="00F37326">
      <w:pPr>
        <w:pStyle w:val="TOC6"/>
        <w:rPr>
          <w:rFonts w:asciiTheme="minorHAnsi" w:eastAsiaTheme="minorEastAsia" w:hAnsiTheme="minorHAnsi" w:cstheme="minorBidi"/>
          <w:noProof/>
          <w:sz w:val="22"/>
          <w:szCs w:val="22"/>
          <w:lang w:eastAsia="en-GB"/>
        </w:rPr>
      </w:pPr>
      <w:r>
        <w:rPr>
          <w:noProof/>
        </w:rPr>
        <w:t>IMPLEMENTATION OF BANKING UNION</w:t>
      </w:r>
      <w:r>
        <w:rPr>
          <w:noProof/>
        </w:rPr>
        <w:tab/>
      </w:r>
      <w:r>
        <w:rPr>
          <w:noProof/>
        </w:rPr>
        <w:fldChar w:fldCharType="begin"/>
      </w:r>
      <w:r>
        <w:rPr>
          <w:noProof/>
        </w:rPr>
        <w:instrText xml:space="preserve"> PAGEREF \h _Toc431911593 \* MERGEFORMAT </w:instrText>
      </w:r>
      <w:r>
        <w:rPr>
          <w:noProof/>
        </w:rPr>
      </w:r>
      <w:r>
        <w:rPr>
          <w:noProof/>
        </w:rPr>
        <w:fldChar w:fldCharType="separate"/>
      </w:r>
      <w:r w:rsidR="005348B7">
        <w:rPr>
          <w:noProof/>
        </w:rPr>
        <w:t>4</w:t>
      </w:r>
      <w:r>
        <w:rPr>
          <w:noProof/>
        </w:rPr>
        <w:fldChar w:fldCharType="end"/>
      </w:r>
    </w:p>
    <w:p w:rsidR="00F37326" w:rsidRDefault="00F37326" w:rsidP="00F37326">
      <w:pPr>
        <w:pStyle w:val="TOC6"/>
        <w:rPr>
          <w:rFonts w:asciiTheme="minorHAnsi" w:eastAsiaTheme="minorEastAsia" w:hAnsiTheme="minorHAnsi" w:cstheme="minorBidi"/>
          <w:noProof/>
          <w:sz w:val="22"/>
          <w:szCs w:val="22"/>
          <w:lang w:eastAsia="en-GB"/>
        </w:rPr>
      </w:pPr>
      <w:r>
        <w:rPr>
          <w:noProof/>
        </w:rPr>
        <w:t>CAPITAL MARKETS UNION</w:t>
      </w:r>
      <w:r>
        <w:rPr>
          <w:noProof/>
        </w:rPr>
        <w:tab/>
      </w:r>
      <w:r>
        <w:rPr>
          <w:noProof/>
        </w:rPr>
        <w:fldChar w:fldCharType="begin"/>
      </w:r>
      <w:r>
        <w:rPr>
          <w:noProof/>
        </w:rPr>
        <w:instrText xml:space="preserve"> PAGEREF \h _Toc431911594 \* MERGEFORMAT </w:instrText>
      </w:r>
      <w:r>
        <w:rPr>
          <w:noProof/>
        </w:rPr>
      </w:r>
      <w:r>
        <w:rPr>
          <w:noProof/>
        </w:rPr>
        <w:fldChar w:fldCharType="separate"/>
      </w:r>
      <w:r w:rsidR="005348B7">
        <w:rPr>
          <w:noProof/>
        </w:rPr>
        <w:t>6</w:t>
      </w:r>
      <w:r>
        <w:rPr>
          <w:noProof/>
        </w:rPr>
        <w:fldChar w:fldCharType="end"/>
      </w:r>
    </w:p>
    <w:p w:rsidR="00F37326" w:rsidRDefault="00F37326" w:rsidP="00F37326">
      <w:pPr>
        <w:pStyle w:val="TOC6"/>
        <w:rPr>
          <w:rFonts w:asciiTheme="minorHAnsi" w:eastAsiaTheme="minorEastAsia" w:hAnsiTheme="minorHAnsi" w:cstheme="minorBidi"/>
          <w:noProof/>
          <w:sz w:val="22"/>
          <w:szCs w:val="22"/>
          <w:lang w:eastAsia="en-GB"/>
        </w:rPr>
      </w:pPr>
      <w:r>
        <w:rPr>
          <w:noProof/>
        </w:rPr>
        <w:t>EUROPEAN SEMESTER – LESSONS LEARNED</w:t>
      </w:r>
      <w:r>
        <w:rPr>
          <w:noProof/>
        </w:rPr>
        <w:tab/>
      </w:r>
      <w:r>
        <w:rPr>
          <w:noProof/>
        </w:rPr>
        <w:fldChar w:fldCharType="begin"/>
      </w:r>
      <w:r>
        <w:rPr>
          <w:noProof/>
        </w:rPr>
        <w:instrText xml:space="preserve"> PAGEREF \h _Toc431911595 \* MERGEFORMAT </w:instrText>
      </w:r>
      <w:r>
        <w:rPr>
          <w:noProof/>
        </w:rPr>
      </w:r>
      <w:r>
        <w:rPr>
          <w:noProof/>
        </w:rPr>
        <w:fldChar w:fldCharType="separate"/>
      </w:r>
      <w:r w:rsidR="005348B7">
        <w:rPr>
          <w:noProof/>
        </w:rPr>
        <w:t>7</w:t>
      </w:r>
      <w:r>
        <w:rPr>
          <w:noProof/>
        </w:rPr>
        <w:fldChar w:fldCharType="end"/>
      </w:r>
    </w:p>
    <w:p w:rsidR="00F37326" w:rsidRDefault="00F37326" w:rsidP="00F37326">
      <w:pPr>
        <w:pStyle w:val="TOC6"/>
        <w:rPr>
          <w:rFonts w:asciiTheme="minorHAnsi" w:eastAsiaTheme="minorEastAsia" w:hAnsiTheme="minorHAnsi" w:cstheme="minorBidi"/>
          <w:noProof/>
          <w:sz w:val="22"/>
          <w:szCs w:val="22"/>
          <w:lang w:eastAsia="en-GB"/>
        </w:rPr>
      </w:pPr>
      <w:r>
        <w:rPr>
          <w:noProof/>
        </w:rPr>
        <w:t>FLEXIBILITY UNDER THE STABILITY AND GROWTH PACT</w:t>
      </w:r>
      <w:r>
        <w:rPr>
          <w:noProof/>
        </w:rPr>
        <w:tab/>
      </w:r>
      <w:r>
        <w:rPr>
          <w:noProof/>
        </w:rPr>
        <w:fldChar w:fldCharType="begin"/>
      </w:r>
      <w:r>
        <w:rPr>
          <w:noProof/>
        </w:rPr>
        <w:instrText xml:space="preserve"> PAGEREF \h _Toc431911596 \* MERGEFORMAT </w:instrText>
      </w:r>
      <w:r>
        <w:rPr>
          <w:noProof/>
        </w:rPr>
      </w:r>
      <w:r>
        <w:rPr>
          <w:noProof/>
        </w:rPr>
        <w:fldChar w:fldCharType="separate"/>
      </w:r>
      <w:r w:rsidR="005348B7">
        <w:rPr>
          <w:noProof/>
        </w:rPr>
        <w:t>8</w:t>
      </w:r>
      <w:r>
        <w:rPr>
          <w:noProof/>
        </w:rPr>
        <w:fldChar w:fldCharType="end"/>
      </w:r>
    </w:p>
    <w:p w:rsidR="00F37326" w:rsidRDefault="00F37326" w:rsidP="00F37326">
      <w:pPr>
        <w:pStyle w:val="TOC6"/>
        <w:rPr>
          <w:rFonts w:asciiTheme="minorHAnsi" w:eastAsiaTheme="minorEastAsia" w:hAnsiTheme="minorHAnsi" w:cstheme="minorBidi"/>
          <w:noProof/>
          <w:sz w:val="22"/>
          <w:szCs w:val="22"/>
          <w:lang w:eastAsia="en-GB"/>
        </w:rPr>
      </w:pPr>
      <w:r>
        <w:rPr>
          <w:noProof/>
        </w:rPr>
        <w:t>G20 AND IMF MEETINGS</w:t>
      </w:r>
      <w:r>
        <w:rPr>
          <w:noProof/>
        </w:rPr>
        <w:tab/>
      </w:r>
      <w:r>
        <w:rPr>
          <w:noProof/>
        </w:rPr>
        <w:fldChar w:fldCharType="begin"/>
      </w:r>
      <w:r>
        <w:rPr>
          <w:noProof/>
        </w:rPr>
        <w:instrText xml:space="preserve"> PAGEREF \h _Toc431911597 \* MERGEFORMAT </w:instrText>
      </w:r>
      <w:r>
        <w:rPr>
          <w:noProof/>
        </w:rPr>
      </w:r>
      <w:r>
        <w:rPr>
          <w:noProof/>
        </w:rPr>
        <w:fldChar w:fldCharType="separate"/>
      </w:r>
      <w:r w:rsidR="005348B7">
        <w:rPr>
          <w:noProof/>
        </w:rPr>
        <w:t>9</w:t>
      </w:r>
      <w:r>
        <w:rPr>
          <w:noProof/>
        </w:rPr>
        <w:fldChar w:fldCharType="end"/>
      </w:r>
    </w:p>
    <w:p w:rsidR="00F37326" w:rsidRDefault="00F37326" w:rsidP="00F37326">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_Toc431911598 \* MERGEFORMAT </w:instrText>
      </w:r>
      <w:r>
        <w:rPr>
          <w:noProof/>
        </w:rPr>
      </w:r>
      <w:r>
        <w:rPr>
          <w:noProof/>
        </w:rPr>
        <w:fldChar w:fldCharType="separate"/>
      </w:r>
      <w:r w:rsidR="005348B7">
        <w:rPr>
          <w:noProof/>
        </w:rPr>
        <w:t>10</w:t>
      </w:r>
      <w:r>
        <w:rPr>
          <w:noProof/>
        </w:rPr>
        <w:fldChar w:fldCharType="end"/>
      </w:r>
    </w:p>
    <w:p w:rsidR="00F37326" w:rsidRPr="00F37326" w:rsidRDefault="00F37326" w:rsidP="00F37326">
      <w:pPr>
        <w:pStyle w:val="TOC6"/>
      </w:pPr>
      <w:r>
        <w:rPr>
          <w:noProof/>
        </w:rPr>
        <w:t>MEETINGS IN THE MARGINS OF THE COUNCIL</w:t>
      </w:r>
      <w:r>
        <w:rPr>
          <w:noProof/>
        </w:rPr>
        <w:tab/>
      </w:r>
      <w:r>
        <w:rPr>
          <w:noProof/>
        </w:rPr>
        <w:fldChar w:fldCharType="begin"/>
      </w:r>
      <w:r>
        <w:rPr>
          <w:noProof/>
        </w:rPr>
        <w:instrText xml:space="preserve"> PAGEREF \h _Toc431911599 \* MERGEFORMAT </w:instrText>
      </w:r>
      <w:r>
        <w:rPr>
          <w:noProof/>
        </w:rPr>
      </w:r>
      <w:r>
        <w:rPr>
          <w:noProof/>
        </w:rPr>
        <w:fldChar w:fldCharType="separate"/>
      </w:r>
      <w:r w:rsidR="005348B7">
        <w:rPr>
          <w:noProof/>
        </w:rPr>
        <w:t>10</w:t>
      </w:r>
      <w:r>
        <w:rPr>
          <w:noProof/>
        </w:rPr>
        <w:fldChar w:fldCharType="end"/>
      </w:r>
    </w:p>
    <w:p w:rsidR="00F37326" w:rsidRDefault="00F37326" w:rsidP="00F37326">
      <w:pPr>
        <w:pStyle w:val="TOC5"/>
      </w:pPr>
      <w:r>
        <w:t>OTHER ITEMS APPROVED</w:t>
      </w:r>
    </w:p>
    <w:p w:rsidR="00F37326" w:rsidRDefault="00F37326" w:rsidP="00F37326">
      <w:pPr>
        <w:pStyle w:val="TOC8"/>
        <w:rPr>
          <w:rFonts w:asciiTheme="minorHAnsi" w:eastAsiaTheme="minorEastAsia" w:hAnsiTheme="minorHAnsi" w:cstheme="minorBidi"/>
          <w:i w:val="0"/>
          <w:noProof/>
          <w:sz w:val="22"/>
          <w:szCs w:val="22"/>
          <w:lang w:eastAsia="en-GB"/>
        </w:rPr>
      </w:pPr>
      <w:r>
        <w:rPr>
          <w:noProof/>
        </w:rPr>
        <w:t>EXPORT CREDIT</w:t>
      </w:r>
    </w:p>
    <w:p w:rsidR="00F37326" w:rsidRDefault="00F37326" w:rsidP="00D5219D">
      <w:pPr>
        <w:pStyle w:val="TOC9"/>
        <w:numPr>
          <w:ilvl w:val="0"/>
          <w:numId w:val="17"/>
        </w:numPr>
        <w:rPr>
          <w:rFonts w:asciiTheme="minorHAnsi" w:eastAsiaTheme="minorEastAsia" w:hAnsiTheme="minorHAnsi" w:cstheme="minorBidi"/>
          <w:noProof/>
          <w:sz w:val="22"/>
          <w:szCs w:val="22"/>
          <w:lang w:eastAsia="en-GB"/>
        </w:rPr>
      </w:pPr>
      <w:r>
        <w:rPr>
          <w:noProof/>
        </w:rPr>
        <w:t>OECD: Export credits support for coal-fired power plants</w:t>
      </w:r>
      <w:r>
        <w:rPr>
          <w:noProof/>
        </w:rPr>
        <w:tab/>
      </w:r>
      <w:r>
        <w:rPr>
          <w:noProof/>
        </w:rPr>
        <w:fldChar w:fldCharType="begin"/>
      </w:r>
      <w:r>
        <w:rPr>
          <w:noProof/>
        </w:rPr>
        <w:instrText xml:space="preserve"> PAGEREF \h _Toc431911601 \* MERGEFORMAT </w:instrText>
      </w:r>
      <w:r>
        <w:rPr>
          <w:noProof/>
        </w:rPr>
      </w:r>
      <w:r>
        <w:rPr>
          <w:noProof/>
        </w:rPr>
        <w:fldChar w:fldCharType="separate"/>
      </w:r>
      <w:r w:rsidR="005348B7">
        <w:rPr>
          <w:noProof/>
        </w:rPr>
        <w:t>11</w:t>
      </w:r>
      <w:r>
        <w:rPr>
          <w:noProof/>
        </w:rPr>
        <w:fldChar w:fldCharType="end"/>
      </w:r>
    </w:p>
    <w:p w:rsidR="00F37326" w:rsidRDefault="00F37326" w:rsidP="00F37326">
      <w:pPr>
        <w:pStyle w:val="TOC8"/>
        <w:rPr>
          <w:rFonts w:asciiTheme="minorHAnsi" w:eastAsiaTheme="minorEastAsia" w:hAnsiTheme="minorHAnsi" w:cstheme="minorBidi"/>
          <w:i w:val="0"/>
          <w:noProof/>
          <w:sz w:val="22"/>
          <w:szCs w:val="22"/>
          <w:lang w:eastAsia="en-GB"/>
        </w:rPr>
      </w:pPr>
      <w:r>
        <w:rPr>
          <w:noProof/>
        </w:rPr>
        <w:t>COMMON SECURITY AND DEFENCE POLICY</w:t>
      </w:r>
    </w:p>
    <w:p w:rsidR="00F37326" w:rsidRDefault="00F37326" w:rsidP="00F37326">
      <w:pPr>
        <w:pStyle w:val="TOC9"/>
        <w:rPr>
          <w:rFonts w:asciiTheme="minorHAnsi" w:eastAsiaTheme="minorEastAsia" w:hAnsiTheme="minorHAnsi" w:cstheme="minorBidi"/>
          <w:noProof/>
          <w:sz w:val="22"/>
          <w:szCs w:val="22"/>
          <w:lang w:eastAsia="en-GB"/>
        </w:rPr>
      </w:pPr>
      <w:r>
        <w:rPr>
          <w:noProof/>
        </w:rPr>
        <w:t>EU mission on maritime capacity building in the Horn of Africa</w:t>
      </w:r>
      <w:r>
        <w:rPr>
          <w:noProof/>
        </w:rPr>
        <w:tab/>
      </w:r>
      <w:r>
        <w:rPr>
          <w:noProof/>
        </w:rPr>
        <w:fldChar w:fldCharType="begin"/>
      </w:r>
      <w:r>
        <w:rPr>
          <w:noProof/>
        </w:rPr>
        <w:instrText xml:space="preserve"> PAGEREF \h _Toc431911603 \* MERGEFORMAT </w:instrText>
      </w:r>
      <w:r>
        <w:rPr>
          <w:noProof/>
        </w:rPr>
      </w:r>
      <w:r>
        <w:rPr>
          <w:noProof/>
        </w:rPr>
        <w:fldChar w:fldCharType="separate"/>
      </w:r>
      <w:r w:rsidR="005348B7">
        <w:rPr>
          <w:noProof/>
        </w:rPr>
        <w:t>11</w:t>
      </w:r>
      <w:r>
        <w:rPr>
          <w:noProof/>
        </w:rPr>
        <w:fldChar w:fldCharType="end"/>
      </w:r>
    </w:p>
    <w:p w:rsidR="00F37326" w:rsidRDefault="00F37326" w:rsidP="00F37326">
      <w:pPr>
        <w:pStyle w:val="TOC8"/>
        <w:rPr>
          <w:rFonts w:asciiTheme="minorHAnsi" w:eastAsiaTheme="minorEastAsia" w:hAnsiTheme="minorHAnsi" w:cstheme="minorBidi"/>
          <w:i w:val="0"/>
          <w:noProof/>
          <w:sz w:val="22"/>
          <w:szCs w:val="22"/>
          <w:lang w:eastAsia="en-GB"/>
        </w:rPr>
      </w:pPr>
      <w:r>
        <w:rPr>
          <w:noProof/>
        </w:rPr>
        <w:t>JUSTICE AND HOME AFFAIRS</w:t>
      </w:r>
    </w:p>
    <w:p w:rsidR="00F37326" w:rsidRDefault="00F37326" w:rsidP="00F37326">
      <w:pPr>
        <w:pStyle w:val="TOC9"/>
        <w:keepNext/>
        <w:rPr>
          <w:rFonts w:asciiTheme="minorHAnsi" w:eastAsiaTheme="minorEastAsia" w:hAnsiTheme="minorHAnsi" w:cstheme="minorBidi"/>
          <w:noProof/>
          <w:sz w:val="22"/>
          <w:szCs w:val="22"/>
          <w:lang w:eastAsia="en-GB"/>
        </w:rPr>
      </w:pPr>
      <w:r>
        <w:rPr>
          <w:noProof/>
        </w:rPr>
        <w:t>Eurojust - Activity report 2014</w:t>
      </w:r>
      <w:r>
        <w:rPr>
          <w:noProof/>
        </w:rPr>
        <w:tab/>
      </w:r>
      <w:r>
        <w:rPr>
          <w:noProof/>
        </w:rPr>
        <w:fldChar w:fldCharType="begin"/>
      </w:r>
      <w:r>
        <w:rPr>
          <w:noProof/>
        </w:rPr>
        <w:instrText xml:space="preserve"> PAGEREF \h _Toc431911605 \* MERGEFORMAT </w:instrText>
      </w:r>
      <w:r>
        <w:rPr>
          <w:noProof/>
        </w:rPr>
      </w:r>
      <w:r>
        <w:rPr>
          <w:noProof/>
        </w:rPr>
        <w:fldChar w:fldCharType="separate"/>
      </w:r>
      <w:r w:rsidR="005348B7">
        <w:rPr>
          <w:noProof/>
        </w:rPr>
        <w:t>11</w:t>
      </w:r>
      <w:r>
        <w:rPr>
          <w:noProof/>
        </w:rPr>
        <w:fldChar w:fldCharType="end"/>
      </w:r>
    </w:p>
    <w:p w:rsidR="00F37326" w:rsidRDefault="00F37326" w:rsidP="00F37326">
      <w:pPr>
        <w:pStyle w:val="TOC9"/>
      </w:pPr>
      <w:r>
        <w:rPr>
          <w:noProof/>
        </w:rPr>
        <w:t>UNHCR Executive Committee</w:t>
      </w:r>
      <w:r>
        <w:rPr>
          <w:noProof/>
        </w:rPr>
        <w:tab/>
      </w:r>
      <w:r>
        <w:rPr>
          <w:noProof/>
        </w:rPr>
        <w:fldChar w:fldCharType="begin"/>
      </w:r>
      <w:r>
        <w:rPr>
          <w:noProof/>
        </w:rPr>
        <w:instrText xml:space="preserve"> PAGEREF \h _Toc431911606 \* MERGEFORMAT </w:instrText>
      </w:r>
      <w:r>
        <w:rPr>
          <w:noProof/>
        </w:rPr>
      </w:r>
      <w:r>
        <w:rPr>
          <w:noProof/>
        </w:rPr>
        <w:fldChar w:fldCharType="separate"/>
      </w:r>
      <w:r w:rsidR="005348B7">
        <w:rPr>
          <w:noProof/>
        </w:rPr>
        <w:t>11</w:t>
      </w:r>
      <w:r>
        <w:rPr>
          <w:noProof/>
        </w:rPr>
        <w:fldChar w:fldCharType="end"/>
      </w:r>
    </w:p>
    <w:p w:rsidR="00F37326" w:rsidRDefault="00F37326" w:rsidP="00DF1265">
      <w:pPr>
        <w:sectPr w:rsidR="00F37326" w:rsidSect="00E742A9">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DF1265" w:rsidRDefault="00DF1265" w:rsidP="00DF1265">
      <w:pPr>
        <w:pStyle w:val="ItemsDebatedHeading"/>
      </w:pPr>
      <w:r w:rsidRPr="00DF1265">
        <w:lastRenderedPageBreak/>
        <w:t>ITEMS DEBATED</w:t>
      </w:r>
    </w:p>
    <w:p w:rsidR="00D746E1" w:rsidRPr="00337CD5" w:rsidRDefault="00D746E1" w:rsidP="00337CD5">
      <w:pPr>
        <w:pStyle w:val="ItemDebated"/>
      </w:pPr>
      <w:bookmarkStart w:id="5" w:name="_Toc431911592"/>
      <w:r w:rsidRPr="00337CD5">
        <w:t>CROSS-BORDER TAX RULINGS</w:t>
      </w:r>
      <w:bookmarkEnd w:id="5"/>
    </w:p>
    <w:p w:rsidR="009B66EC" w:rsidRPr="009B66EC" w:rsidRDefault="00AB2F2D" w:rsidP="009B66EC">
      <w:r>
        <w:t>T</w:t>
      </w:r>
      <w:r w:rsidR="009B66EC" w:rsidRPr="009B66EC">
        <w:t>he Council reached a political agreement on a directive aimed at improving transparency in the assurances given by member states to companies about how their taxes are calculated.</w:t>
      </w:r>
    </w:p>
    <w:p w:rsidR="009B66EC" w:rsidRPr="009B66EC" w:rsidRDefault="009B66EC" w:rsidP="009B66EC">
      <w:r w:rsidRPr="009B66EC">
        <w:t>The directive is one of a number of initiatives aimed at preventing corporate tax avoidance.</w:t>
      </w:r>
    </w:p>
    <w:p w:rsidR="009B66EC" w:rsidRPr="009B66EC" w:rsidRDefault="009B66EC" w:rsidP="00084D10">
      <w:r w:rsidRPr="009B66EC">
        <w:t>It will require member states to exchange information automatically on advance cross-border tax rulings, as well as advance pricing arrangements. Member states receiving the information will be able to request further information where appropriate. And the Commission will be able to develop a secure central directory, where the information exchanged w</w:t>
      </w:r>
      <w:r w:rsidR="00084D10">
        <w:t>ill</w:t>
      </w:r>
      <w:r w:rsidRPr="009B66EC">
        <w:t xml:space="preserve"> be stored.</w:t>
      </w:r>
    </w:p>
    <w:p w:rsidR="009B66EC" w:rsidRPr="009B66EC" w:rsidRDefault="009B66EC" w:rsidP="009B66EC">
      <w:r w:rsidRPr="009B66EC">
        <w:t>The Commission proposed the directive as part of a package of measures in March 2015. The text amends directive 2011/16/EU on administrative cooperation in the field of taxation, which sets out practical arrangements for exchanging information.</w:t>
      </w:r>
    </w:p>
    <w:p w:rsidR="00AB2F2D" w:rsidRDefault="00AB2F2D" w:rsidP="00AB2F2D">
      <w:r w:rsidRPr="009B66EC">
        <w:t>The directive will be adopted at a forthcoming Council meeting, once the European Parliament has given its opinion and it has been finalised in all official languages.</w:t>
      </w:r>
    </w:p>
    <w:p w:rsidR="00AB2F2D" w:rsidRDefault="00AB2F2D" w:rsidP="00AB2F2D">
      <w:r>
        <w:t>For details, see press release:</w:t>
      </w:r>
      <w:r>
        <w:br/>
      </w:r>
      <w:hyperlink r:id="rId19" w:history="1">
        <w:r w:rsidRPr="00A1655E">
          <w:rPr>
            <w:rStyle w:val="Hyperlink"/>
          </w:rPr>
          <w:t>http://www.consilium.europa.eu/en/press/press-releases/2015/10/06-cross-border-tax-rulings/</w:t>
        </w:r>
      </w:hyperlink>
    </w:p>
    <w:p w:rsidR="00D746E1" w:rsidRDefault="00D746E1" w:rsidP="00337CD5">
      <w:pPr>
        <w:pStyle w:val="ItemDebated"/>
      </w:pPr>
      <w:r>
        <w:br w:type="page"/>
      </w:r>
      <w:bookmarkStart w:id="6" w:name="_Toc431911593"/>
      <w:r w:rsidRPr="00337CD5">
        <w:lastRenderedPageBreak/>
        <w:t>IMPLEMENTATION OF BANKING UNION</w:t>
      </w:r>
      <w:bookmarkEnd w:id="6"/>
    </w:p>
    <w:p w:rsidR="00D746E1" w:rsidRDefault="00D746E1" w:rsidP="00182362">
      <w:r>
        <w:t>The Council reviewed implementation of Europe's banking union, particularly as concerns instruments to deal with the recovery and resolution of failing banks. It urged member states to speed up the necessary measures to be taken at national level.</w:t>
      </w:r>
    </w:p>
    <w:p w:rsidR="00D746E1" w:rsidRDefault="00D746E1" w:rsidP="00D746E1">
      <w:r>
        <w:t>The Commission provided an update on:</w:t>
      </w:r>
    </w:p>
    <w:p w:rsidR="00D746E1" w:rsidRPr="00D746E1" w:rsidRDefault="00D746E1" w:rsidP="00D5219D">
      <w:pPr>
        <w:pStyle w:val="Tiret0"/>
        <w:numPr>
          <w:ilvl w:val="0"/>
          <w:numId w:val="1"/>
        </w:numPr>
      </w:pPr>
      <w:r w:rsidRPr="00D746E1">
        <w:t xml:space="preserve">transposition of a directive on bank recovery and resolution (the deadline was 31 December 2014, whilst </w:t>
      </w:r>
      <w:r w:rsidR="00182362">
        <w:t xml:space="preserve">a </w:t>
      </w:r>
      <w:r w:rsidRPr="00D746E1">
        <w:t xml:space="preserve">transposed provision on </w:t>
      </w:r>
      <w:r w:rsidR="00182362">
        <w:t xml:space="preserve">the </w:t>
      </w:r>
      <w:r w:rsidRPr="00D746E1">
        <w:t xml:space="preserve">bail-in </w:t>
      </w:r>
      <w:r w:rsidR="00182362">
        <w:t xml:space="preserve">of investors </w:t>
      </w:r>
      <w:r w:rsidRPr="00D746E1">
        <w:t>must be</w:t>
      </w:r>
      <w:r w:rsidR="00182362">
        <w:t xml:space="preserve"> applicable on 1 January 2016);</w:t>
      </w:r>
    </w:p>
    <w:p w:rsidR="00D746E1" w:rsidRDefault="00D746E1" w:rsidP="00D746E1">
      <w:pPr>
        <w:pStyle w:val="Tiret0"/>
      </w:pPr>
      <w:r>
        <w:t xml:space="preserve">ratification of an intergovernmental agreement </w:t>
      </w:r>
      <w:r w:rsidR="00182362">
        <w:t xml:space="preserve">(IGA) </w:t>
      </w:r>
      <w:r>
        <w:t xml:space="preserve">on the single resolution fund (SRF), due </w:t>
      </w:r>
      <w:r w:rsidR="00182362">
        <w:t xml:space="preserve">by </w:t>
      </w:r>
      <w:r>
        <w:t>30 November;</w:t>
      </w:r>
    </w:p>
    <w:p w:rsidR="00D746E1" w:rsidRDefault="00D746E1" w:rsidP="00D746E1">
      <w:pPr>
        <w:pStyle w:val="Tiret0"/>
      </w:pPr>
      <w:r>
        <w:t>the work of the single resolution board;</w:t>
      </w:r>
    </w:p>
    <w:p w:rsidR="00D746E1" w:rsidRDefault="00D746E1" w:rsidP="00D746E1">
      <w:pPr>
        <w:pStyle w:val="Tiret0"/>
      </w:pPr>
      <w:r>
        <w:t>transposition of a directive on deposit guarantee schemes (the deadline was 3 July 2015).</w:t>
      </w:r>
    </w:p>
    <w:p w:rsidR="00D746E1" w:rsidRDefault="00D746E1" w:rsidP="00D746E1">
      <w:r>
        <w:t>As of</w:t>
      </w:r>
      <w:r w:rsidRPr="00A97D5A">
        <w:t xml:space="preserve"> 1 October</w:t>
      </w:r>
      <w:r>
        <w:t> 2015</w:t>
      </w:r>
      <w:r w:rsidR="00182362">
        <w:t>:</w:t>
      </w:r>
    </w:p>
    <w:p w:rsidR="00D746E1" w:rsidRPr="00D746E1" w:rsidRDefault="0064763E" w:rsidP="0064763E">
      <w:pPr>
        <w:pStyle w:val="Tiret0"/>
      </w:pPr>
      <w:r>
        <w:t xml:space="preserve">16 countries had fully </w:t>
      </w:r>
      <w:r w:rsidR="00D746E1" w:rsidRPr="00D746E1">
        <w:t xml:space="preserve">transposed the </w:t>
      </w:r>
      <w:r w:rsidR="00182362" w:rsidRPr="00D746E1">
        <w:t>directive on bank recovery and resolution</w:t>
      </w:r>
      <w:r w:rsidR="00D746E1" w:rsidRPr="00D746E1">
        <w:t>;</w:t>
      </w:r>
      <w:r>
        <w:t xml:space="preserve"> </w:t>
      </w:r>
      <w:r w:rsidRPr="00D746E1">
        <w:t>five had partially</w:t>
      </w:r>
      <w:r>
        <w:t xml:space="preserve"> transposed it.</w:t>
      </w:r>
    </w:p>
    <w:p w:rsidR="00D746E1" w:rsidRPr="00A97D5A" w:rsidRDefault="00D746E1" w:rsidP="00D746E1">
      <w:pPr>
        <w:pStyle w:val="Tiret0"/>
      </w:pPr>
      <w:r>
        <w:t>eight countries (members of the banking union) had</w:t>
      </w:r>
      <w:r w:rsidRPr="00A97D5A">
        <w:t xml:space="preserve"> </w:t>
      </w:r>
      <w:r>
        <w:t xml:space="preserve">ratified </w:t>
      </w:r>
      <w:r w:rsidRPr="00A97D5A">
        <w:t>the IGA</w:t>
      </w:r>
      <w:r>
        <w:t>;</w:t>
      </w:r>
    </w:p>
    <w:p w:rsidR="00D746E1" w:rsidRDefault="00D746E1" w:rsidP="0064763E">
      <w:pPr>
        <w:pStyle w:val="Tiret0"/>
      </w:pPr>
      <w:r w:rsidRPr="00A97D5A">
        <w:t xml:space="preserve">10 countries </w:t>
      </w:r>
      <w:r>
        <w:t xml:space="preserve">had fully transposed the </w:t>
      </w:r>
      <w:r w:rsidR="00182362">
        <w:t>directive on deposit guarantee schemes</w:t>
      </w:r>
      <w:r w:rsidR="0064763E">
        <w:t>;</w:t>
      </w:r>
      <w:r w:rsidR="000827BC">
        <w:t xml:space="preserve"> four had partially transposed it.</w:t>
      </w:r>
    </w:p>
    <w:p w:rsidR="00D746E1" w:rsidRDefault="000827BC" w:rsidP="000827BC">
      <w:r>
        <w:t>T</w:t>
      </w:r>
      <w:r w:rsidR="00D746E1">
        <w:t xml:space="preserve">he banking union </w:t>
      </w:r>
      <w:r>
        <w:t xml:space="preserve">participants </w:t>
      </w:r>
      <w:r w:rsidR="00D746E1">
        <w:t>are the 19 countries of the euro area</w:t>
      </w:r>
      <w:r>
        <w:t>;</w:t>
      </w:r>
      <w:r w:rsidR="00D746E1">
        <w:t xml:space="preserve"> seven other member states have indicated their intention to join.</w:t>
      </w:r>
    </w:p>
    <w:p w:rsidR="00D746E1" w:rsidRDefault="00D746E1" w:rsidP="00D746E1">
      <w:r>
        <w:t>The SRF and the single resolution board (SRB) are components of a single resolution mechanism (SRM) aimed at ensuring the orderly resolution of failing banks. Established by regulation in July 2014, the SRM will be applicable from 1 January 2016.</w:t>
      </w:r>
    </w:p>
    <w:p w:rsidR="00D746E1" w:rsidRDefault="00D746E1" w:rsidP="00182362">
      <w:r>
        <w:t xml:space="preserve">The single resolution fund, entirely financed by banks, is being set up for possible intervention in resolution cases along with the bail-in of </w:t>
      </w:r>
      <w:r w:rsidR="00182362">
        <w:t>investors</w:t>
      </w:r>
      <w:r>
        <w:t>. It will be built up over eight years to reach a target level of at least 1% of the covered deposits of all credit institutions in the participating member states. It is estimated that this will amount to about €55bn.</w:t>
      </w:r>
    </w:p>
    <w:p w:rsidR="00D746E1" w:rsidRDefault="00D746E1" w:rsidP="00D746E1">
      <w:r>
        <w:br w:type="page"/>
      </w:r>
      <w:r>
        <w:lastRenderedPageBreak/>
        <w:t>The intergovernmental agreement on the SRF contains provisions on the transfer and the mutualisation of contributions to the fund.</w:t>
      </w:r>
    </w:p>
    <w:p w:rsidR="00D746E1" w:rsidRDefault="00D746E1" w:rsidP="000827BC">
      <w:r>
        <w:t>The single resolution board will be responsible for putting into place a resolution scheme in the event of a bank being placed in resolution. It will determine the resolution tools to be applied, and decide on the use of the single resolution fund. The board's six full-time members were appointed in December 2014, and Elke König took office as president of the board on 1 March 2015.</w:t>
      </w:r>
    </w:p>
    <w:p w:rsidR="00D746E1" w:rsidRDefault="00D746E1" w:rsidP="00D746E1">
      <w:r>
        <w:t>The bank recovery and resolution directive identifies the powers and instruments at the disposal of national authorities to resolve failing banks. It sets out to preserve essential bank operations and minimise taxpayers' exposure to losses during the resolution process. Adopted in May 2014, it applies to all 28 member states.</w:t>
      </w:r>
    </w:p>
    <w:p w:rsidR="00D746E1" w:rsidRDefault="00D746E1" w:rsidP="00D746E1">
      <w:r>
        <w:t>For member states participating in the banking union, national resolution funds set up under the directive as of 1 January 2015 will be replaced by the SRF as of 1 January 2016.</w:t>
      </w:r>
    </w:p>
    <w:p w:rsidR="00D746E1" w:rsidRDefault="00D746E1" w:rsidP="000827BC">
      <w:r>
        <w:t>The directive on deposit guarantee schemes (DGS) requires all banks to join a DGS so that deposits of up to €100 000 are protected,</w:t>
      </w:r>
      <w:r w:rsidR="000827BC">
        <w:t xml:space="preserve"> moreover it </w:t>
      </w:r>
      <w:r>
        <w:t>sets requirements for supervision and for regular stress tests of such schemes.</w:t>
      </w:r>
    </w:p>
    <w:p w:rsidR="00D746E1" w:rsidRPr="00337CD5" w:rsidRDefault="00D746E1" w:rsidP="00337CD5">
      <w:pPr>
        <w:pStyle w:val="ItemDebated"/>
      </w:pPr>
      <w:r>
        <w:br w:type="page"/>
      </w:r>
      <w:bookmarkStart w:id="7" w:name="_Toc431911594"/>
      <w:r w:rsidR="00337CD5" w:rsidRPr="00337CD5">
        <w:lastRenderedPageBreak/>
        <w:t>CAPITAL MARKETS UNION</w:t>
      </w:r>
      <w:bookmarkEnd w:id="7"/>
    </w:p>
    <w:p w:rsidR="00D746E1" w:rsidRDefault="00D746E1" w:rsidP="00422B47">
      <w:pPr>
        <w:rPr>
          <w:bCs/>
          <w:snapToGrid w:val="0"/>
        </w:rPr>
      </w:pPr>
      <w:r w:rsidRPr="00EA5572">
        <w:rPr>
          <w:bCs/>
          <w:snapToGrid w:val="0"/>
        </w:rPr>
        <w:t xml:space="preserve">The </w:t>
      </w:r>
      <w:r>
        <w:rPr>
          <w:bCs/>
          <w:snapToGrid w:val="0"/>
        </w:rPr>
        <w:t>Commission presented an action plan for</w:t>
      </w:r>
      <w:r w:rsidRPr="00EA5572">
        <w:rPr>
          <w:bCs/>
          <w:snapToGrid w:val="0"/>
        </w:rPr>
        <w:t xml:space="preserve"> the development of a capital markets union</w:t>
      </w:r>
      <w:r>
        <w:rPr>
          <w:bCs/>
          <w:snapToGrid w:val="0"/>
        </w:rPr>
        <w:t xml:space="preserve"> (CMU)</w:t>
      </w:r>
      <w:r w:rsidR="00422B47">
        <w:rPr>
          <w:bCs/>
          <w:snapToGrid w:val="0"/>
        </w:rPr>
        <w:t>.</w:t>
      </w:r>
    </w:p>
    <w:p w:rsidR="00D746E1" w:rsidRPr="00B82E4E" w:rsidRDefault="00D746E1" w:rsidP="000827BC">
      <w:r>
        <w:t>The p</w:t>
      </w:r>
      <w:r w:rsidRPr="00B82E4E">
        <w:t>residency</w:t>
      </w:r>
      <w:r>
        <w:t xml:space="preserve"> indicated that it</w:t>
      </w:r>
      <w:r w:rsidRPr="00B82E4E">
        <w:t xml:space="preserve"> is committed to making quick progress on the </w:t>
      </w:r>
      <w:r>
        <w:t>p</w:t>
      </w:r>
      <w:r w:rsidRPr="00B82E4E">
        <w:t>roposal on securitisation</w:t>
      </w:r>
      <w:r>
        <w:t>,</w:t>
      </w:r>
      <w:r w:rsidRPr="00B82E4E">
        <w:t xml:space="preserve"> one of the key measures </w:t>
      </w:r>
      <w:r>
        <w:t xml:space="preserve">in the action plan, with </w:t>
      </w:r>
      <w:r w:rsidRPr="00B82E4E">
        <w:t xml:space="preserve">examination at </w:t>
      </w:r>
      <w:r>
        <w:t>te</w:t>
      </w:r>
      <w:r w:rsidR="000A420C">
        <w:t>chnical level due to start on 7 </w:t>
      </w:r>
      <w:r>
        <w:t>October</w:t>
      </w:r>
      <w:r w:rsidRPr="00B82E4E">
        <w:t>.</w:t>
      </w:r>
      <w:r w:rsidR="00422B47">
        <w:t xml:space="preserve"> </w:t>
      </w:r>
      <w:r w:rsidR="009923D7">
        <w:t xml:space="preserve">It </w:t>
      </w:r>
      <w:r w:rsidR="000A420C">
        <w:t>expects</w:t>
      </w:r>
      <w:r w:rsidR="009923D7">
        <w:t xml:space="preserve"> to receive proposals from the Commission </w:t>
      </w:r>
      <w:r w:rsidR="000827BC">
        <w:t xml:space="preserve">shortly </w:t>
      </w:r>
      <w:r w:rsidR="009923D7">
        <w:t xml:space="preserve">on </w:t>
      </w:r>
      <w:r w:rsidR="000A420C">
        <w:t>directives dealing with</w:t>
      </w:r>
      <w:r w:rsidR="009923D7">
        <w:t xml:space="preserve"> prospectuses and venture capital.</w:t>
      </w:r>
    </w:p>
    <w:p w:rsidR="00D746E1" w:rsidRDefault="00D746E1" w:rsidP="00D746E1">
      <w:pPr>
        <w:rPr>
          <w:bCs/>
          <w:snapToGrid w:val="0"/>
        </w:rPr>
      </w:pPr>
      <w:r w:rsidRPr="00EA5572">
        <w:rPr>
          <w:bCs/>
          <w:snapToGrid w:val="0"/>
        </w:rPr>
        <w:t>Th</w:t>
      </w:r>
      <w:r>
        <w:rPr>
          <w:bCs/>
          <w:snapToGrid w:val="0"/>
        </w:rPr>
        <w:t xml:space="preserve">e action plan, published by the Commission on 30 September 2015, is aimed at </w:t>
      </w:r>
      <w:r w:rsidRPr="00EA5572">
        <w:rPr>
          <w:bCs/>
          <w:snapToGrid w:val="0"/>
        </w:rPr>
        <w:t>establish</w:t>
      </w:r>
      <w:r>
        <w:rPr>
          <w:bCs/>
          <w:snapToGrid w:val="0"/>
        </w:rPr>
        <w:t>ing</w:t>
      </w:r>
      <w:r w:rsidRPr="00EA5572">
        <w:rPr>
          <w:bCs/>
          <w:snapToGrid w:val="0"/>
        </w:rPr>
        <w:t xml:space="preserve"> a fully functioning capital markets union in the EU by </w:t>
      </w:r>
      <w:r>
        <w:rPr>
          <w:bCs/>
          <w:snapToGrid w:val="0"/>
        </w:rPr>
        <w:t xml:space="preserve">the end of </w:t>
      </w:r>
      <w:r w:rsidRPr="00EA5572">
        <w:rPr>
          <w:bCs/>
          <w:snapToGrid w:val="0"/>
        </w:rPr>
        <w:t>2019</w:t>
      </w:r>
      <w:r>
        <w:rPr>
          <w:bCs/>
          <w:snapToGrid w:val="0"/>
        </w:rPr>
        <w:t>.</w:t>
      </w:r>
    </w:p>
    <w:p w:rsidR="00D746E1" w:rsidRDefault="00D746E1" w:rsidP="00D746E1">
      <w:pPr>
        <w:rPr>
          <w:bCs/>
          <w:snapToGrid w:val="0"/>
        </w:rPr>
      </w:pPr>
      <w:r>
        <w:rPr>
          <w:bCs/>
          <w:snapToGrid w:val="0"/>
        </w:rPr>
        <w:t xml:space="preserve">It sets out a </w:t>
      </w:r>
      <w:r w:rsidRPr="00897844">
        <w:rPr>
          <w:bCs/>
          <w:snapToGrid w:val="0"/>
        </w:rPr>
        <w:t>variety of measures to strengthen capital markets so as to attract more investment</w:t>
      </w:r>
      <w:r w:rsidRPr="00EA5572">
        <w:rPr>
          <w:bCs/>
          <w:snapToGrid w:val="0"/>
        </w:rPr>
        <w:t>, including foreign investment</w:t>
      </w:r>
      <w:r>
        <w:rPr>
          <w:bCs/>
          <w:snapToGrid w:val="0"/>
        </w:rPr>
        <w:t>,</w:t>
      </w:r>
      <w:r w:rsidRPr="00897844">
        <w:rPr>
          <w:bCs/>
          <w:snapToGrid w:val="0"/>
        </w:rPr>
        <w:t xml:space="preserve"> for </w:t>
      </w:r>
      <w:r>
        <w:rPr>
          <w:bCs/>
          <w:snapToGrid w:val="0"/>
        </w:rPr>
        <w:t xml:space="preserve">European </w:t>
      </w:r>
      <w:r w:rsidRPr="00897844">
        <w:rPr>
          <w:bCs/>
          <w:snapToGrid w:val="0"/>
        </w:rPr>
        <w:t>companies and infrastructure projects</w:t>
      </w:r>
      <w:r>
        <w:rPr>
          <w:bCs/>
          <w:snapToGrid w:val="0"/>
        </w:rPr>
        <w:t>. One of the main aims is to improve</w:t>
      </w:r>
      <w:r w:rsidRPr="00897844">
        <w:rPr>
          <w:bCs/>
          <w:snapToGrid w:val="0"/>
        </w:rPr>
        <w:t xml:space="preserve"> access to finance for </w:t>
      </w:r>
      <w:r>
        <w:rPr>
          <w:bCs/>
          <w:snapToGrid w:val="0"/>
        </w:rPr>
        <w:t xml:space="preserve">European </w:t>
      </w:r>
      <w:r w:rsidRPr="00897844">
        <w:rPr>
          <w:bCs/>
          <w:snapToGrid w:val="0"/>
        </w:rPr>
        <w:t>SMEs and start-ups, espe</w:t>
      </w:r>
      <w:r>
        <w:rPr>
          <w:bCs/>
          <w:snapToGrid w:val="0"/>
        </w:rPr>
        <w:t>cially in innovative industries</w:t>
      </w:r>
      <w:r w:rsidRPr="00897844">
        <w:rPr>
          <w:bCs/>
          <w:snapToGrid w:val="0"/>
        </w:rPr>
        <w:t>.</w:t>
      </w:r>
    </w:p>
    <w:p w:rsidR="00D746E1" w:rsidRPr="00EA5572" w:rsidRDefault="00D746E1" w:rsidP="00D746E1">
      <w:pPr>
        <w:rPr>
          <w:bCs/>
          <w:snapToGrid w:val="0"/>
        </w:rPr>
      </w:pPr>
      <w:r w:rsidRPr="00EA5572">
        <w:rPr>
          <w:bCs/>
          <w:snapToGrid w:val="0"/>
        </w:rPr>
        <w:t xml:space="preserve">The Commission considers that stronger capital markets would make the financial system more resilient to shocks, </w:t>
      </w:r>
      <w:r>
        <w:rPr>
          <w:bCs/>
          <w:snapToGrid w:val="0"/>
        </w:rPr>
        <w:t>as it would broaden</w:t>
      </w:r>
      <w:r w:rsidRPr="00EA5572">
        <w:rPr>
          <w:bCs/>
          <w:snapToGrid w:val="0"/>
        </w:rPr>
        <w:t xml:space="preserve"> the range of </w:t>
      </w:r>
      <w:r>
        <w:rPr>
          <w:bCs/>
          <w:snapToGrid w:val="0"/>
        </w:rPr>
        <w:t xml:space="preserve">available funding sources. </w:t>
      </w:r>
      <w:r w:rsidRPr="00EA5572">
        <w:rPr>
          <w:bCs/>
          <w:snapToGrid w:val="0"/>
        </w:rPr>
        <w:t>Capital markets have expanded over recent decades in Europe, but remain fragmented. Bank financing remains the predominant source of financing for businesses.</w:t>
      </w:r>
    </w:p>
    <w:p w:rsidR="00D746E1" w:rsidRDefault="00D746E1" w:rsidP="000827BC">
      <w:pPr>
        <w:rPr>
          <w:bCs/>
          <w:snapToGrid w:val="0"/>
        </w:rPr>
      </w:pPr>
      <w:r w:rsidRPr="00EA5572">
        <w:rPr>
          <w:bCs/>
          <w:snapToGrid w:val="0"/>
        </w:rPr>
        <w:t xml:space="preserve">The </w:t>
      </w:r>
      <w:r>
        <w:rPr>
          <w:bCs/>
          <w:snapToGrid w:val="0"/>
        </w:rPr>
        <w:t>CMU will include</w:t>
      </w:r>
      <w:r w:rsidRPr="00EA5572">
        <w:rPr>
          <w:bCs/>
          <w:snapToGrid w:val="0"/>
        </w:rPr>
        <w:t xml:space="preserve"> all 28 member states. It will require a number of steps, </w:t>
      </w:r>
      <w:r w:rsidR="000827BC">
        <w:rPr>
          <w:bCs/>
          <w:snapToGrid w:val="0"/>
        </w:rPr>
        <w:t>both legislative and non-legislative,</w:t>
      </w:r>
      <w:r w:rsidRPr="00EA5572">
        <w:rPr>
          <w:bCs/>
          <w:snapToGrid w:val="0"/>
        </w:rPr>
        <w:t>with action at different levels (EU, national or subnational),</w:t>
      </w:r>
      <w:r>
        <w:rPr>
          <w:bCs/>
          <w:snapToGrid w:val="0"/>
        </w:rPr>
        <w:t xml:space="preserve"> </w:t>
      </w:r>
      <w:r w:rsidRPr="00EA5572">
        <w:rPr>
          <w:bCs/>
          <w:snapToGrid w:val="0"/>
        </w:rPr>
        <w:t>depending on the issues to be addressed.</w:t>
      </w:r>
    </w:p>
    <w:p w:rsidR="00D746E1" w:rsidRPr="00337CD5" w:rsidRDefault="00D746E1" w:rsidP="00337CD5">
      <w:pPr>
        <w:pStyle w:val="ItemDebated"/>
      </w:pPr>
      <w:r>
        <w:rPr>
          <w:bCs/>
          <w:snapToGrid w:val="0"/>
        </w:rPr>
        <w:br w:type="page"/>
      </w:r>
      <w:bookmarkStart w:id="8" w:name="_Toc431911595"/>
      <w:r w:rsidR="00337CD5" w:rsidRPr="00337CD5">
        <w:lastRenderedPageBreak/>
        <w:t>EUROPEAN SEMESTER – LESSONS LEARNED</w:t>
      </w:r>
      <w:bookmarkEnd w:id="8"/>
    </w:p>
    <w:p w:rsidR="00D746E1" w:rsidRDefault="00D746E1" w:rsidP="00D746E1">
      <w:r w:rsidRPr="000F4EFE">
        <w:t>The Council discuss</w:t>
      </w:r>
      <w:r>
        <w:t>ed</w:t>
      </w:r>
      <w:r w:rsidRPr="000F4EFE">
        <w:t xml:space="preserve"> possible improvements to the "</w:t>
      </w:r>
      <w:r w:rsidRPr="000F4EFE">
        <w:rPr>
          <w:iCs/>
        </w:rPr>
        <w:t>European Semester</w:t>
      </w:r>
      <w:r w:rsidRPr="000F4EFE">
        <w:t xml:space="preserve">" policy monitoring </w:t>
      </w:r>
      <w:r>
        <w:t>process</w:t>
      </w:r>
      <w:r w:rsidRPr="000F4EFE">
        <w:t xml:space="preserve"> in the light of lessons learned from the 2015 exercise.</w:t>
      </w:r>
    </w:p>
    <w:p w:rsidR="00D746E1" w:rsidRPr="000D4507" w:rsidRDefault="00D746E1" w:rsidP="000827BC">
      <w:r>
        <w:t>It noted that</w:t>
      </w:r>
      <w:r w:rsidRPr="000D4507">
        <w:t xml:space="preserve"> </w:t>
      </w:r>
      <w:r>
        <w:t xml:space="preserve">while </w:t>
      </w:r>
      <w:r w:rsidRPr="000D4507">
        <w:t xml:space="preserve">the 2015 process </w:t>
      </w:r>
      <w:r w:rsidR="000827BC">
        <w:t xml:space="preserve">had been better than in </w:t>
      </w:r>
      <w:r w:rsidRPr="000D4507">
        <w:t>previous years</w:t>
      </w:r>
      <w:r>
        <w:t>, there wa</w:t>
      </w:r>
      <w:r w:rsidRPr="000D4507">
        <w:t xml:space="preserve">s clearly room for further </w:t>
      </w:r>
      <w:r w:rsidR="000827BC">
        <w:t>improvement</w:t>
      </w:r>
      <w:r w:rsidRPr="000D4507">
        <w:t>.</w:t>
      </w:r>
    </w:p>
    <w:p w:rsidR="00D746E1" w:rsidRPr="000F4EFE" w:rsidRDefault="00D746E1" w:rsidP="000827BC">
      <w:pPr>
        <w:autoSpaceDE w:val="0"/>
        <w:autoSpaceDN w:val="0"/>
        <w:adjustRightInd w:val="0"/>
      </w:pPr>
      <w:r>
        <w:t>The Commission is expected to make proposals for improvements</w:t>
      </w:r>
      <w:r w:rsidR="000827BC">
        <w:t xml:space="preserve"> in October 2015</w:t>
      </w:r>
      <w:r>
        <w:t xml:space="preserve">; </w:t>
      </w:r>
      <w:r w:rsidR="000827BC">
        <w:t xml:space="preserve">which </w:t>
      </w:r>
      <w:r>
        <w:t>will be discussed at a subsequent Council meeting.</w:t>
      </w:r>
    </w:p>
    <w:p w:rsidR="00D746E1" w:rsidRDefault="00D746E1" w:rsidP="00D746E1">
      <w:pPr>
        <w:autoSpaceDE w:val="0"/>
        <w:autoSpaceDN w:val="0"/>
        <w:adjustRightInd w:val="0"/>
      </w:pPr>
      <w:r w:rsidRPr="000F4EFE">
        <w:t>The European Semester</w:t>
      </w:r>
      <w:r w:rsidRPr="000F4EFE">
        <w:rPr>
          <w:i/>
          <w:iCs/>
        </w:rPr>
        <w:t xml:space="preserve"> </w:t>
      </w:r>
      <w:r w:rsidRPr="000F4EFE">
        <w:t xml:space="preserve">involves the simultaneous assessment of the member states' economic, fiscal and employment policies during a six-month period every year. </w:t>
      </w:r>
      <w:r>
        <w:t xml:space="preserve">It </w:t>
      </w:r>
      <w:r w:rsidRPr="00521637">
        <w:t>was i</w:t>
      </w:r>
      <w:r>
        <w:t>ntroduc</w:t>
      </w:r>
      <w:r w:rsidRPr="00521637">
        <w:t>ed in 2011 as part of a economic governance</w:t>
      </w:r>
      <w:r>
        <w:t xml:space="preserve"> </w:t>
      </w:r>
      <w:r w:rsidRPr="00521637">
        <w:t xml:space="preserve">reform </w:t>
      </w:r>
      <w:r>
        <w:t>undertaken in response to the euro crisis</w:t>
      </w:r>
      <w:r w:rsidRPr="00521637">
        <w:t>.</w:t>
      </w:r>
    </w:p>
    <w:p w:rsidR="00EA30BA" w:rsidRPr="00EA30BA" w:rsidRDefault="00EA30BA" w:rsidP="00EA30BA">
      <w:pPr>
        <w:pStyle w:val="ItemDebated"/>
      </w:pPr>
      <w:r>
        <w:br w:type="page"/>
      </w:r>
      <w:bookmarkStart w:id="9" w:name="_Toc431911596"/>
      <w:r w:rsidRPr="00EA30BA">
        <w:lastRenderedPageBreak/>
        <w:t>FLEXIBILITY UNDER THE STABILITY AND GROWTH PACT</w:t>
      </w:r>
      <w:bookmarkEnd w:id="9"/>
    </w:p>
    <w:p w:rsidR="00EA30BA" w:rsidRDefault="00EA30BA" w:rsidP="00BD281F">
      <w:r>
        <w:t xml:space="preserve">The Council </w:t>
      </w:r>
      <w:r w:rsidR="00BD281F">
        <w:t>discussed</w:t>
      </w:r>
      <w:r>
        <w:t xml:space="preserve"> flexibility under the Stability and Growth Pact, the EU's fiscal rulebook.</w:t>
      </w:r>
    </w:p>
    <w:p w:rsidR="00EA30BA" w:rsidRDefault="00BD281F" w:rsidP="000827BC">
      <w:r>
        <w:t>T</w:t>
      </w:r>
      <w:r w:rsidR="00EA30BA">
        <w:t xml:space="preserve">he chairman of the Economic and Financial Committee (EFC) </w:t>
      </w:r>
      <w:r>
        <w:t xml:space="preserve">reported </w:t>
      </w:r>
      <w:r w:rsidR="00EA30BA">
        <w:t>on the discussions in the EFC aimed at establishing a common position on how to interpret certain rules</w:t>
      </w:r>
      <w:r w:rsidR="00880E6B">
        <w:t xml:space="preserve"> in the pact</w:t>
      </w:r>
      <w:r w:rsidR="00EA30BA">
        <w:t>.</w:t>
      </w:r>
    </w:p>
    <w:p w:rsidR="00EA30BA" w:rsidRDefault="00EA30BA" w:rsidP="001317ED">
      <w:r>
        <w:t>In a communication issued in January 2015, the Commission set out its own interpretation, suggesting how to make the best use of flexibility allowed by the existing rules.</w:t>
      </w:r>
    </w:p>
    <w:p w:rsidR="00EA30BA" w:rsidRDefault="00EA30BA" w:rsidP="00C75473">
      <w:r>
        <w:t xml:space="preserve">Once a common position has been agreed within the Council, the code of conduct on implementation of the pact </w:t>
      </w:r>
      <w:r w:rsidR="00C75473">
        <w:t>could be amended</w:t>
      </w:r>
      <w:r>
        <w:t xml:space="preserve"> accordingly.</w:t>
      </w:r>
    </w:p>
    <w:p w:rsidR="00EA30BA" w:rsidRPr="00EA30BA" w:rsidRDefault="00EA30BA" w:rsidP="00EA30BA">
      <w:pPr>
        <w:pStyle w:val="ItemDebated"/>
      </w:pPr>
      <w:r>
        <w:br w:type="page"/>
      </w:r>
      <w:bookmarkStart w:id="10" w:name="_Toc431911597"/>
      <w:r w:rsidR="001825AA" w:rsidRPr="00EA30BA">
        <w:lastRenderedPageBreak/>
        <w:t>G20 AND IMF MEETINGS</w:t>
      </w:r>
      <w:bookmarkEnd w:id="10"/>
    </w:p>
    <w:p w:rsidR="00EA30BA" w:rsidRDefault="00EA30BA" w:rsidP="00880E6B">
      <w:r w:rsidRPr="000F4EFE">
        <w:t xml:space="preserve">The </w:t>
      </w:r>
      <w:r>
        <w:t>Council was debriefed on</w:t>
      </w:r>
      <w:r w:rsidRPr="000F4EFE">
        <w:t xml:space="preserve"> </w:t>
      </w:r>
      <w:r>
        <w:t>a G20 finance ministers meeting</w:t>
      </w:r>
      <w:r w:rsidRPr="000F4EFE">
        <w:t xml:space="preserve"> held in </w:t>
      </w:r>
      <w:r>
        <w:t xml:space="preserve">Ankara </w:t>
      </w:r>
      <w:r w:rsidRPr="000F4EFE">
        <w:t xml:space="preserve">on </w:t>
      </w:r>
      <w:r>
        <w:t>4</w:t>
      </w:r>
      <w:r w:rsidR="00880E6B">
        <w:t xml:space="preserve"> and </w:t>
      </w:r>
      <w:r>
        <w:t>5 September 2015.</w:t>
      </w:r>
    </w:p>
    <w:p w:rsidR="00EA30BA" w:rsidRDefault="00EA30BA" w:rsidP="00EA30BA">
      <w:r>
        <w:t>It endorsed terms of reference for a G20 finance ministers meeting in Lima on 8</w:t>
      </w:r>
      <w:r w:rsidRPr="000F4EFE">
        <w:t> October</w:t>
      </w:r>
      <w:r>
        <w:t> 2015. It also approved a statement to be delivered by the presidency to the International Monetary and Financial Committee (IMFC).</w:t>
      </w:r>
    </w:p>
    <w:p w:rsidR="00EA30BA" w:rsidRDefault="00EA30BA" w:rsidP="00EA30BA">
      <w:r>
        <w:t>The statement covers the world economy and its prospects and challenges, as well as IMF policy issues. The IMFC meeting will be held as part of the annual IMF meetings, in Lima during from 9 to 11 October 2015</w:t>
      </w:r>
      <w:r w:rsidRPr="000F4EFE">
        <w:t>.</w:t>
      </w:r>
    </w:p>
    <w:p w:rsidR="00DB4B80" w:rsidRPr="002B70A0" w:rsidRDefault="002B70A0" w:rsidP="00880E6B">
      <w:r>
        <w:t>The presidency encouraged those</w:t>
      </w:r>
      <w:r w:rsidR="00DB4B80">
        <w:t xml:space="preserve"> member states </w:t>
      </w:r>
      <w:r>
        <w:t xml:space="preserve">that have not yet done so </w:t>
      </w:r>
      <w:r w:rsidR="00DB4B80">
        <w:t xml:space="preserve">to provide to the Commission </w:t>
      </w:r>
      <w:r w:rsidR="00880E6B">
        <w:t>estimates</w:t>
      </w:r>
      <w:r w:rsidR="00DB4B80">
        <w:t xml:space="preserve"> for their public climate finance contributions in ti</w:t>
      </w:r>
      <w:r>
        <w:t>me for the Lima meeting.</w:t>
      </w:r>
    </w:p>
    <w:p w:rsidR="00EA30BA" w:rsidRPr="00EA30BA" w:rsidRDefault="00EA30BA" w:rsidP="00EA30BA">
      <w:pPr>
        <w:pStyle w:val="ItemDebated"/>
      </w:pPr>
      <w:r>
        <w:br w:type="page"/>
      </w:r>
      <w:bookmarkStart w:id="11" w:name="_Toc431911598"/>
      <w:r w:rsidRPr="00EA30BA">
        <w:lastRenderedPageBreak/>
        <w:t>OTHER BUSINESS</w:t>
      </w:r>
      <w:bookmarkEnd w:id="11"/>
    </w:p>
    <w:p w:rsidR="00EA30BA" w:rsidRDefault="00EA30BA" w:rsidP="00EA30BA">
      <w:pPr>
        <w:tabs>
          <w:tab w:val="left" w:pos="567"/>
        </w:tabs>
        <w:ind w:left="567" w:hanging="567"/>
        <w:rPr>
          <w:b/>
          <w:bCs/>
          <w:i/>
          <w:iCs/>
        </w:rPr>
      </w:pPr>
      <w:r>
        <w:rPr>
          <w:b/>
          <w:bCs/>
          <w:i/>
          <w:iCs/>
        </w:rPr>
        <w:t>-</w:t>
      </w:r>
      <w:r>
        <w:rPr>
          <w:b/>
          <w:bCs/>
          <w:i/>
          <w:iCs/>
        </w:rPr>
        <w:tab/>
        <w:t>Ongoing work on legislative dossiers</w:t>
      </w:r>
    </w:p>
    <w:p w:rsidR="00EA30BA" w:rsidRDefault="00EA30BA" w:rsidP="00EA30BA">
      <w:pPr>
        <w:tabs>
          <w:tab w:val="left" w:pos="567"/>
        </w:tabs>
        <w:ind w:left="567" w:hanging="567"/>
      </w:pPr>
      <w:r>
        <w:t>The Council took note of on-going legislative work on financial services dossiers.</w:t>
      </w:r>
    </w:p>
    <w:p w:rsidR="001825AA" w:rsidRPr="001825AA" w:rsidRDefault="001825AA" w:rsidP="001825AA">
      <w:pPr>
        <w:pStyle w:val="ItemDebated"/>
      </w:pPr>
      <w:bookmarkStart w:id="12" w:name="_Toc431911599"/>
      <w:r w:rsidRPr="001825AA">
        <w:t>MEETINGS IN THE MARGINS OF THE COUNCIL</w:t>
      </w:r>
      <w:bookmarkEnd w:id="12"/>
    </w:p>
    <w:p w:rsidR="001825AA" w:rsidRDefault="001825AA" w:rsidP="001825AA">
      <w:pPr>
        <w:rPr>
          <w:b/>
          <w:bCs/>
          <w:i/>
          <w:iCs/>
        </w:rPr>
      </w:pPr>
      <w:r>
        <w:rPr>
          <w:b/>
          <w:bCs/>
          <w:i/>
          <w:iCs/>
        </w:rPr>
        <w:t>-</w:t>
      </w:r>
      <w:r>
        <w:rPr>
          <w:b/>
          <w:bCs/>
          <w:i/>
          <w:iCs/>
        </w:rPr>
        <w:tab/>
        <w:t>Eurogroup</w:t>
      </w:r>
    </w:p>
    <w:p w:rsidR="001825AA" w:rsidRPr="001C16A9" w:rsidRDefault="001825AA" w:rsidP="001825AA">
      <w:r w:rsidRPr="001C16A9">
        <w:t>Ministers of the euro area</w:t>
      </w:r>
      <w:r w:rsidR="006C2B63">
        <w:t xml:space="preserve"> member states attended a meeting</w:t>
      </w:r>
      <w:r w:rsidRPr="001C16A9">
        <w:t xml:space="preserve"> of the Eurogroup on 5 October 2015.</w:t>
      </w:r>
    </w:p>
    <w:p w:rsidR="001825AA" w:rsidRPr="001C16A9" w:rsidRDefault="001825AA" w:rsidP="001825AA">
      <w:r w:rsidRPr="001C16A9">
        <w:t>They discussed the situation in Greece, services reform, fiscal policy in the current low interest rate environment, draft budgetary plans, preparation of the G7 meeting, and euro area representation in the A</w:t>
      </w:r>
      <w:r>
        <w:t xml:space="preserve">sian </w:t>
      </w:r>
      <w:r w:rsidRPr="001C16A9">
        <w:t>I</w:t>
      </w:r>
      <w:r>
        <w:t xml:space="preserve">nfrastructure </w:t>
      </w:r>
      <w:r w:rsidRPr="001C16A9">
        <w:t>I</w:t>
      </w:r>
      <w:r>
        <w:t xml:space="preserve">nvestment </w:t>
      </w:r>
      <w:r w:rsidRPr="001C16A9">
        <w:t>B</w:t>
      </w:r>
      <w:r>
        <w:t>ank</w:t>
      </w:r>
      <w:r w:rsidRPr="001C16A9">
        <w:t>.</w:t>
      </w:r>
    </w:p>
    <w:p w:rsidR="00BD281F" w:rsidRDefault="00BD281F" w:rsidP="001825AA">
      <w:pPr>
        <w:rPr>
          <w:b/>
          <w:bCs/>
          <w:i/>
          <w:iCs/>
        </w:rPr>
      </w:pPr>
      <w:r>
        <w:rPr>
          <w:b/>
          <w:bCs/>
          <w:i/>
          <w:iCs/>
        </w:rPr>
        <w:t>-</w:t>
      </w:r>
      <w:r>
        <w:rPr>
          <w:b/>
          <w:bCs/>
          <w:i/>
          <w:iCs/>
        </w:rPr>
        <w:tab/>
        <w:t>European Stability Mechanism</w:t>
      </w:r>
    </w:p>
    <w:p w:rsidR="00BD281F" w:rsidRPr="00BD281F" w:rsidRDefault="00BD281F" w:rsidP="001825AA">
      <w:r>
        <w:t>The board of governors of the European Stability Mechanism held a meeting on 5 October 2015, and the ESM board of directors met on 6 October.</w:t>
      </w:r>
    </w:p>
    <w:p w:rsidR="001825AA" w:rsidRPr="00A503F9" w:rsidRDefault="001825AA" w:rsidP="001825AA">
      <w:pPr>
        <w:rPr>
          <w:b/>
          <w:bCs/>
          <w:i/>
          <w:iCs/>
        </w:rPr>
      </w:pPr>
      <w:r>
        <w:rPr>
          <w:b/>
          <w:bCs/>
          <w:i/>
          <w:iCs/>
        </w:rPr>
        <w:t>-</w:t>
      </w:r>
      <w:r>
        <w:rPr>
          <w:b/>
          <w:bCs/>
          <w:i/>
          <w:iCs/>
        </w:rPr>
        <w:tab/>
        <w:t>Ministerial breakfast</w:t>
      </w:r>
    </w:p>
    <w:p w:rsidR="001825AA" w:rsidRPr="00F15C94" w:rsidRDefault="001825AA" w:rsidP="001825AA">
      <w:r w:rsidRPr="00F15C94">
        <w:t>Ministers held a breakfast meeting to discuss the economic situation, bridge financing under the EU's single resolution mechanism for banks, the conversion of loans in Swiss francs in Croatia and the treatment of refugee crisis spending under EU fiscal rules.</w:t>
      </w:r>
    </w:p>
    <w:p w:rsidR="00DF1265" w:rsidRDefault="00DF1265" w:rsidP="00DF1265">
      <w:pPr>
        <w:sectPr w:rsidR="00DF1265" w:rsidSect="00E742A9">
          <w:footnotePr>
            <w:numRestart w:val="eachPage"/>
          </w:footnotePr>
          <w:pgSz w:w="11907" w:h="16840" w:code="9"/>
          <w:pgMar w:top="1134" w:right="1134" w:bottom="1134" w:left="1134" w:header="567" w:footer="567" w:gutter="0"/>
          <w:cols w:space="708"/>
          <w:docGrid w:linePitch="360"/>
        </w:sectPr>
      </w:pPr>
      <w:bookmarkStart w:id="13" w:name="_GoBack"/>
      <w:bookmarkEnd w:id="13"/>
    </w:p>
    <w:p w:rsidR="00DF1265" w:rsidRDefault="00DF1265" w:rsidP="00DF1265">
      <w:pPr>
        <w:pStyle w:val="ItemsApprovedHeading"/>
      </w:pPr>
      <w:r w:rsidRPr="00DF1265">
        <w:lastRenderedPageBreak/>
        <w:t>OTHER ITEMS APPROVED</w:t>
      </w:r>
    </w:p>
    <w:p w:rsidR="00F37326" w:rsidRPr="00F37326" w:rsidRDefault="00F37326" w:rsidP="00F37326">
      <w:pPr>
        <w:pStyle w:val="ItemApproved"/>
      </w:pPr>
      <w:r w:rsidRPr="00F37326">
        <w:t>EXPORT CREDIT</w:t>
      </w:r>
    </w:p>
    <w:p w:rsidR="00F37326" w:rsidRPr="00F37326" w:rsidRDefault="00F37326" w:rsidP="00F37326">
      <w:pPr>
        <w:pStyle w:val="Sub-itemApproved"/>
      </w:pPr>
      <w:bookmarkStart w:id="14" w:name="_Toc431911601"/>
      <w:r w:rsidRPr="00F37326">
        <w:t>OECD: Export credits support for coal-fired power plants</w:t>
      </w:r>
      <w:bookmarkEnd w:id="14"/>
    </w:p>
    <w:p w:rsidR="00F37326" w:rsidRPr="00F37326" w:rsidRDefault="00F37326" w:rsidP="00F37326">
      <w:r w:rsidRPr="00F37326">
        <w:t>The Council adopted a decision on the position to be taken by the EU within the OECD export credit committees as supporting modifications of the OECD arrangement on officially supported export credits relating to coal-fired power plants.</w:t>
      </w:r>
    </w:p>
    <w:p w:rsidR="00F37326" w:rsidRDefault="00F37326" w:rsidP="00F37326">
      <w:r>
        <w:t>The revision of the OECD arrangement aims to introduce a framework for export credit support to coal-fired power plants, in order to encourage the use of climate-friendly technologies while taking into account the particular needs of less developed countries.</w:t>
      </w:r>
    </w:p>
    <w:p w:rsidR="00F37326" w:rsidRPr="00F37326" w:rsidRDefault="00F37326" w:rsidP="00F37326">
      <w:r>
        <w:t>The aim is to complete negotiations on a new framework before the 21st Conference of the Parties of the UN Framework Convention on Climate Change in Paris on 30 November to 12 December 2015.</w:t>
      </w:r>
    </w:p>
    <w:p w:rsidR="00A9350A" w:rsidRPr="00A9350A" w:rsidRDefault="00A9350A" w:rsidP="00A9350A">
      <w:pPr>
        <w:pStyle w:val="ItemApproved"/>
      </w:pPr>
      <w:r w:rsidRPr="00A9350A">
        <w:t>COMMON SECURITY AND DEFENCE POLICY</w:t>
      </w:r>
    </w:p>
    <w:p w:rsidR="00A9350A" w:rsidRPr="00A9350A" w:rsidRDefault="00A9350A" w:rsidP="00F37326">
      <w:pPr>
        <w:pStyle w:val="Sub-itemApproved"/>
      </w:pPr>
      <w:bookmarkStart w:id="15" w:name="_Toc431911603"/>
      <w:r w:rsidRPr="00A9350A">
        <w:t>EU mission on maritime capacity building in the Horn of Africa</w:t>
      </w:r>
      <w:bookmarkEnd w:id="15"/>
    </w:p>
    <w:p w:rsidR="00A9350A" w:rsidRDefault="00A9350A" w:rsidP="00880E6B">
      <w:r>
        <w:t xml:space="preserve">The Council extended the period covered by the financial reference amount for the EU mission on regional maritime capacity building in the Horn of Africa (EUCAP NESTOR) by two months, </w:t>
      </w:r>
      <w:r w:rsidR="00880E6B">
        <w:t>i.e.</w:t>
      </w:r>
      <w:r>
        <w:t xml:space="preserve"> until 15 December 2015.</w:t>
      </w:r>
    </w:p>
    <w:p w:rsidR="00A9350A" w:rsidRPr="00A9350A" w:rsidRDefault="00A9350A" w:rsidP="00A9350A">
      <w:pPr>
        <w:pStyle w:val="ItemApproved"/>
      </w:pPr>
      <w:r w:rsidRPr="00A9350A">
        <w:t>JUSTICE AND HOME AFFAIRS</w:t>
      </w:r>
    </w:p>
    <w:p w:rsidR="00A9350A" w:rsidRPr="00A9350A" w:rsidRDefault="00A9350A" w:rsidP="00A9350A">
      <w:pPr>
        <w:pStyle w:val="Sub-itemApproved"/>
      </w:pPr>
      <w:bookmarkStart w:id="16" w:name="_Toc431911605"/>
      <w:r w:rsidRPr="00A9350A">
        <w:t>Eurojust - Activity report 2014</w:t>
      </w:r>
      <w:bookmarkEnd w:id="16"/>
    </w:p>
    <w:p w:rsidR="00A9350A" w:rsidRPr="00545F8C" w:rsidRDefault="00A9350A" w:rsidP="00A9350A">
      <w:pPr>
        <w:rPr>
          <w:snapToGrid w:val="0"/>
          <w:color w:val="000000"/>
        </w:rPr>
      </w:pPr>
      <w:r>
        <w:t xml:space="preserve">The Council </w:t>
      </w:r>
      <w:r>
        <w:rPr>
          <w:snapToGrid w:val="0"/>
          <w:color w:val="000000"/>
        </w:rPr>
        <w:t>took n</w:t>
      </w:r>
      <w:r w:rsidRPr="00A846B0">
        <w:rPr>
          <w:snapToGrid w:val="0"/>
          <w:color w:val="000000"/>
        </w:rPr>
        <w:t>ote of the</w:t>
      </w:r>
      <w:r>
        <w:rPr>
          <w:snapToGrid w:val="0"/>
          <w:color w:val="000000"/>
        </w:rPr>
        <w:t xml:space="preserve"> </w:t>
      </w:r>
      <w:r w:rsidRPr="00A9350A">
        <w:t>activity report (</w:t>
      </w:r>
      <w:hyperlink r:id="rId20" w:tooltip="http://data.consilium.europa.eu/doc/document/ST-11921-2015-INIT/en/pdf" w:history="1">
        <w:r>
          <w:rPr>
            <w:rStyle w:val="Hyperlink"/>
            <w:i/>
            <w:iCs/>
          </w:rPr>
          <w:t>11921/15</w:t>
        </w:r>
      </w:hyperlink>
      <w:r w:rsidRPr="00A9350A">
        <w:t>)</w:t>
      </w:r>
      <w:r w:rsidRPr="00545F8C">
        <w:t xml:space="preserve"> of the</w:t>
      </w:r>
      <w:r>
        <w:rPr>
          <w:snapToGrid w:val="0"/>
          <w:color w:val="000000"/>
        </w:rPr>
        <w:t xml:space="preserve"> </w:t>
      </w:r>
      <w:r w:rsidRPr="00545F8C">
        <w:t>Joint Supervisory Body of</w:t>
      </w:r>
      <w:r>
        <w:rPr>
          <w:snapToGrid w:val="0"/>
          <w:color w:val="000000"/>
        </w:rPr>
        <w:t xml:space="preserve"> </w:t>
      </w:r>
      <w:r w:rsidRPr="00545F8C">
        <w:t>Eurojust for 2014</w:t>
      </w:r>
      <w:r>
        <w:t>.</w:t>
      </w:r>
    </w:p>
    <w:p w:rsidR="00A9350A" w:rsidRPr="00A9350A" w:rsidRDefault="00A9350A" w:rsidP="00A9350A">
      <w:pPr>
        <w:pStyle w:val="Sub-itemApproved"/>
      </w:pPr>
      <w:bookmarkStart w:id="17" w:name="_Toc431911606"/>
      <w:r w:rsidRPr="00A9350A">
        <w:t>UNHCR Executive Committee</w:t>
      </w:r>
      <w:bookmarkEnd w:id="17"/>
    </w:p>
    <w:p w:rsidR="00A9350A" w:rsidRDefault="00A9350A" w:rsidP="00A9350A">
      <w:r>
        <w:t xml:space="preserve">The Council adopted a </w:t>
      </w:r>
      <w:r w:rsidRPr="00A9350A">
        <w:t>decision (</w:t>
      </w:r>
      <w:hyperlink r:id="rId21" w:tooltip="http://data.consilium.europa.eu/doc/document/ST-12538-2015-INIT/en/pdf" w:history="1">
        <w:r>
          <w:rPr>
            <w:rStyle w:val="Hyperlink"/>
            <w:i/>
            <w:iCs/>
          </w:rPr>
          <w:t>12538/15</w:t>
        </w:r>
      </w:hyperlink>
      <w:r w:rsidRPr="00A9350A">
        <w:t>)</w:t>
      </w:r>
      <w:r>
        <w:t xml:space="preserve"> on the position to be adopted, on behalf of the European Union, in the sixty-sixth session of the Executive Committee of the Programme of the United Nations High Commissioner for Refugees</w:t>
      </w:r>
      <w:r w:rsidR="00880E6B">
        <w:t>.</w:t>
      </w:r>
    </w:p>
    <w:p w:rsidR="00895676" w:rsidRPr="00DF1265" w:rsidRDefault="00895676" w:rsidP="00DF1265">
      <w:pPr>
        <w:pStyle w:val="FinalLine"/>
      </w:pPr>
    </w:p>
    <w:sectPr w:rsidR="00895676" w:rsidRPr="00DF1265" w:rsidSect="00E742A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65" w:rsidRDefault="00DF1265">
      <w:pPr>
        <w:spacing w:before="0" w:after="0"/>
      </w:pPr>
      <w:r>
        <w:separator/>
      </w:r>
    </w:p>
  </w:endnote>
  <w:endnote w:type="continuationSeparator" w:id="0">
    <w:p w:rsidR="00DF1265" w:rsidRDefault="00DF12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9D" w:rsidRDefault="00D52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42A9" w:rsidRPr="007410E8" w:rsidTr="00E742A9">
      <w:trPr>
        <w:jc w:val="center"/>
      </w:trPr>
      <w:tc>
        <w:tcPr>
          <w:tcW w:w="2604" w:type="pct"/>
          <w:shd w:val="clear" w:color="auto" w:fill="auto"/>
        </w:tcPr>
        <w:p w:rsidR="00E742A9" w:rsidRPr="007410E8" w:rsidRDefault="00E742A9" w:rsidP="0035025C">
          <w:pPr>
            <w:pStyle w:val="FooterText"/>
            <w:rPr>
              <w:sz w:val="16"/>
              <w:szCs w:val="16"/>
            </w:rPr>
          </w:pPr>
          <w:bookmarkStart w:id="1" w:name="FOOTER_PR_STANDARD"/>
        </w:p>
      </w:tc>
      <w:tc>
        <w:tcPr>
          <w:tcW w:w="1319" w:type="pct"/>
          <w:shd w:val="clear" w:color="auto" w:fill="auto"/>
        </w:tcPr>
        <w:p w:rsidR="00E742A9" w:rsidRPr="007410E8" w:rsidRDefault="00E742A9" w:rsidP="0035025C">
          <w:pPr>
            <w:pStyle w:val="FooterText"/>
            <w:rPr>
              <w:sz w:val="16"/>
              <w:szCs w:val="16"/>
            </w:rPr>
          </w:pPr>
        </w:p>
      </w:tc>
      <w:tc>
        <w:tcPr>
          <w:tcW w:w="1077" w:type="pct"/>
          <w:shd w:val="clear" w:color="auto" w:fill="auto"/>
        </w:tcPr>
        <w:p w:rsidR="00E742A9" w:rsidRPr="007410E8" w:rsidRDefault="00E742A9" w:rsidP="0035025C">
          <w:pPr>
            <w:pStyle w:val="FooterText"/>
            <w:jc w:val="right"/>
            <w:rPr>
              <w:sz w:val="16"/>
              <w:szCs w:val="16"/>
            </w:rPr>
          </w:pPr>
        </w:p>
      </w:tc>
    </w:tr>
    <w:tr w:rsidR="00E742A9" w:rsidRPr="007410E8" w:rsidTr="00E742A9">
      <w:trPr>
        <w:jc w:val="center"/>
      </w:trPr>
      <w:tc>
        <w:tcPr>
          <w:tcW w:w="2604" w:type="pct"/>
          <w:shd w:val="clear" w:color="auto" w:fill="auto"/>
        </w:tcPr>
        <w:p w:rsidR="00E742A9" w:rsidRPr="007410E8" w:rsidRDefault="00E742A9" w:rsidP="0035025C">
          <w:pPr>
            <w:pStyle w:val="FooterText"/>
            <w:rPr>
              <w:sz w:val="16"/>
            </w:rPr>
          </w:pPr>
          <w:r>
            <w:t>12672/15</w:t>
          </w:r>
          <w:r w:rsidRPr="002511D8">
            <w:t xml:space="preserve"> </w:t>
          </w:r>
        </w:p>
      </w:tc>
      <w:tc>
        <w:tcPr>
          <w:tcW w:w="1319" w:type="pct"/>
          <w:shd w:val="clear" w:color="auto" w:fill="auto"/>
        </w:tcPr>
        <w:p w:rsidR="00E742A9" w:rsidRPr="007410E8" w:rsidRDefault="00E742A9" w:rsidP="0035025C">
          <w:pPr>
            <w:pStyle w:val="FooterText"/>
            <w:rPr>
              <w:sz w:val="16"/>
            </w:rPr>
          </w:pPr>
        </w:p>
      </w:tc>
      <w:tc>
        <w:tcPr>
          <w:tcW w:w="1077" w:type="pct"/>
          <w:shd w:val="clear" w:color="auto" w:fill="auto"/>
        </w:tcPr>
        <w:p w:rsidR="00E742A9" w:rsidRPr="007410E8" w:rsidRDefault="00E742A9" w:rsidP="0035025C">
          <w:pPr>
            <w:pStyle w:val="FooterText"/>
            <w:jc w:val="right"/>
            <w:rPr>
              <w:sz w:val="16"/>
            </w:rPr>
          </w:pPr>
          <w:r>
            <w:fldChar w:fldCharType="begin"/>
          </w:r>
          <w:r>
            <w:instrText xml:space="preserve"> PAGE  \* MERGEFORMAT </w:instrText>
          </w:r>
          <w:r>
            <w:fldChar w:fldCharType="separate"/>
          </w:r>
          <w:r w:rsidR="00D5219D">
            <w:rPr>
              <w:noProof/>
            </w:rPr>
            <w:t>4</w:t>
          </w:r>
          <w:r>
            <w:fldChar w:fldCharType="end"/>
          </w:r>
        </w:p>
      </w:tc>
    </w:tr>
    <w:tr w:rsidR="00E742A9" w:rsidRPr="007410E8" w:rsidTr="00E742A9">
      <w:trPr>
        <w:jc w:val="center"/>
      </w:trPr>
      <w:tc>
        <w:tcPr>
          <w:tcW w:w="2604" w:type="pct"/>
          <w:shd w:val="clear" w:color="auto" w:fill="auto"/>
        </w:tcPr>
        <w:p w:rsidR="00E742A9" w:rsidRPr="007410E8" w:rsidRDefault="00E742A9" w:rsidP="0035025C">
          <w:pPr>
            <w:pStyle w:val="FooterText"/>
            <w:rPr>
              <w:sz w:val="16"/>
            </w:rPr>
          </w:pPr>
        </w:p>
      </w:tc>
      <w:tc>
        <w:tcPr>
          <w:tcW w:w="1319" w:type="pct"/>
          <w:shd w:val="clear" w:color="auto" w:fill="auto"/>
        </w:tcPr>
        <w:p w:rsidR="00E742A9" w:rsidRPr="007410E8" w:rsidRDefault="00E742A9" w:rsidP="0035025C">
          <w:pPr>
            <w:pStyle w:val="FooterText"/>
            <w:rPr>
              <w:sz w:val="16"/>
            </w:rPr>
          </w:pPr>
        </w:p>
      </w:tc>
      <w:tc>
        <w:tcPr>
          <w:tcW w:w="1077" w:type="pct"/>
          <w:shd w:val="clear" w:color="auto" w:fill="auto"/>
        </w:tcPr>
        <w:p w:rsidR="00E742A9" w:rsidRPr="007410E8" w:rsidRDefault="00E742A9" w:rsidP="0035025C">
          <w:pPr>
            <w:pStyle w:val="FooterText"/>
            <w:jc w:val="right"/>
            <w:rPr>
              <w:sz w:val="16"/>
            </w:rPr>
          </w:pPr>
          <w:r>
            <w:rPr>
              <w:b/>
              <w:position w:val="-4"/>
              <w:sz w:val="36"/>
            </w:rPr>
            <w:t>EN</w:t>
          </w:r>
        </w:p>
      </w:tc>
    </w:tr>
    <w:bookmarkEnd w:id="1"/>
  </w:tbl>
  <w:p w:rsidR="00926EAF" w:rsidRPr="00E742A9" w:rsidRDefault="00926EAF" w:rsidP="00E742A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742A9" w:rsidRPr="009C2FB3" w:rsidTr="00E742A9">
      <w:trPr>
        <w:jc w:val="center"/>
      </w:trPr>
      <w:tc>
        <w:tcPr>
          <w:tcW w:w="569" w:type="pct"/>
          <w:shd w:val="clear" w:color="auto" w:fill="auto"/>
        </w:tcPr>
        <w:p w:rsidR="00E742A9" w:rsidRPr="009C2FB3" w:rsidRDefault="00E742A9" w:rsidP="0035025C">
          <w:pPr>
            <w:pStyle w:val="FooterText"/>
          </w:pPr>
          <w:bookmarkStart w:id="2" w:name="FOOTER_PR_COVERPAGE"/>
        </w:p>
      </w:tc>
      <w:tc>
        <w:tcPr>
          <w:tcW w:w="3760" w:type="pct"/>
          <w:gridSpan w:val="3"/>
          <w:shd w:val="clear" w:color="auto" w:fill="auto"/>
          <w:noWrap/>
        </w:tcPr>
        <w:p w:rsidR="00E742A9" w:rsidRPr="00F37CD6" w:rsidRDefault="00E742A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E742A9" w:rsidRPr="009C2FB3" w:rsidRDefault="00E742A9" w:rsidP="0035025C">
          <w:pPr>
            <w:pStyle w:val="FooterText"/>
          </w:pPr>
        </w:p>
      </w:tc>
    </w:tr>
    <w:tr w:rsidR="00E742A9" w:rsidRPr="00D5219D" w:rsidTr="00E742A9">
      <w:trPr>
        <w:jc w:val="center"/>
      </w:trPr>
      <w:tc>
        <w:tcPr>
          <w:tcW w:w="5000" w:type="pct"/>
          <w:gridSpan w:val="5"/>
          <w:shd w:val="clear" w:color="auto" w:fill="auto"/>
        </w:tcPr>
        <w:p w:rsidR="00E742A9" w:rsidRPr="00E742A9" w:rsidRDefault="00E742A9" w:rsidP="0035025C">
          <w:pPr>
            <w:pStyle w:val="FooterAddressText"/>
            <w:rPr>
              <w:lang w:val="fr-BE"/>
            </w:rPr>
          </w:pPr>
        </w:p>
        <w:p w:rsidR="00E742A9" w:rsidRPr="00E742A9" w:rsidRDefault="00E742A9" w:rsidP="0035025C">
          <w:pPr>
            <w:pStyle w:val="FooterAddressText"/>
            <w:rPr>
              <w:lang w:val="fr-BE"/>
            </w:rPr>
          </w:pPr>
          <w:r w:rsidRPr="00E742A9">
            <w:rPr>
              <w:lang w:val="fr-BE"/>
            </w:rPr>
            <w:t>Rue de la Loi 175  B – 1048 BRUSSELS  Tel.: +32 (0)2 281 6319  Fax: +32 (0)2 281 8026</w:t>
          </w:r>
        </w:p>
      </w:tc>
    </w:tr>
    <w:tr w:rsidR="00E742A9" w:rsidRPr="00D5219D" w:rsidTr="00E742A9">
      <w:trPr>
        <w:jc w:val="center"/>
      </w:trPr>
      <w:tc>
        <w:tcPr>
          <w:tcW w:w="5000" w:type="pct"/>
          <w:gridSpan w:val="5"/>
          <w:shd w:val="clear" w:color="auto" w:fill="auto"/>
        </w:tcPr>
        <w:p w:rsidR="00E742A9" w:rsidRPr="00E742A9" w:rsidRDefault="00D5219D" w:rsidP="0035025C">
          <w:pPr>
            <w:pStyle w:val="FooterText"/>
            <w:jc w:val="center"/>
            <w:rPr>
              <w:sz w:val="20"/>
              <w:szCs w:val="20"/>
              <w:lang w:val="fr-BE"/>
            </w:rPr>
          </w:pPr>
          <w:hyperlink r:id="rId1" w:history="1">
            <w:r w:rsidR="00E742A9" w:rsidRPr="00E742A9">
              <w:rPr>
                <w:rStyle w:val="Hyperlink"/>
                <w:sz w:val="20"/>
                <w:lang w:val="fr-BE"/>
              </w:rPr>
              <w:t>press.office@consilium.europa.eu</w:t>
            </w:r>
          </w:hyperlink>
          <w:r w:rsidR="00E742A9" w:rsidRPr="00E742A9">
            <w:rPr>
              <w:sz w:val="20"/>
              <w:szCs w:val="20"/>
              <w:lang w:val="fr-BE"/>
            </w:rPr>
            <w:t xml:space="preserve">  </w:t>
          </w:r>
          <w:hyperlink r:id="rId2" w:history="1">
            <w:r w:rsidR="00E742A9" w:rsidRPr="00E742A9">
              <w:rPr>
                <w:rStyle w:val="Hyperlink"/>
                <w:sz w:val="20"/>
                <w:lang w:val="fr-BE"/>
              </w:rPr>
              <w:t>http://www.consilium.europa.eu/press</w:t>
            </w:r>
          </w:hyperlink>
        </w:p>
      </w:tc>
    </w:tr>
    <w:tr w:rsidR="00E742A9" w:rsidRPr="007410E8" w:rsidTr="00E742A9">
      <w:trPr>
        <w:jc w:val="center"/>
      </w:trPr>
      <w:tc>
        <w:tcPr>
          <w:tcW w:w="2604" w:type="pct"/>
          <w:gridSpan w:val="2"/>
          <w:shd w:val="clear" w:color="auto" w:fill="auto"/>
        </w:tcPr>
        <w:p w:rsidR="00E742A9" w:rsidRPr="007410E8" w:rsidRDefault="00E742A9" w:rsidP="0035025C">
          <w:pPr>
            <w:pStyle w:val="FooterText"/>
            <w:spacing w:before="60"/>
            <w:rPr>
              <w:sz w:val="16"/>
            </w:rPr>
          </w:pPr>
          <w:r>
            <w:t>12672/15</w:t>
          </w:r>
          <w:r w:rsidRPr="002511D8">
            <w:t xml:space="preserve"> </w:t>
          </w:r>
        </w:p>
      </w:tc>
      <w:tc>
        <w:tcPr>
          <w:tcW w:w="1319" w:type="pct"/>
          <w:shd w:val="clear" w:color="auto" w:fill="auto"/>
        </w:tcPr>
        <w:p w:rsidR="00E742A9" w:rsidRPr="007410E8" w:rsidRDefault="00E742A9" w:rsidP="0035025C">
          <w:pPr>
            <w:pStyle w:val="FooterText"/>
            <w:spacing w:before="120"/>
            <w:rPr>
              <w:sz w:val="16"/>
            </w:rPr>
          </w:pPr>
        </w:p>
      </w:tc>
      <w:tc>
        <w:tcPr>
          <w:tcW w:w="1077" w:type="pct"/>
          <w:gridSpan w:val="2"/>
          <w:shd w:val="clear" w:color="auto" w:fill="auto"/>
        </w:tcPr>
        <w:p w:rsidR="00E742A9" w:rsidRPr="007410E8" w:rsidRDefault="00E742A9" w:rsidP="0035025C">
          <w:pPr>
            <w:pStyle w:val="FooterText"/>
            <w:spacing w:before="60"/>
            <w:jc w:val="right"/>
            <w:rPr>
              <w:sz w:val="16"/>
            </w:rPr>
          </w:pPr>
          <w:r>
            <w:fldChar w:fldCharType="begin"/>
          </w:r>
          <w:r>
            <w:instrText xml:space="preserve"> PAGE  \* MERGEFORMAT </w:instrText>
          </w:r>
          <w:r>
            <w:fldChar w:fldCharType="separate"/>
          </w:r>
          <w:r w:rsidR="00D5219D">
            <w:rPr>
              <w:noProof/>
            </w:rPr>
            <w:t>1</w:t>
          </w:r>
          <w:r>
            <w:fldChar w:fldCharType="end"/>
          </w:r>
        </w:p>
      </w:tc>
    </w:tr>
    <w:tr w:rsidR="00E742A9" w:rsidRPr="007410E8" w:rsidTr="00E742A9">
      <w:trPr>
        <w:jc w:val="center"/>
      </w:trPr>
      <w:tc>
        <w:tcPr>
          <w:tcW w:w="2604" w:type="pct"/>
          <w:gridSpan w:val="2"/>
          <w:shd w:val="clear" w:color="auto" w:fill="auto"/>
        </w:tcPr>
        <w:p w:rsidR="00E742A9" w:rsidRPr="007410E8" w:rsidRDefault="00E742A9" w:rsidP="0035025C">
          <w:pPr>
            <w:pStyle w:val="FooterText"/>
            <w:rPr>
              <w:sz w:val="16"/>
            </w:rPr>
          </w:pPr>
        </w:p>
      </w:tc>
      <w:tc>
        <w:tcPr>
          <w:tcW w:w="1319" w:type="pct"/>
          <w:shd w:val="clear" w:color="auto" w:fill="auto"/>
        </w:tcPr>
        <w:p w:rsidR="00E742A9" w:rsidRPr="007410E8" w:rsidRDefault="00E742A9" w:rsidP="0035025C">
          <w:pPr>
            <w:pStyle w:val="FooterText"/>
            <w:rPr>
              <w:sz w:val="16"/>
            </w:rPr>
          </w:pPr>
        </w:p>
      </w:tc>
      <w:tc>
        <w:tcPr>
          <w:tcW w:w="1077" w:type="pct"/>
          <w:gridSpan w:val="2"/>
          <w:shd w:val="clear" w:color="auto" w:fill="auto"/>
        </w:tcPr>
        <w:p w:rsidR="00E742A9" w:rsidRPr="007410E8" w:rsidRDefault="00E742A9" w:rsidP="0035025C">
          <w:pPr>
            <w:pStyle w:val="FooterText"/>
            <w:jc w:val="right"/>
            <w:rPr>
              <w:sz w:val="16"/>
            </w:rPr>
          </w:pPr>
          <w:r>
            <w:rPr>
              <w:b/>
              <w:position w:val="-4"/>
              <w:sz w:val="36"/>
            </w:rPr>
            <w:t>EN</w:t>
          </w:r>
        </w:p>
      </w:tc>
    </w:tr>
    <w:bookmarkEnd w:id="2"/>
  </w:tbl>
  <w:p w:rsidR="00926EAF" w:rsidRPr="00E742A9" w:rsidRDefault="00926EAF" w:rsidP="00E742A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42A9" w:rsidRPr="007410E8" w:rsidTr="00E742A9">
      <w:trPr>
        <w:jc w:val="center"/>
      </w:trPr>
      <w:tc>
        <w:tcPr>
          <w:tcW w:w="5000" w:type="pct"/>
          <w:gridSpan w:val="3"/>
          <w:shd w:val="clear" w:color="auto" w:fill="auto"/>
        </w:tcPr>
        <w:p w:rsidR="00E742A9" w:rsidRPr="007410E8" w:rsidRDefault="00E742A9"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742A9" w:rsidRPr="007410E8" w:rsidRDefault="00E742A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742A9" w:rsidRPr="007410E8" w:rsidRDefault="00E742A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742A9" w:rsidRPr="007410E8" w:rsidRDefault="00E742A9" w:rsidP="0035025C">
          <w:pPr>
            <w:pStyle w:val="FooterText"/>
            <w:tabs>
              <w:tab w:val="left" w:pos="285"/>
              <w:tab w:val="left" w:pos="585"/>
            </w:tabs>
            <w:rPr>
              <w:sz w:val="21"/>
              <w:szCs w:val="21"/>
            </w:rPr>
          </w:pPr>
        </w:p>
      </w:tc>
    </w:tr>
    <w:tr w:rsidR="00E742A9" w:rsidRPr="007410E8" w:rsidTr="00E742A9">
      <w:trPr>
        <w:jc w:val="center"/>
      </w:trPr>
      <w:tc>
        <w:tcPr>
          <w:tcW w:w="2604" w:type="pct"/>
          <w:shd w:val="clear" w:color="auto" w:fill="auto"/>
        </w:tcPr>
        <w:p w:rsidR="00E742A9" w:rsidRPr="007410E8" w:rsidRDefault="00E742A9" w:rsidP="0035025C">
          <w:pPr>
            <w:pStyle w:val="FooterText"/>
            <w:rPr>
              <w:sz w:val="16"/>
            </w:rPr>
          </w:pPr>
          <w:r>
            <w:t>12672/15</w:t>
          </w:r>
          <w:r w:rsidRPr="002511D8">
            <w:t xml:space="preserve"> </w:t>
          </w:r>
        </w:p>
      </w:tc>
      <w:tc>
        <w:tcPr>
          <w:tcW w:w="1319" w:type="pct"/>
          <w:shd w:val="clear" w:color="auto" w:fill="auto"/>
        </w:tcPr>
        <w:p w:rsidR="00E742A9" w:rsidRPr="007410E8" w:rsidRDefault="00E742A9" w:rsidP="0035025C">
          <w:pPr>
            <w:pStyle w:val="FooterText"/>
            <w:rPr>
              <w:sz w:val="16"/>
            </w:rPr>
          </w:pPr>
        </w:p>
      </w:tc>
      <w:tc>
        <w:tcPr>
          <w:tcW w:w="1077" w:type="pct"/>
          <w:shd w:val="clear" w:color="auto" w:fill="auto"/>
        </w:tcPr>
        <w:p w:rsidR="00E742A9" w:rsidRPr="007410E8" w:rsidRDefault="00E742A9" w:rsidP="0035025C">
          <w:pPr>
            <w:pStyle w:val="FooterText"/>
            <w:jc w:val="right"/>
            <w:rPr>
              <w:sz w:val="16"/>
            </w:rPr>
          </w:pPr>
          <w:r>
            <w:fldChar w:fldCharType="begin"/>
          </w:r>
          <w:r>
            <w:instrText xml:space="preserve"> PAGE  \* MERGEFORMAT </w:instrText>
          </w:r>
          <w:r>
            <w:fldChar w:fldCharType="separate"/>
          </w:r>
          <w:r w:rsidR="00D5219D">
            <w:rPr>
              <w:noProof/>
            </w:rPr>
            <w:t>2</w:t>
          </w:r>
          <w:r>
            <w:fldChar w:fldCharType="end"/>
          </w:r>
        </w:p>
      </w:tc>
    </w:tr>
    <w:tr w:rsidR="00E742A9" w:rsidRPr="007410E8" w:rsidTr="00E742A9">
      <w:trPr>
        <w:jc w:val="center"/>
      </w:trPr>
      <w:tc>
        <w:tcPr>
          <w:tcW w:w="2604" w:type="pct"/>
          <w:shd w:val="clear" w:color="auto" w:fill="auto"/>
        </w:tcPr>
        <w:p w:rsidR="00E742A9" w:rsidRPr="007410E8" w:rsidRDefault="00E742A9" w:rsidP="0035025C">
          <w:pPr>
            <w:pStyle w:val="FooterText"/>
            <w:rPr>
              <w:sz w:val="16"/>
            </w:rPr>
          </w:pPr>
        </w:p>
      </w:tc>
      <w:tc>
        <w:tcPr>
          <w:tcW w:w="1319" w:type="pct"/>
          <w:shd w:val="clear" w:color="auto" w:fill="auto"/>
        </w:tcPr>
        <w:p w:rsidR="00E742A9" w:rsidRPr="007410E8" w:rsidRDefault="00E742A9" w:rsidP="0035025C">
          <w:pPr>
            <w:pStyle w:val="FooterText"/>
            <w:rPr>
              <w:sz w:val="16"/>
            </w:rPr>
          </w:pPr>
        </w:p>
      </w:tc>
      <w:tc>
        <w:tcPr>
          <w:tcW w:w="1077" w:type="pct"/>
          <w:shd w:val="clear" w:color="auto" w:fill="auto"/>
        </w:tcPr>
        <w:p w:rsidR="00E742A9" w:rsidRPr="007410E8" w:rsidRDefault="00E742A9" w:rsidP="0035025C">
          <w:pPr>
            <w:pStyle w:val="FooterText"/>
            <w:jc w:val="right"/>
            <w:rPr>
              <w:sz w:val="16"/>
            </w:rPr>
          </w:pPr>
          <w:r>
            <w:rPr>
              <w:b/>
              <w:position w:val="-4"/>
              <w:sz w:val="36"/>
            </w:rPr>
            <w:t>EN</w:t>
          </w:r>
        </w:p>
      </w:tc>
    </w:tr>
    <w:bookmarkEnd w:id="4"/>
  </w:tbl>
  <w:p w:rsidR="00DF1265" w:rsidRPr="00E742A9" w:rsidRDefault="00DF1265" w:rsidP="00E742A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65" w:rsidRDefault="00DF1265">
      <w:pPr>
        <w:spacing w:before="0" w:after="0"/>
      </w:pPr>
      <w:r>
        <w:separator/>
      </w:r>
    </w:p>
  </w:footnote>
  <w:footnote w:type="continuationSeparator" w:id="0">
    <w:p w:rsidR="00DF1265" w:rsidRDefault="00DF126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9D" w:rsidRDefault="00D521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9D" w:rsidRDefault="00D521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9D" w:rsidRDefault="00D521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42A9" w:rsidRPr="007410E8" w:rsidTr="00E742A9">
      <w:trPr>
        <w:jc w:val="center"/>
      </w:trPr>
      <w:tc>
        <w:tcPr>
          <w:tcW w:w="2500" w:type="pct"/>
          <w:shd w:val="clear" w:color="auto" w:fill="auto"/>
        </w:tcPr>
        <w:p w:rsidR="00E742A9" w:rsidRPr="007410E8" w:rsidRDefault="00E742A9" w:rsidP="0035025C">
          <w:pPr>
            <w:pStyle w:val="HeaderText"/>
            <w:rPr>
              <w:b/>
              <w:i/>
              <w:sz w:val="16"/>
              <w:u w:val="single"/>
            </w:rPr>
          </w:pPr>
          <w:bookmarkStart w:id="3" w:name="HEADER_PRMEET"/>
        </w:p>
      </w:tc>
      <w:tc>
        <w:tcPr>
          <w:tcW w:w="2500" w:type="pct"/>
          <w:shd w:val="clear" w:color="auto" w:fill="auto"/>
        </w:tcPr>
        <w:p w:rsidR="00E742A9" w:rsidRPr="007410E8" w:rsidRDefault="00E742A9" w:rsidP="00E742A9">
          <w:pPr>
            <w:pStyle w:val="HeaderText"/>
            <w:jc w:val="right"/>
            <w:rPr>
              <w:sz w:val="16"/>
            </w:rPr>
          </w:pPr>
          <w:r w:rsidRPr="00E742A9">
            <w:t>6 October 2015</w:t>
          </w:r>
        </w:p>
      </w:tc>
    </w:tr>
    <w:bookmarkEnd w:id="3"/>
  </w:tbl>
  <w:p w:rsidR="00DF1265" w:rsidRPr="00E742A9" w:rsidRDefault="00DF1265" w:rsidP="00E742A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42A9" w:rsidRPr="007410E8" w:rsidTr="00E742A9">
      <w:trPr>
        <w:jc w:val="center"/>
      </w:trPr>
      <w:tc>
        <w:tcPr>
          <w:tcW w:w="2500" w:type="pct"/>
          <w:shd w:val="clear" w:color="auto" w:fill="auto"/>
        </w:tcPr>
        <w:p w:rsidR="00E742A9" w:rsidRPr="007410E8" w:rsidRDefault="00E742A9" w:rsidP="0035025C">
          <w:pPr>
            <w:pStyle w:val="HeaderText"/>
            <w:rPr>
              <w:b/>
              <w:i/>
              <w:sz w:val="16"/>
              <w:u w:val="single"/>
            </w:rPr>
          </w:pPr>
        </w:p>
      </w:tc>
      <w:tc>
        <w:tcPr>
          <w:tcW w:w="2500" w:type="pct"/>
          <w:shd w:val="clear" w:color="auto" w:fill="auto"/>
        </w:tcPr>
        <w:p w:rsidR="00E742A9" w:rsidRPr="007410E8" w:rsidRDefault="00E742A9" w:rsidP="00E742A9">
          <w:pPr>
            <w:pStyle w:val="HeaderText"/>
            <w:jc w:val="right"/>
            <w:rPr>
              <w:sz w:val="16"/>
            </w:rPr>
          </w:pPr>
          <w:r w:rsidRPr="00E742A9">
            <w:t>6 October 2015</w:t>
          </w:r>
        </w:p>
      </w:tc>
    </w:tr>
  </w:tbl>
  <w:p w:rsidR="00DF1265" w:rsidRPr="00E742A9" w:rsidRDefault="00DF1265" w:rsidP="00E742A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4"/>
  </w:num>
  <w:num w:numId="3">
    <w:abstractNumId w:val="12"/>
  </w:num>
  <w:num w:numId="4">
    <w:abstractNumId w:val="6"/>
  </w:num>
  <w:num w:numId="5">
    <w:abstractNumId w:val="5"/>
  </w:num>
  <w:num w:numId="6">
    <w:abstractNumId w:val="1"/>
  </w:num>
  <w:num w:numId="7">
    <w:abstractNumId w:val="13"/>
  </w:num>
  <w:num w:numId="8">
    <w:abstractNumId w:val="2"/>
  </w:num>
  <w:num w:numId="9">
    <w:abstractNumId w:val="3"/>
  </w:num>
  <w:num w:numId="10">
    <w:abstractNumId w:val="11"/>
  </w:num>
  <w:num w:numId="11">
    <w:abstractNumId w:val="8"/>
  </w:num>
  <w:num w:numId="12">
    <w:abstractNumId w:val="0"/>
  </w:num>
  <w:num w:numId="13">
    <w:abstractNumId w:val="14"/>
  </w:num>
  <w:num w:numId="14">
    <w:abstractNumId w:val="10"/>
  </w:num>
  <w:num w:numId="15">
    <w:abstractNumId w:val="9"/>
  </w:num>
  <w:num w:numId="16">
    <w:abstractNumId w:val="7"/>
  </w:num>
  <w:num w:numId="17">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15cfd674-7527-4a66-9c6a-896fc8f6f89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267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7&lt;/text&gt;_x000d__x000a_      &lt;text&gt;PR CO 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Luxembourg &quot; name=&quot;Pierre Gramegna&quot; text=&quot;Pierre Gramegna, Minister for Finance of Luxembourg &quot; genderKeyBds=&quot;gend_01&quot; /&gt;_x000d__x000a_    &lt;/presidents&gt;_x000d__x000a_  &lt;/metadata&gt;_x000d__x000a_  &lt;metadata key=&quot;md_MeetingNumber&quot;&gt;_x000d__x000a_    &lt;text&gt;3413th Council meeeting&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0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DF1265"/>
    <w:rsid w:val="00035E1C"/>
    <w:rsid w:val="000827BC"/>
    <w:rsid w:val="00084D10"/>
    <w:rsid w:val="000A420C"/>
    <w:rsid w:val="000A63B0"/>
    <w:rsid w:val="001317ED"/>
    <w:rsid w:val="00182362"/>
    <w:rsid w:val="001825AA"/>
    <w:rsid w:val="00253030"/>
    <w:rsid w:val="002B70A0"/>
    <w:rsid w:val="00337CD5"/>
    <w:rsid w:val="003946C8"/>
    <w:rsid w:val="00396EBF"/>
    <w:rsid w:val="00422B47"/>
    <w:rsid w:val="005348B7"/>
    <w:rsid w:val="00546259"/>
    <w:rsid w:val="005A4705"/>
    <w:rsid w:val="0064763E"/>
    <w:rsid w:val="006A56D8"/>
    <w:rsid w:val="006C2B63"/>
    <w:rsid w:val="006E2F9D"/>
    <w:rsid w:val="006F4E9F"/>
    <w:rsid w:val="008207D7"/>
    <w:rsid w:val="008774FD"/>
    <w:rsid w:val="00880E6B"/>
    <w:rsid w:val="00895676"/>
    <w:rsid w:val="00926EAF"/>
    <w:rsid w:val="009305B2"/>
    <w:rsid w:val="009923D7"/>
    <w:rsid w:val="009B66EC"/>
    <w:rsid w:val="009D436E"/>
    <w:rsid w:val="00A33747"/>
    <w:rsid w:val="00A36655"/>
    <w:rsid w:val="00A67613"/>
    <w:rsid w:val="00A76CDC"/>
    <w:rsid w:val="00A9350A"/>
    <w:rsid w:val="00AB2F2D"/>
    <w:rsid w:val="00B03546"/>
    <w:rsid w:val="00B34272"/>
    <w:rsid w:val="00BD281F"/>
    <w:rsid w:val="00BD54A3"/>
    <w:rsid w:val="00BE2CA6"/>
    <w:rsid w:val="00C57AAC"/>
    <w:rsid w:val="00C75473"/>
    <w:rsid w:val="00CA0D26"/>
    <w:rsid w:val="00D22D5C"/>
    <w:rsid w:val="00D311C1"/>
    <w:rsid w:val="00D45C7C"/>
    <w:rsid w:val="00D5219D"/>
    <w:rsid w:val="00D746E1"/>
    <w:rsid w:val="00D77B6B"/>
    <w:rsid w:val="00DB4B80"/>
    <w:rsid w:val="00DF1265"/>
    <w:rsid w:val="00E6681D"/>
    <w:rsid w:val="00E737DC"/>
    <w:rsid w:val="00E742A9"/>
    <w:rsid w:val="00EA30BA"/>
    <w:rsid w:val="00F37326"/>
    <w:rsid w:val="00F77FD6"/>
    <w:rsid w:val="00FC7382"/>
    <w:rsid w:val="00FE2BD4"/>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F1265"/>
    <w:pPr>
      <w:spacing w:before="0" w:after="440"/>
      <w:ind w:left="-1134" w:right="-1134"/>
    </w:pPr>
    <w:rPr>
      <w:sz w:val="2"/>
    </w:rPr>
  </w:style>
  <w:style w:type="character" w:customStyle="1" w:styleId="TechnicalBlockChar">
    <w:name w:val="Technical Block Char"/>
    <w:basedOn w:val="DefaultParagraphFont"/>
    <w:rsid w:val="00DF1265"/>
    <w:rPr>
      <w:sz w:val="24"/>
      <w:szCs w:val="24"/>
      <w:lang w:val="en-GB" w:eastAsia="en-US"/>
    </w:rPr>
  </w:style>
  <w:style w:type="character" w:customStyle="1" w:styleId="HeaderCouncilLargeChar">
    <w:name w:val="Header Council Large Char"/>
    <w:basedOn w:val="TechnicalBlockChar"/>
    <w:link w:val="HeaderCouncilLarge"/>
    <w:rsid w:val="00DF1265"/>
    <w:rPr>
      <w:sz w:val="2"/>
      <w:szCs w:val="24"/>
      <w:lang w:val="en-GB" w:eastAsia="en-US"/>
    </w:rPr>
  </w:style>
  <w:style w:type="paragraph" w:customStyle="1" w:styleId="FooterText">
    <w:name w:val="Footer Text"/>
    <w:basedOn w:val="Normal"/>
    <w:rsid w:val="00DF1265"/>
    <w:pPr>
      <w:spacing w:before="0" w:after="0"/>
    </w:pPr>
  </w:style>
  <w:style w:type="paragraph" w:customStyle="1" w:styleId="FooterAddressText">
    <w:name w:val="Footer Address Text"/>
    <w:basedOn w:val="FooterText"/>
    <w:qFormat/>
    <w:rsid w:val="00DF1265"/>
    <w:pPr>
      <w:jc w:val="center"/>
    </w:pPr>
    <w:rPr>
      <w:spacing w:val="10"/>
      <w:sz w:val="16"/>
      <w:szCs w:val="16"/>
    </w:rPr>
  </w:style>
  <w:style w:type="character" w:styleId="Hyperlink">
    <w:name w:val="Hyperlink"/>
    <w:basedOn w:val="DefaultParagraphFont"/>
    <w:uiPriority w:val="99"/>
    <w:unhideWhenUsed/>
    <w:rsid w:val="00DF1265"/>
    <w:rPr>
      <w:color w:val="0000FF" w:themeColor="hyperlink"/>
      <w:u w:val="single"/>
    </w:rPr>
  </w:style>
  <w:style w:type="paragraph" w:customStyle="1" w:styleId="HeaderText">
    <w:name w:val="Header Text"/>
    <w:basedOn w:val="Normal"/>
    <w:rsid w:val="00DF1265"/>
    <w:pPr>
      <w:spacing w:before="0" w:after="0"/>
    </w:pPr>
  </w:style>
  <w:style w:type="character" w:customStyle="1" w:styleId="Heading2Char">
    <w:name w:val="Heading 2 Char"/>
    <w:basedOn w:val="DefaultParagraphFont"/>
    <w:rsid w:val="00EA30BA"/>
    <w:rPr>
      <w:b/>
      <w:bCs/>
      <w:iCs/>
      <w:sz w:val="24"/>
      <w:szCs w:val="28"/>
      <w:lang w:val="en-GB" w:eastAsia="en-US"/>
    </w:rPr>
  </w:style>
  <w:style w:type="paragraph" w:styleId="BalloonText">
    <w:name w:val="Balloon Text"/>
    <w:basedOn w:val="Normal"/>
    <w:link w:val="BalloonTextChar"/>
    <w:uiPriority w:val="99"/>
    <w:semiHidden/>
    <w:unhideWhenUsed/>
    <w:rsid w:val="00F77F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D6"/>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sid w:val="00D5219D"/>
    <w:rPr>
      <w:sz w:val="16"/>
      <w:szCs w:val="16"/>
    </w:rPr>
  </w:style>
  <w:style w:type="paragraph" w:styleId="CommentText">
    <w:name w:val="annotation text"/>
    <w:basedOn w:val="Normal"/>
    <w:link w:val="CommentTextChar"/>
    <w:uiPriority w:val="99"/>
    <w:semiHidden/>
    <w:unhideWhenUsed/>
    <w:rsid w:val="00D5219D"/>
    <w:rPr>
      <w:sz w:val="20"/>
      <w:szCs w:val="20"/>
    </w:rPr>
  </w:style>
  <w:style w:type="character" w:customStyle="1" w:styleId="CommentTextChar">
    <w:name w:val="Comment Text Char"/>
    <w:basedOn w:val="DefaultParagraphFont"/>
    <w:link w:val="CommentText"/>
    <w:uiPriority w:val="99"/>
    <w:semiHidden/>
    <w:rsid w:val="00D5219D"/>
    <w:rPr>
      <w:lang w:val="en-GB" w:eastAsia="en-US"/>
    </w:rPr>
  </w:style>
  <w:style w:type="paragraph" w:styleId="CommentSubject">
    <w:name w:val="annotation subject"/>
    <w:basedOn w:val="CommentText"/>
    <w:next w:val="CommentText"/>
    <w:link w:val="CommentSubjectChar"/>
    <w:uiPriority w:val="99"/>
    <w:semiHidden/>
    <w:unhideWhenUsed/>
    <w:rsid w:val="00D5219D"/>
    <w:rPr>
      <w:b/>
      <w:bCs/>
    </w:rPr>
  </w:style>
  <w:style w:type="character" w:customStyle="1" w:styleId="CommentSubjectChar">
    <w:name w:val="Comment Subject Char"/>
    <w:basedOn w:val="CommentTextChar"/>
    <w:link w:val="CommentSubject"/>
    <w:uiPriority w:val="99"/>
    <w:semiHidden/>
    <w:rsid w:val="00D5219D"/>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F1265"/>
    <w:pPr>
      <w:spacing w:before="0" w:after="440"/>
      <w:ind w:left="-1134" w:right="-1134"/>
    </w:pPr>
    <w:rPr>
      <w:sz w:val="2"/>
    </w:rPr>
  </w:style>
  <w:style w:type="character" w:customStyle="1" w:styleId="TechnicalBlockChar">
    <w:name w:val="Technical Block Char"/>
    <w:basedOn w:val="DefaultParagraphFont"/>
    <w:rsid w:val="00DF1265"/>
    <w:rPr>
      <w:sz w:val="24"/>
      <w:szCs w:val="24"/>
      <w:lang w:val="en-GB" w:eastAsia="en-US"/>
    </w:rPr>
  </w:style>
  <w:style w:type="character" w:customStyle="1" w:styleId="HeaderCouncilLargeChar">
    <w:name w:val="Header Council Large Char"/>
    <w:basedOn w:val="TechnicalBlockChar"/>
    <w:link w:val="HeaderCouncilLarge"/>
    <w:rsid w:val="00DF1265"/>
    <w:rPr>
      <w:sz w:val="2"/>
      <w:szCs w:val="24"/>
      <w:lang w:val="en-GB" w:eastAsia="en-US"/>
    </w:rPr>
  </w:style>
  <w:style w:type="paragraph" w:customStyle="1" w:styleId="FooterText">
    <w:name w:val="Footer Text"/>
    <w:basedOn w:val="Normal"/>
    <w:rsid w:val="00DF1265"/>
    <w:pPr>
      <w:spacing w:before="0" w:after="0"/>
    </w:pPr>
  </w:style>
  <w:style w:type="paragraph" w:customStyle="1" w:styleId="FooterAddressText">
    <w:name w:val="Footer Address Text"/>
    <w:basedOn w:val="FooterText"/>
    <w:qFormat/>
    <w:rsid w:val="00DF1265"/>
    <w:pPr>
      <w:jc w:val="center"/>
    </w:pPr>
    <w:rPr>
      <w:spacing w:val="10"/>
      <w:sz w:val="16"/>
      <w:szCs w:val="16"/>
    </w:rPr>
  </w:style>
  <w:style w:type="character" w:styleId="Hyperlink">
    <w:name w:val="Hyperlink"/>
    <w:basedOn w:val="DefaultParagraphFont"/>
    <w:uiPriority w:val="99"/>
    <w:unhideWhenUsed/>
    <w:rsid w:val="00DF1265"/>
    <w:rPr>
      <w:color w:val="0000FF" w:themeColor="hyperlink"/>
      <w:u w:val="single"/>
    </w:rPr>
  </w:style>
  <w:style w:type="paragraph" w:customStyle="1" w:styleId="HeaderText">
    <w:name w:val="Header Text"/>
    <w:basedOn w:val="Normal"/>
    <w:rsid w:val="00DF1265"/>
    <w:pPr>
      <w:spacing w:before="0" w:after="0"/>
    </w:pPr>
  </w:style>
  <w:style w:type="character" w:customStyle="1" w:styleId="Heading2Char">
    <w:name w:val="Heading 2 Char"/>
    <w:basedOn w:val="DefaultParagraphFont"/>
    <w:rsid w:val="00EA30BA"/>
    <w:rPr>
      <w:b/>
      <w:bCs/>
      <w:iCs/>
      <w:sz w:val="24"/>
      <w:szCs w:val="28"/>
      <w:lang w:val="en-GB" w:eastAsia="en-US"/>
    </w:rPr>
  </w:style>
  <w:style w:type="paragraph" w:styleId="BalloonText">
    <w:name w:val="Balloon Text"/>
    <w:basedOn w:val="Normal"/>
    <w:link w:val="BalloonTextChar"/>
    <w:uiPriority w:val="99"/>
    <w:semiHidden/>
    <w:unhideWhenUsed/>
    <w:rsid w:val="00F77F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D6"/>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sid w:val="00D5219D"/>
    <w:rPr>
      <w:sz w:val="16"/>
      <w:szCs w:val="16"/>
    </w:rPr>
  </w:style>
  <w:style w:type="paragraph" w:styleId="CommentText">
    <w:name w:val="annotation text"/>
    <w:basedOn w:val="Normal"/>
    <w:link w:val="CommentTextChar"/>
    <w:uiPriority w:val="99"/>
    <w:semiHidden/>
    <w:unhideWhenUsed/>
    <w:rsid w:val="00D5219D"/>
    <w:rPr>
      <w:sz w:val="20"/>
      <w:szCs w:val="20"/>
    </w:rPr>
  </w:style>
  <w:style w:type="character" w:customStyle="1" w:styleId="CommentTextChar">
    <w:name w:val="Comment Text Char"/>
    <w:basedOn w:val="DefaultParagraphFont"/>
    <w:link w:val="CommentText"/>
    <w:uiPriority w:val="99"/>
    <w:semiHidden/>
    <w:rsid w:val="00D5219D"/>
    <w:rPr>
      <w:lang w:val="en-GB" w:eastAsia="en-US"/>
    </w:rPr>
  </w:style>
  <w:style w:type="paragraph" w:styleId="CommentSubject">
    <w:name w:val="annotation subject"/>
    <w:basedOn w:val="CommentText"/>
    <w:next w:val="CommentText"/>
    <w:link w:val="CommentSubjectChar"/>
    <w:uiPriority w:val="99"/>
    <w:semiHidden/>
    <w:unhideWhenUsed/>
    <w:rsid w:val="00D5219D"/>
    <w:rPr>
      <w:b/>
      <w:bCs/>
    </w:rPr>
  </w:style>
  <w:style w:type="character" w:customStyle="1" w:styleId="CommentSubjectChar">
    <w:name w:val="Comment Subject Char"/>
    <w:basedOn w:val="CommentTextChar"/>
    <w:link w:val="CommentSubject"/>
    <w:uiPriority w:val="99"/>
    <w:semiHidden/>
    <w:rsid w:val="00D5219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9812">
      <w:bodyDiv w:val="1"/>
      <w:marLeft w:val="0"/>
      <w:marRight w:val="0"/>
      <w:marTop w:val="0"/>
      <w:marBottom w:val="0"/>
      <w:divBdr>
        <w:top w:val="none" w:sz="0" w:space="0" w:color="auto"/>
        <w:left w:val="none" w:sz="0" w:space="0" w:color="auto"/>
        <w:bottom w:val="none" w:sz="0" w:space="0" w:color="auto"/>
        <w:right w:val="none" w:sz="0" w:space="0" w:color="auto"/>
      </w:divBdr>
    </w:div>
    <w:div w:id="14030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ata.consilium.europa.eu/doc/document/ST-12538-2015-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ata.consilium.europa.eu/doc/document/ST-11921-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ilium.europa.eu/en/press/press-releases/2015/10/06-cross-border-tax-ruling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B255-5067-46DF-BE2F-7959FBAE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Template>
  <TotalTime>0</TotalTime>
  <Pages>11</Pages>
  <Words>1876</Words>
  <Characters>10037</Characters>
  <Application>Microsoft Office Word</Application>
  <DocSecurity>0</DocSecurity>
  <Lines>193</Lines>
  <Paragraphs>117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GROSVENOR Tina</cp:lastModifiedBy>
  <cp:revision>3</cp:revision>
  <cp:lastPrinted>2015-10-16T14:08:00Z</cp:lastPrinted>
  <dcterms:created xsi:type="dcterms:W3CDTF">2015-10-16T14:11:00Z</dcterms:created>
  <dcterms:modified xsi:type="dcterms:W3CDTF">2015-10-16T14:11:00Z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