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DE43AD" w:rsidRDefault="003846C4" w:rsidP="00DE43A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f80c62-05ec-4e52-bafd-808909b8691c_0" style="width:568.3pt;height:493.55pt">
            <v:imagedata r:id="rId9" o:title=""/>
          </v:shape>
        </w:pict>
      </w:r>
      <w:bookmarkEnd w:id="0"/>
    </w:p>
    <w:p w:rsidR="0055546D" w:rsidRPr="00DE43AD" w:rsidRDefault="0055546D" w:rsidP="005E7C00"/>
    <w:p w:rsidR="003A6044" w:rsidRPr="00DE43AD" w:rsidRDefault="003A6044" w:rsidP="005E7C00"/>
    <w:p w:rsidR="007A1327" w:rsidRPr="00DE43AD" w:rsidRDefault="00816929" w:rsidP="005E7C00">
      <w:pPr>
        <w:pStyle w:val="PointManual"/>
        <w:spacing w:before="0"/>
      </w:pPr>
      <w:r w:rsidRPr="00DE43AD">
        <w:t>1.</w:t>
      </w:r>
      <w:r w:rsidRPr="00DE43AD">
        <w:tab/>
        <w:t>Приемане на предварителния дневен ред</w:t>
      </w:r>
    </w:p>
    <w:p w:rsidR="0055546D" w:rsidRPr="00DE43AD" w:rsidRDefault="0055546D" w:rsidP="005E7C00"/>
    <w:p w:rsidR="0065219F" w:rsidRPr="00DE43AD" w:rsidRDefault="0065219F" w:rsidP="005E7C00"/>
    <w:p w:rsidR="0065219F" w:rsidRPr="00DE43AD" w:rsidRDefault="0065219F" w:rsidP="005E7C00">
      <w:pPr>
        <w:rPr>
          <w:b/>
          <w:bCs/>
          <w:u w:val="single"/>
        </w:rPr>
      </w:pPr>
      <w:r w:rsidRPr="00DE43AD">
        <w:rPr>
          <w:b/>
          <w:u w:val="single"/>
        </w:rPr>
        <w:t>Обсъждания на законодателни актове</w:t>
      </w:r>
    </w:p>
    <w:p w:rsidR="0065219F" w:rsidRPr="00DE43AD" w:rsidRDefault="0065219F" w:rsidP="005E7C00">
      <w:pPr>
        <w:rPr>
          <w:b/>
        </w:rPr>
      </w:pPr>
      <w:r w:rsidRPr="00DE43AD">
        <w:rPr>
          <w:b/>
        </w:rPr>
        <w:t>(Открито обсъждане съгласно член 16, параграф 8 от Договора за Европейския съюз)</w:t>
      </w:r>
    </w:p>
    <w:p w:rsidR="0065219F" w:rsidRPr="00DE43AD" w:rsidRDefault="0065219F" w:rsidP="005E7C00"/>
    <w:p w:rsidR="0065219F" w:rsidRPr="00DE43AD" w:rsidRDefault="0065219F" w:rsidP="005E7C00">
      <w:pPr>
        <w:pStyle w:val="PointManual"/>
        <w:spacing w:before="0"/>
      </w:pPr>
      <w:r w:rsidRPr="00DE43AD">
        <w:t>2.</w:t>
      </w:r>
      <w:r w:rsidRPr="00DE43AD">
        <w:tab/>
        <w:t>(евентуално) Одобряване на списъка на точки А</w:t>
      </w:r>
    </w:p>
    <w:p w:rsidR="003A6044" w:rsidRPr="00DE43AD" w:rsidRDefault="003A6044" w:rsidP="005E7C00"/>
    <w:p w:rsidR="0065219F" w:rsidRPr="00DE43AD" w:rsidRDefault="0065219F" w:rsidP="005E7C00">
      <w:r w:rsidRPr="00DE43AD">
        <w:br w:type="page"/>
      </w:r>
    </w:p>
    <w:p w:rsidR="00816929" w:rsidRPr="00DE43AD" w:rsidRDefault="00816929" w:rsidP="005E7C00">
      <w:pPr>
        <w:rPr>
          <w:b/>
          <w:bCs/>
          <w:u w:val="single"/>
        </w:rPr>
      </w:pPr>
      <w:r w:rsidRPr="00DE43AD">
        <w:rPr>
          <w:b/>
          <w:u w:val="single"/>
        </w:rPr>
        <w:t>Незаконодателни дейности</w:t>
      </w:r>
    </w:p>
    <w:p w:rsidR="00816929" w:rsidRPr="00DE43AD" w:rsidRDefault="00816929" w:rsidP="005E7C00"/>
    <w:p w:rsidR="00816929" w:rsidRPr="00DE43AD" w:rsidRDefault="0065219F" w:rsidP="005E7C00">
      <w:r w:rsidRPr="00DE43AD">
        <w:t>3.</w:t>
      </w:r>
      <w:r w:rsidRPr="00DE43AD">
        <w:tab/>
        <w:t>(евентуално) Одобряване на списъка на точки А</w:t>
      </w:r>
    </w:p>
    <w:p w:rsidR="00816929" w:rsidRPr="00DE43AD" w:rsidRDefault="00816929" w:rsidP="005E7C00"/>
    <w:p w:rsidR="005E7C00" w:rsidRPr="00DE43AD" w:rsidRDefault="005E7C00" w:rsidP="005E7C00"/>
    <w:p w:rsidR="00CC7850" w:rsidRPr="00DE43AD" w:rsidRDefault="00CC7850" w:rsidP="008E5B9B">
      <w:pPr>
        <w:widowControl w:val="0"/>
        <w:rPr>
          <w:bCs/>
          <w:szCs w:val="20"/>
          <w:u w:val="single"/>
        </w:rPr>
      </w:pPr>
      <w:r w:rsidRPr="00DE43AD">
        <w:rPr>
          <w:u w:val="single"/>
        </w:rPr>
        <w:t xml:space="preserve">РИБАРСТВО </w:t>
      </w:r>
    </w:p>
    <w:p w:rsidR="00CC7850" w:rsidRPr="00DE43AD" w:rsidRDefault="00CC7850" w:rsidP="008E5B9B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CC7850" w:rsidRPr="00DE43AD" w:rsidRDefault="0065219F" w:rsidP="008E5B9B">
      <w:pPr>
        <w:pStyle w:val="PointManual"/>
        <w:spacing w:before="0"/>
        <w:rPr>
          <w:rFonts w:eastAsia="Arial Unicode MS"/>
        </w:rPr>
      </w:pPr>
      <w:r w:rsidRPr="00DE43AD">
        <w:t>4.</w:t>
      </w:r>
      <w:r w:rsidRPr="00DE43AD">
        <w:tab/>
        <w:t>Предложение за регламент на Съвета за определяне на възможностите за риболов на определени рибни запаси и групи рибни запаси, приложими в Балтийско море, за 2016 г. (*)</w:t>
      </w:r>
    </w:p>
    <w:p w:rsidR="00CC7850" w:rsidRPr="00DE43AD" w:rsidRDefault="00CC7850" w:rsidP="008E5B9B">
      <w:pPr>
        <w:pStyle w:val="Text1"/>
        <w:rPr>
          <w:rFonts w:eastAsia="Arial Unicode MS"/>
        </w:rPr>
      </w:pPr>
      <w:r w:rsidRPr="00DE43AD">
        <w:t>(правно основание, предложено от Комисията: член 43, параграф 3 от ДФЕС)</w:t>
      </w:r>
    </w:p>
    <w:p w:rsidR="00CC7850" w:rsidRPr="00DE43AD" w:rsidRDefault="00CC7850" w:rsidP="000325F3">
      <w:pPr>
        <w:pStyle w:val="Dash1"/>
        <w:numPr>
          <w:ilvl w:val="0"/>
          <w:numId w:val="1"/>
        </w:numPr>
        <w:rPr>
          <w:rFonts w:eastAsia="Calibri"/>
          <w:b/>
          <w:bCs/>
          <w:i/>
          <w:iCs/>
        </w:rPr>
      </w:pPr>
      <w:r w:rsidRPr="00DE43AD">
        <w:t xml:space="preserve">Политическо споразумение </w:t>
      </w:r>
    </w:p>
    <w:p w:rsidR="005E7C00" w:rsidRPr="00DE43AD" w:rsidRDefault="005E7C00" w:rsidP="008E5B9B">
      <w:pPr>
        <w:rPr>
          <w:rFonts w:eastAsia="Calibri" w:cs="Arial"/>
          <w:szCs w:val="22"/>
        </w:rPr>
      </w:pPr>
    </w:p>
    <w:p w:rsidR="005E7C00" w:rsidRPr="00DE43AD" w:rsidRDefault="005E7C00" w:rsidP="008E5B9B">
      <w:pPr>
        <w:rPr>
          <w:rFonts w:eastAsia="Calibri" w:cs="Arial"/>
          <w:szCs w:val="22"/>
        </w:rPr>
      </w:pPr>
    </w:p>
    <w:p w:rsidR="00CC7850" w:rsidRPr="00DE43AD" w:rsidRDefault="0065219F" w:rsidP="008E5B9B">
      <w:pPr>
        <w:pStyle w:val="PointManual"/>
        <w:spacing w:before="0"/>
      </w:pPr>
      <w:r w:rsidRPr="00DE43AD">
        <w:t>5.</w:t>
      </w:r>
      <w:r w:rsidRPr="00DE43AD">
        <w:tab/>
        <w:t>Годишни консултации ЕС—Норвегия за 2016 г.</w:t>
      </w:r>
    </w:p>
    <w:p w:rsidR="00CC7850" w:rsidRPr="00DE43AD" w:rsidRDefault="00CC7850" w:rsidP="005E7C00">
      <w:pPr>
        <w:pStyle w:val="Dash1"/>
        <w:rPr>
          <w:b/>
          <w:u w:val="single"/>
        </w:rPr>
      </w:pPr>
      <w:r w:rsidRPr="00DE43AD">
        <w:t>Обмен на мнения</w:t>
      </w:r>
    </w:p>
    <w:p w:rsidR="00816929" w:rsidRPr="00DE43AD" w:rsidRDefault="00816929" w:rsidP="005E7C00"/>
    <w:p w:rsidR="003A6044" w:rsidRPr="00DE43AD" w:rsidRDefault="003A6044" w:rsidP="005E7C00"/>
    <w:p w:rsidR="00816929" w:rsidRPr="00DE43AD" w:rsidRDefault="00816929" w:rsidP="005E7C00">
      <w:pPr>
        <w:widowControl w:val="0"/>
        <w:rPr>
          <w:bCs/>
          <w:szCs w:val="20"/>
          <w:u w:val="single"/>
        </w:rPr>
      </w:pPr>
      <w:r w:rsidRPr="00DE43AD">
        <w:rPr>
          <w:u w:val="single"/>
        </w:rPr>
        <w:t>СЕЛСКО СТОПАНСТВО</w:t>
      </w:r>
    </w:p>
    <w:p w:rsidR="0055546D" w:rsidRPr="00DE43AD" w:rsidRDefault="0055546D" w:rsidP="005E7C00"/>
    <w:p w:rsidR="005E7C00" w:rsidRPr="00DE43AD" w:rsidRDefault="005E7C00" w:rsidP="005E7C00"/>
    <w:p w:rsidR="00816929" w:rsidRPr="00DE43AD" w:rsidRDefault="00816929" w:rsidP="005E7C00">
      <w:pPr>
        <w:rPr>
          <w:b/>
          <w:bCs/>
          <w:u w:val="single"/>
        </w:rPr>
      </w:pPr>
      <w:r w:rsidRPr="00DE43AD">
        <w:rPr>
          <w:b/>
          <w:u w:val="single"/>
        </w:rPr>
        <w:t>Обсъждания на законодателни актове</w:t>
      </w:r>
    </w:p>
    <w:p w:rsidR="00816929" w:rsidRPr="00DE43AD" w:rsidRDefault="003747B0" w:rsidP="005E7C00">
      <w:pPr>
        <w:rPr>
          <w:b/>
        </w:rPr>
      </w:pPr>
      <w:r w:rsidRPr="00DE43AD">
        <w:rPr>
          <w:b/>
        </w:rPr>
        <w:t>(Открито обсъждане съгласно член 16, параграф 8 от Договора за Европейския съюз)</w:t>
      </w:r>
    </w:p>
    <w:p w:rsidR="003747B0" w:rsidRPr="00DE43AD" w:rsidRDefault="003747B0" w:rsidP="005E7C00">
      <w:pPr>
        <w:rPr>
          <w:rFonts w:eastAsia="Arial Unicode MS"/>
        </w:rPr>
      </w:pPr>
    </w:p>
    <w:p w:rsidR="0065219F" w:rsidRPr="00DE43AD" w:rsidRDefault="00CC7850" w:rsidP="005E7C00">
      <w:pPr>
        <w:pStyle w:val="PointManual"/>
        <w:spacing w:before="0"/>
        <w:rPr>
          <w:rFonts w:eastAsia="Calibri" w:cs="Arial"/>
          <w:szCs w:val="22"/>
        </w:rPr>
      </w:pPr>
      <w:r w:rsidRPr="00DE43AD">
        <w:t>6.</w:t>
      </w:r>
      <w:r w:rsidRPr="00DE43AD">
        <w:tab/>
        <w:t>(евентуално) Предложение за регламент на Европейския парламент и на Съвета относно официалния контрол и другите официални дейности, извършвани с оглед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растителния репродуктивен материал, продуктите за растителна защита и за изменение на регламенти (ЕО) № 999/2001, 1829/2003, 1831/2003, 1/2005, 396/2005, 834/2007, 1099/2009, 1069/2009, 1107/2009, регламенти (ЕС) № 1151/2012 и [….]/2013 и директиви 98/58/ЕО, 1999/74/ЕО, 2007/43/ЕО, 2008/119/ЕО, 2008/120/ЕО и 2009/128/ЕО (регламент относно официалния контрол) (</w:t>
      </w:r>
      <w:r w:rsidRPr="00DE43AD">
        <w:rPr>
          <w:b/>
        </w:rPr>
        <w:t>първо четене</w:t>
      </w:r>
      <w:r w:rsidRPr="00DE43AD">
        <w:t>) (*)</w:t>
      </w:r>
    </w:p>
    <w:p w:rsidR="00CC7850" w:rsidRPr="00DE43AD" w:rsidRDefault="0065219F" w:rsidP="008E5B9B">
      <w:pPr>
        <w:pStyle w:val="Text1"/>
        <w:rPr>
          <w:rFonts w:eastAsia="Calibri"/>
        </w:rPr>
      </w:pPr>
      <w:r w:rsidRPr="00DE43AD">
        <w:t>(правно основание, предложено от Комисията: член 43, параграф 2, член 114, параграф 1 и член 168, параграф 4 от ДФЕС)</w:t>
      </w:r>
    </w:p>
    <w:p w:rsidR="00CC7850" w:rsidRPr="00DE43AD" w:rsidRDefault="00CC7850" w:rsidP="008E5B9B">
      <w:pPr>
        <w:pStyle w:val="Text1"/>
        <w:rPr>
          <w:rFonts w:eastAsia="Calibri"/>
        </w:rPr>
      </w:pPr>
      <w:r w:rsidRPr="00DE43AD">
        <w:t>Междуинституционално досие: 2013/0140 (COD)</w:t>
      </w:r>
    </w:p>
    <w:p w:rsidR="00CC7850" w:rsidRPr="00DE43AD" w:rsidRDefault="00CC7850" w:rsidP="005E7C00">
      <w:pPr>
        <w:pStyle w:val="Dash1"/>
      </w:pPr>
      <w:r w:rsidRPr="00DE43AD">
        <w:t>Общ подход (</w:t>
      </w:r>
      <w:r w:rsidR="0065219F" w:rsidRPr="00DE43AD">
        <w:sym w:font="Symbol" w:char="F0B7"/>
      </w:r>
      <w:r w:rsidRPr="00DE43AD">
        <w:t>)</w:t>
      </w:r>
    </w:p>
    <w:p w:rsidR="003D4617" w:rsidRPr="00DE43AD" w:rsidRDefault="003D4617" w:rsidP="003D7E0D">
      <w:pPr>
        <w:rPr>
          <w:rFonts w:eastAsia="Arial Unicode MS"/>
        </w:rPr>
      </w:pPr>
    </w:p>
    <w:p w:rsidR="005E7C00" w:rsidRPr="00DE43AD" w:rsidRDefault="005E7C00" w:rsidP="003D7E0D">
      <w:pPr>
        <w:rPr>
          <w:rFonts w:eastAsia="Arial Unicode MS"/>
        </w:rPr>
      </w:pPr>
    </w:p>
    <w:p w:rsidR="00511047" w:rsidRPr="00DE43AD" w:rsidRDefault="00511047" w:rsidP="005E7C00">
      <w:pPr>
        <w:rPr>
          <w:b/>
          <w:bCs/>
          <w:u w:val="single"/>
        </w:rPr>
      </w:pPr>
      <w:r w:rsidRPr="00DE43AD">
        <w:rPr>
          <w:b/>
          <w:u w:val="single"/>
        </w:rPr>
        <w:t>Незаконодателни дейности</w:t>
      </w:r>
    </w:p>
    <w:p w:rsidR="005E7C00" w:rsidRPr="00DE43AD" w:rsidRDefault="005E7C00" w:rsidP="003D7E0D">
      <w:pPr>
        <w:rPr>
          <w:rFonts w:eastAsia="Arial Unicode MS"/>
        </w:rPr>
      </w:pPr>
    </w:p>
    <w:p w:rsidR="00511047" w:rsidRPr="00DE43AD" w:rsidRDefault="00861D85" w:rsidP="008E5B9B">
      <w:pPr>
        <w:pStyle w:val="PointManual"/>
        <w:spacing w:before="0"/>
      </w:pPr>
      <w:r w:rsidRPr="00DE43AD">
        <w:t>7.</w:t>
      </w:r>
      <w:r w:rsidRPr="00DE43AD">
        <w:tab/>
        <w:t>Към екологосъобразно селско стопанство</w:t>
      </w:r>
    </w:p>
    <w:p w:rsidR="00511047" w:rsidRPr="00DE43AD" w:rsidRDefault="00683613" w:rsidP="005E7C00">
      <w:pPr>
        <w:pStyle w:val="Dash1"/>
      </w:pPr>
      <w:r w:rsidRPr="00DE43AD">
        <w:t>Обмен на мнения</w:t>
      </w:r>
    </w:p>
    <w:p w:rsidR="005E7C00" w:rsidRPr="00DE43AD" w:rsidRDefault="005E7C00" w:rsidP="005E7C00">
      <w:pPr>
        <w:rPr>
          <w:b/>
          <w:szCs w:val="20"/>
          <w:u w:val="single"/>
        </w:rPr>
      </w:pPr>
    </w:p>
    <w:p w:rsidR="005E7C00" w:rsidRPr="00DE43AD" w:rsidRDefault="005E7C00" w:rsidP="005E7C00">
      <w:pPr>
        <w:rPr>
          <w:b/>
          <w:szCs w:val="20"/>
          <w:u w:val="single"/>
        </w:rPr>
      </w:pPr>
      <w:r w:rsidRPr="00DE43AD">
        <w:br w:type="page"/>
      </w:r>
    </w:p>
    <w:p w:rsidR="005E7C00" w:rsidRPr="00DE43AD" w:rsidRDefault="005E7C00" w:rsidP="005E7C00">
      <w:pPr>
        <w:rPr>
          <w:b/>
          <w:szCs w:val="20"/>
          <w:u w:val="single"/>
        </w:rPr>
      </w:pPr>
    </w:p>
    <w:p w:rsidR="00816929" w:rsidRPr="00DE43AD" w:rsidRDefault="00816929" w:rsidP="005E7C00">
      <w:pPr>
        <w:rPr>
          <w:b/>
          <w:szCs w:val="20"/>
          <w:u w:val="single"/>
        </w:rPr>
      </w:pPr>
      <w:r w:rsidRPr="00DE43AD">
        <w:rPr>
          <w:b/>
          <w:u w:val="single"/>
        </w:rPr>
        <w:t>Други въпроси</w:t>
      </w:r>
    </w:p>
    <w:p w:rsidR="005E7C00" w:rsidRPr="00DE43AD" w:rsidRDefault="005E7C00" w:rsidP="005E7C00">
      <w:pPr>
        <w:rPr>
          <w:rFonts w:eastAsiaTheme="minorHAnsi"/>
        </w:rPr>
      </w:pPr>
    </w:p>
    <w:p w:rsidR="00F456A6" w:rsidRPr="00DE43AD" w:rsidRDefault="005E7C00" w:rsidP="008E5B9B">
      <w:pPr>
        <w:pStyle w:val="PointDoubleManual"/>
      </w:pPr>
      <w:r w:rsidRPr="00DE43AD">
        <w:t>8.</w:t>
      </w:r>
      <w:r w:rsidRPr="00DE43AD">
        <w:tab/>
        <w:t>а)</w:t>
      </w:r>
      <w:r w:rsidRPr="00DE43AD">
        <w:tab/>
        <w:t xml:space="preserve">Използване на продукти за растителна защита, съвместими с устойчивото развитие </w:t>
      </w:r>
    </w:p>
    <w:p w:rsidR="00F456A6" w:rsidRPr="00DE43AD" w:rsidRDefault="00F456A6" w:rsidP="000325F3">
      <w:pPr>
        <w:pStyle w:val="Dash2"/>
        <w:numPr>
          <w:ilvl w:val="0"/>
          <w:numId w:val="2"/>
        </w:numPr>
        <w:rPr>
          <w:rFonts w:eastAsia="Calibri"/>
        </w:rPr>
      </w:pPr>
      <w:r w:rsidRPr="00DE43AD">
        <w:t>Информация от делегацията на Нидерландия</w:t>
      </w:r>
    </w:p>
    <w:p w:rsidR="00884021" w:rsidRPr="00DE43AD" w:rsidRDefault="00884021" w:rsidP="003D7E0D"/>
    <w:p w:rsidR="00671A38" w:rsidRPr="00DE43AD" w:rsidRDefault="00816929" w:rsidP="005E7C00">
      <w:pPr>
        <w:pStyle w:val="PointManual1"/>
        <w:rPr>
          <w:rFonts w:asciiTheme="majorBidi" w:hAnsiTheme="majorBidi" w:cstheme="majorBidi"/>
        </w:rPr>
      </w:pPr>
      <w:r w:rsidRPr="00DE43AD">
        <w:rPr>
          <w:rFonts w:asciiTheme="majorBidi" w:hAnsiTheme="majorBidi" w:cstheme="majorBidi"/>
        </w:rPr>
        <w:t>б)</w:t>
      </w:r>
      <w:r w:rsidRPr="00DE43AD">
        <w:tab/>
      </w:r>
      <w:r w:rsidRPr="00DE43AD">
        <w:rPr>
          <w:rFonts w:asciiTheme="majorBidi" w:hAnsiTheme="majorBidi" w:cstheme="majorBidi"/>
        </w:rPr>
        <w:t>Доклади на Комисията относно евентуалната необходимост от разпоредби относно напитките на млечна основа и подобни продукти, предназначени за малки деца, от една страна, и храните, предназначени за спортисти, от друга страна</w:t>
      </w:r>
    </w:p>
    <w:p w:rsidR="003747B0" w:rsidRPr="00DE43AD" w:rsidRDefault="0065219F" w:rsidP="005E7C00">
      <w:pPr>
        <w:pStyle w:val="Dash2"/>
        <w:rPr>
          <w:rFonts w:eastAsiaTheme="minorHAnsi" w:cstheme="minorBidi"/>
          <w:szCs w:val="22"/>
        </w:rPr>
      </w:pPr>
      <w:r w:rsidRPr="00DE43AD">
        <w:t>Информация от делегацията на Франция</w:t>
      </w:r>
    </w:p>
    <w:p w:rsidR="008E01D4" w:rsidRPr="00DE43AD" w:rsidRDefault="008E01D4" w:rsidP="008E5B9B">
      <w:pPr>
        <w:rPr>
          <w:rFonts w:eastAsiaTheme="minorHAnsi" w:cstheme="minorBidi"/>
          <w:szCs w:val="22"/>
        </w:rPr>
      </w:pPr>
    </w:p>
    <w:p w:rsidR="006641BF" w:rsidRPr="00DE43AD" w:rsidRDefault="00590030" w:rsidP="008E5B9B">
      <w:pPr>
        <w:pStyle w:val="PointManual1"/>
      </w:pPr>
      <w:r w:rsidRPr="00DE43AD">
        <w:t>в)</w:t>
      </w:r>
      <w:r w:rsidRPr="00DE43AD">
        <w:tab/>
        <w:t>Министерска конференция на тема „Как да се поддържа селско стопанство без ГМО в Европа“</w:t>
      </w:r>
    </w:p>
    <w:p w:rsidR="006641BF" w:rsidRPr="00DE43AD" w:rsidRDefault="006641BF" w:rsidP="008E5B9B">
      <w:pPr>
        <w:pStyle w:val="Text2"/>
      </w:pPr>
      <w:r w:rsidRPr="00DE43AD">
        <w:t>(Птуй, Словения, 21 август 2015 г.)</w:t>
      </w:r>
    </w:p>
    <w:p w:rsidR="006641BF" w:rsidRPr="00DE43AD" w:rsidRDefault="006641BF" w:rsidP="005E7C00">
      <w:pPr>
        <w:pStyle w:val="Dash2"/>
        <w:rPr>
          <w:rFonts w:eastAsiaTheme="minorHAnsi" w:cstheme="minorBidi"/>
          <w:szCs w:val="22"/>
        </w:rPr>
      </w:pPr>
      <w:r w:rsidRPr="00DE43AD">
        <w:t>Информация от делегацията на Словения</w:t>
      </w:r>
    </w:p>
    <w:p w:rsidR="00590030" w:rsidRPr="00DE43AD" w:rsidRDefault="004E0DF3" w:rsidP="008E5B9B">
      <w:pPr>
        <w:pStyle w:val="Text3"/>
        <w:rPr>
          <w:rFonts w:eastAsiaTheme="minorHAnsi"/>
        </w:rPr>
      </w:pPr>
      <w:r w:rsidRPr="00DE43AD">
        <w:t>12600/1/15 AGRI 504 ENV 600 DENLEG 127 REV 1</w:t>
      </w:r>
    </w:p>
    <w:p w:rsidR="006925C6" w:rsidRPr="00DE43AD" w:rsidRDefault="006925C6" w:rsidP="003D7E0D"/>
    <w:p w:rsidR="00BB45EB" w:rsidRPr="00DE43AD" w:rsidRDefault="00DB5EE5" w:rsidP="008E5B9B">
      <w:pPr>
        <w:pStyle w:val="PointManual1"/>
      </w:pPr>
      <w:r w:rsidRPr="00DE43AD">
        <w:t>г)</w:t>
      </w:r>
      <w:r w:rsidRPr="00DE43AD">
        <w:tab/>
        <w:t>Г-7 — Заседание на министрите на здравеопазването — Резистентност към антибиотици</w:t>
      </w:r>
    </w:p>
    <w:p w:rsidR="003A6044" w:rsidRPr="00DE43AD" w:rsidRDefault="00DB5EE5" w:rsidP="00BB45EB">
      <w:pPr>
        <w:pStyle w:val="Text2"/>
      </w:pPr>
      <w:r w:rsidRPr="00DE43AD">
        <w:t>(Берлин, 8—9 октомври 2015 г.)</w:t>
      </w:r>
    </w:p>
    <w:p w:rsidR="00884021" w:rsidRPr="00DE43AD" w:rsidRDefault="00884021" w:rsidP="005E7C00">
      <w:pPr>
        <w:pStyle w:val="Dash2"/>
        <w:rPr>
          <w:rFonts w:eastAsiaTheme="minorHAnsi"/>
        </w:rPr>
      </w:pPr>
      <w:r w:rsidRPr="00DE43AD">
        <w:t xml:space="preserve">Информация от делегацията на Германия </w:t>
      </w:r>
    </w:p>
    <w:p w:rsidR="00884021" w:rsidRPr="00DE43AD" w:rsidRDefault="00884021" w:rsidP="003D7E0D"/>
    <w:p w:rsidR="005E7C00" w:rsidRPr="00DE43AD" w:rsidRDefault="005E7C00" w:rsidP="008E5B9B">
      <w:pPr>
        <w:rPr>
          <w:i/>
        </w:rPr>
      </w:pPr>
    </w:p>
    <w:p w:rsidR="006B3193" w:rsidRPr="00DE43AD" w:rsidRDefault="006B3193" w:rsidP="008E5B9B">
      <w:pPr>
        <w:rPr>
          <w:i/>
        </w:rPr>
      </w:pPr>
    </w:p>
    <w:p w:rsidR="006B3193" w:rsidRPr="00DE43AD" w:rsidRDefault="006B3193" w:rsidP="008E5B9B">
      <w:pPr>
        <w:rPr>
          <w:i/>
        </w:rPr>
      </w:pPr>
    </w:p>
    <w:p w:rsidR="005E7C00" w:rsidRPr="00DE43AD" w:rsidRDefault="005E7C00" w:rsidP="008E5B9B">
      <w:pPr>
        <w:rPr>
          <w:i/>
        </w:rPr>
      </w:pPr>
    </w:p>
    <w:p w:rsidR="006925C6" w:rsidRPr="00DE43AD" w:rsidRDefault="0065219F" w:rsidP="008E5B9B">
      <w:pPr>
        <w:rPr>
          <w:rFonts w:eastAsiaTheme="minorHAnsi"/>
        </w:rPr>
      </w:pPr>
      <w:r w:rsidRPr="00DE43AD">
        <w:t>_______________________</w:t>
      </w:r>
    </w:p>
    <w:p w:rsidR="0065219F" w:rsidRPr="00DE43AD" w:rsidRDefault="0065219F" w:rsidP="0065219F">
      <w:r w:rsidRPr="00DE43AD">
        <w:t>(*)</w:t>
      </w:r>
      <w:r w:rsidRPr="00DE43AD">
        <w:tab/>
        <w:t>Точка, по която може да бъде поискано гласуване.</w:t>
      </w:r>
    </w:p>
    <w:p w:rsidR="0065219F" w:rsidRPr="00DE43AD" w:rsidRDefault="0065219F" w:rsidP="0065219F">
      <w:r w:rsidRPr="00DE43AD">
        <w:t>(</w:t>
      </w:r>
      <w:r w:rsidRPr="00DE43AD">
        <w:rPr>
          <w:sz w:val="20"/>
        </w:rPr>
        <w:t>●</w:t>
      </w:r>
      <w:r w:rsidRPr="00DE43AD">
        <w:t>)</w:t>
      </w:r>
      <w:r w:rsidRPr="00DE43AD">
        <w:tab/>
        <w:t xml:space="preserve">Когато приема общ подход след като Европейският парламент е приел позицията си </w:t>
      </w:r>
    </w:p>
    <w:p w:rsidR="0065219F" w:rsidRPr="00DE43AD" w:rsidRDefault="0065219F" w:rsidP="008E5B9B">
      <w:pPr>
        <w:pStyle w:val="Text1"/>
      </w:pPr>
      <w:r w:rsidRPr="00DE43AD">
        <w:t>на първо четене, Съветът не действа по смисъла на член 294, параграфи 4 и 5 от ДФЕС.</w:t>
      </w:r>
    </w:p>
    <w:p w:rsidR="007A1327" w:rsidRPr="00DE43AD" w:rsidRDefault="007A1327" w:rsidP="005E7C00">
      <w:pPr>
        <w:pStyle w:val="FinalLine"/>
        <w:spacing w:before="600" w:after="600"/>
      </w:pPr>
    </w:p>
    <w:p w:rsidR="007A1327" w:rsidRPr="00DE43AD" w:rsidRDefault="00FE694F" w:rsidP="00FE694F">
      <w:pPr>
        <w:pStyle w:val="NB"/>
      </w:pPr>
      <w:r w:rsidRPr="00DE43AD">
        <w:t>NB:</w:t>
      </w:r>
      <w:r w:rsidRPr="00DE43AD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FE694F" w:rsidRDefault="00FE694F" w:rsidP="00FE694F">
      <w:pPr>
        <w:pStyle w:val="NB"/>
      </w:pPr>
      <w:r w:rsidRPr="00DE43AD">
        <w:t>NB:</w:t>
      </w:r>
      <w:r w:rsidRPr="00DE43AD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FE694F" w:rsidSect="00384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A" w:rsidRPr="003846C4" w:rsidRDefault="006D03BA" w:rsidP="003846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846C4" w:rsidRPr="00D94637" w:rsidTr="003846C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846C4" w:rsidRPr="00D94637" w:rsidRDefault="003846C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846C4" w:rsidRPr="00B310DC" w:rsidTr="003846C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846C4" w:rsidRPr="00AD7BF2" w:rsidRDefault="003846C4" w:rsidP="004F54B2">
          <w:pPr>
            <w:pStyle w:val="FooterText"/>
          </w:pPr>
          <w:r>
            <w:t>CM 3966/15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846C4" w:rsidRPr="00AD7BF2" w:rsidRDefault="003846C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846C4" w:rsidRPr="002511D8" w:rsidRDefault="003846C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846C4" w:rsidRPr="00B310DC" w:rsidRDefault="003846C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846C4" w:rsidRPr="00D94637" w:rsidTr="003846C4">
      <w:trPr>
        <w:jc w:val="center"/>
      </w:trPr>
      <w:tc>
        <w:tcPr>
          <w:tcW w:w="1774" w:type="pct"/>
          <w:shd w:val="clear" w:color="auto" w:fill="auto"/>
        </w:tcPr>
        <w:p w:rsidR="003846C4" w:rsidRPr="00AD7BF2" w:rsidRDefault="003846C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846C4" w:rsidRPr="00AD7BF2" w:rsidRDefault="003846C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846C4" w:rsidRPr="00D94637" w:rsidRDefault="003846C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846C4" w:rsidRPr="00D94637" w:rsidRDefault="003846C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A1327" w:rsidRPr="003846C4" w:rsidRDefault="007A1327" w:rsidP="003846C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846C4" w:rsidRPr="00D94637" w:rsidTr="003846C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846C4" w:rsidRPr="00D94637" w:rsidRDefault="003846C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846C4" w:rsidRPr="00B310DC" w:rsidTr="003846C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846C4" w:rsidRPr="00AD7BF2" w:rsidRDefault="003846C4" w:rsidP="004F54B2">
          <w:pPr>
            <w:pStyle w:val="FooterText"/>
          </w:pPr>
          <w:r>
            <w:t>CM 3966/15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846C4" w:rsidRPr="00AD7BF2" w:rsidRDefault="003846C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846C4" w:rsidRPr="002511D8" w:rsidRDefault="003846C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846C4" w:rsidRPr="00B310DC" w:rsidRDefault="003846C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846C4" w:rsidRPr="00D94637" w:rsidTr="003846C4">
      <w:trPr>
        <w:jc w:val="center"/>
      </w:trPr>
      <w:tc>
        <w:tcPr>
          <w:tcW w:w="1774" w:type="pct"/>
          <w:shd w:val="clear" w:color="auto" w:fill="auto"/>
        </w:tcPr>
        <w:p w:rsidR="003846C4" w:rsidRPr="00AD7BF2" w:rsidRDefault="003846C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846C4" w:rsidRPr="00AD7BF2" w:rsidRDefault="003846C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846C4" w:rsidRPr="00D94637" w:rsidRDefault="003846C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846C4" w:rsidRPr="00D94637" w:rsidRDefault="003846C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A1327" w:rsidRPr="003846C4" w:rsidRDefault="007A1327" w:rsidP="003846C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A" w:rsidRPr="003846C4" w:rsidRDefault="006D03BA" w:rsidP="003846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A" w:rsidRPr="003846C4" w:rsidRDefault="006D03BA" w:rsidP="003846C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A" w:rsidRPr="003846C4" w:rsidRDefault="006D03BA" w:rsidP="003846C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21"/>
  </w:num>
  <w:num w:numId="23">
    <w:abstractNumId w:val="27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0"/>
  </w:num>
  <w:num w:numId="29">
    <w:abstractNumId w:val="22"/>
  </w:num>
  <w:num w:numId="30">
    <w:abstractNumId w:val="24"/>
  </w:num>
  <w:num w:numId="31">
    <w:abstractNumId w:val="19"/>
  </w:num>
  <w:num w:numId="32">
    <w:abstractNumId w:val="11"/>
  </w:num>
  <w:num w:numId="33">
    <w:abstractNumId w:val="25"/>
  </w:num>
  <w:num w:numId="34">
    <w:abstractNumId w:val="1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12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af80c62-05ec-4e52-bafd-808909b8691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6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32.2-281.9381/827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 (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Times New Roman&quot; FontSize=&quot;16&quot;&amp;gt;3418-&amp;#1086;&amp;lt;Span xml:lang=&quot;fr-fr&quot; xml:space=&quot;preserve&quot;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&amp;lt;/Span&amp;gt;&amp;lt;/Paragraph&amp;gt;&amp;lt;Paragraph Margin=&quot;0,0,0,0&quot; TextAlignment=&quot;Left&quot; FontFamily=&quot;Times New Roman&quot; FontSize=&quot;16&quot;&amp;gt;&amp;lt;Span xml:lang=&quot;fr-be&quot;&amp;gt;(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)&amp;lt;/Spa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2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325F3"/>
    <w:rsid w:val="00053F76"/>
    <w:rsid w:val="00060910"/>
    <w:rsid w:val="0009656C"/>
    <w:rsid w:val="000A006D"/>
    <w:rsid w:val="000A3058"/>
    <w:rsid w:val="000B1CD2"/>
    <w:rsid w:val="000D5EAA"/>
    <w:rsid w:val="000F720E"/>
    <w:rsid w:val="00165755"/>
    <w:rsid w:val="00182F2F"/>
    <w:rsid w:val="001C1958"/>
    <w:rsid w:val="001D06F2"/>
    <w:rsid w:val="001E3A99"/>
    <w:rsid w:val="00213F1F"/>
    <w:rsid w:val="00297E09"/>
    <w:rsid w:val="002A2AE8"/>
    <w:rsid w:val="002D321D"/>
    <w:rsid w:val="002F67DC"/>
    <w:rsid w:val="00301262"/>
    <w:rsid w:val="00301A8B"/>
    <w:rsid w:val="00337904"/>
    <w:rsid w:val="003747B0"/>
    <w:rsid w:val="003846C4"/>
    <w:rsid w:val="003A6044"/>
    <w:rsid w:val="003B40DF"/>
    <w:rsid w:val="003C6E8B"/>
    <w:rsid w:val="003D4617"/>
    <w:rsid w:val="003D4637"/>
    <w:rsid w:val="003D7E0D"/>
    <w:rsid w:val="00415A68"/>
    <w:rsid w:val="0043235D"/>
    <w:rsid w:val="00462120"/>
    <w:rsid w:val="00467015"/>
    <w:rsid w:val="004A333A"/>
    <w:rsid w:val="004C2B61"/>
    <w:rsid w:val="004C75EE"/>
    <w:rsid w:val="004E0DF3"/>
    <w:rsid w:val="004E3656"/>
    <w:rsid w:val="00511047"/>
    <w:rsid w:val="005157F5"/>
    <w:rsid w:val="00537073"/>
    <w:rsid w:val="00550C02"/>
    <w:rsid w:val="0055546D"/>
    <w:rsid w:val="005569A0"/>
    <w:rsid w:val="00586267"/>
    <w:rsid w:val="00586D35"/>
    <w:rsid w:val="00590030"/>
    <w:rsid w:val="005A6C93"/>
    <w:rsid w:val="005B2E44"/>
    <w:rsid w:val="005E7C00"/>
    <w:rsid w:val="0063379B"/>
    <w:rsid w:val="00634D61"/>
    <w:rsid w:val="0065219F"/>
    <w:rsid w:val="006641BF"/>
    <w:rsid w:val="00671A38"/>
    <w:rsid w:val="00683613"/>
    <w:rsid w:val="006925C6"/>
    <w:rsid w:val="006A38C5"/>
    <w:rsid w:val="006B3193"/>
    <w:rsid w:val="006C1AD4"/>
    <w:rsid w:val="006D03BA"/>
    <w:rsid w:val="006D3798"/>
    <w:rsid w:val="006E33E2"/>
    <w:rsid w:val="006F4741"/>
    <w:rsid w:val="007046D4"/>
    <w:rsid w:val="00745F10"/>
    <w:rsid w:val="0075756A"/>
    <w:rsid w:val="0077232D"/>
    <w:rsid w:val="007A1327"/>
    <w:rsid w:val="0081344D"/>
    <w:rsid w:val="00816929"/>
    <w:rsid w:val="00825503"/>
    <w:rsid w:val="00861D85"/>
    <w:rsid w:val="008826F8"/>
    <w:rsid w:val="00884021"/>
    <w:rsid w:val="008A30F7"/>
    <w:rsid w:val="008E01D4"/>
    <w:rsid w:val="008E5B9B"/>
    <w:rsid w:val="00915ABF"/>
    <w:rsid w:val="00936324"/>
    <w:rsid w:val="00962290"/>
    <w:rsid w:val="009731CA"/>
    <w:rsid w:val="009B37C4"/>
    <w:rsid w:val="00A24807"/>
    <w:rsid w:val="00A469D7"/>
    <w:rsid w:val="00A53618"/>
    <w:rsid w:val="00A5597A"/>
    <w:rsid w:val="00A73DC4"/>
    <w:rsid w:val="00A82EC4"/>
    <w:rsid w:val="00AA1CE8"/>
    <w:rsid w:val="00B828EF"/>
    <w:rsid w:val="00B845B4"/>
    <w:rsid w:val="00BB45EB"/>
    <w:rsid w:val="00BE1373"/>
    <w:rsid w:val="00C11587"/>
    <w:rsid w:val="00C13A7C"/>
    <w:rsid w:val="00C5245E"/>
    <w:rsid w:val="00CC7850"/>
    <w:rsid w:val="00D3460A"/>
    <w:rsid w:val="00D451E4"/>
    <w:rsid w:val="00DB57FC"/>
    <w:rsid w:val="00DB5EE5"/>
    <w:rsid w:val="00DE43AD"/>
    <w:rsid w:val="00E14B6C"/>
    <w:rsid w:val="00E33F51"/>
    <w:rsid w:val="00E4114C"/>
    <w:rsid w:val="00EF1ADC"/>
    <w:rsid w:val="00F456A6"/>
    <w:rsid w:val="00F52F39"/>
    <w:rsid w:val="00FA37B1"/>
    <w:rsid w:val="00FB3FE2"/>
    <w:rsid w:val="00FC4670"/>
    <w:rsid w:val="00FD1F63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E43A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E43A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863C-6FB3-4FF9-984F-F876F3C1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SOKOLOV Nikolay</cp:lastModifiedBy>
  <cp:revision>3</cp:revision>
  <cp:lastPrinted>2015-10-08T06:44:00Z</cp:lastPrinted>
  <dcterms:created xsi:type="dcterms:W3CDTF">2015-10-08T14:04:00Z</dcterms:created>
  <dcterms:modified xsi:type="dcterms:W3CDTF">2015-10-08T14:05:00Z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