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86" w:rsidRPr="00E4083B" w:rsidRDefault="005D5FD0" w:rsidP="00E4083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0242044-75aa-43b7-ab3d-100ae76ff9c8_0" style="width:573.2pt;height:425.45pt">
            <v:imagedata r:id="rId9" o:title=""/>
          </v:shape>
        </w:pict>
      </w:r>
      <w:bookmarkEnd w:id="0"/>
    </w:p>
    <w:p w:rsidR="004A25A1" w:rsidRDefault="004A25A1" w:rsidP="004A25A1">
      <w:pPr>
        <w:pStyle w:val="TechnicalBlock"/>
        <w:ind w:left="-1134" w:right="-1134"/>
        <w:sectPr w:rsidR="004A25A1" w:rsidSect="005D5FD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F939A9" w:rsidRDefault="00F939A9" w:rsidP="00F939A9">
      <w:pPr>
        <w:pStyle w:val="TOCHeading"/>
        <w:rPr>
          <w:noProof/>
        </w:rPr>
      </w:pPr>
      <w:r>
        <w:rPr>
          <w:noProof/>
        </w:rPr>
        <w:lastRenderedPageBreak/>
        <w:t>CONTENTS</w:t>
      </w:r>
      <w:r w:rsidRPr="00F939A9">
        <w:rPr>
          <w:noProof/>
          <w:vertAlign w:val="superscript"/>
        </w:rPr>
        <w:t>1</w:t>
      </w:r>
    </w:p>
    <w:p w:rsidR="00F939A9" w:rsidRDefault="00F939A9" w:rsidP="00F939A9">
      <w:pPr>
        <w:pStyle w:val="TOC5"/>
        <w:rPr>
          <w:noProof/>
        </w:rPr>
      </w:pPr>
      <w:r>
        <w:rPr>
          <w:noProof/>
        </w:rPr>
        <w:t>ITEMS DEBATED</w:t>
      </w:r>
    </w:p>
    <w:p w:rsidR="00F939A9" w:rsidRDefault="00F939A9" w:rsidP="00F939A9">
      <w:pPr>
        <w:pStyle w:val="TOC6"/>
        <w:rPr>
          <w:rFonts w:asciiTheme="minorHAnsi" w:eastAsiaTheme="minorEastAsia" w:hAnsiTheme="minorHAnsi" w:cstheme="minorBidi"/>
          <w:noProof/>
          <w:sz w:val="22"/>
          <w:szCs w:val="22"/>
          <w:lang w:eastAsia="en-GB"/>
        </w:rPr>
      </w:pPr>
      <w:r>
        <w:rPr>
          <w:noProof/>
        </w:rPr>
        <w:t>ITEMS DEBATED</w:t>
      </w:r>
      <w:r>
        <w:rPr>
          <w:noProof/>
        </w:rPr>
        <w:tab/>
      </w:r>
      <w:r>
        <w:rPr>
          <w:noProof/>
        </w:rPr>
        <w:fldChar w:fldCharType="begin"/>
      </w:r>
      <w:r>
        <w:rPr>
          <w:noProof/>
        </w:rPr>
        <w:instrText xml:space="preserve"> PAGEREF \h _Toc431568600 \* MERGEFORMAT </w:instrText>
      </w:r>
      <w:r>
        <w:rPr>
          <w:noProof/>
        </w:rPr>
      </w:r>
      <w:r>
        <w:rPr>
          <w:noProof/>
        </w:rPr>
        <w:fldChar w:fldCharType="separate"/>
      </w:r>
      <w:r w:rsidR="005D5FD0">
        <w:rPr>
          <w:noProof/>
        </w:rPr>
        <w:t>5</w:t>
      </w:r>
      <w:r>
        <w:rPr>
          <w:noProof/>
        </w:rPr>
        <w:fldChar w:fldCharType="end"/>
      </w:r>
    </w:p>
    <w:p w:rsidR="00F939A9" w:rsidRDefault="00F939A9" w:rsidP="00F939A9">
      <w:pPr>
        <w:pStyle w:val="TOC6"/>
        <w:keepNext/>
        <w:rPr>
          <w:rFonts w:asciiTheme="minorHAnsi" w:eastAsiaTheme="minorEastAsia" w:hAnsiTheme="minorHAnsi" w:cstheme="minorBidi"/>
          <w:noProof/>
          <w:sz w:val="22"/>
          <w:szCs w:val="22"/>
          <w:lang w:eastAsia="en-GB"/>
        </w:rPr>
      </w:pPr>
      <w:r>
        <w:rPr>
          <w:noProof/>
        </w:rPr>
        <w:t>INTERNAL MARKET AND INDUSTRY</w:t>
      </w:r>
      <w:r>
        <w:rPr>
          <w:noProof/>
        </w:rPr>
        <w:tab/>
      </w:r>
      <w:r>
        <w:rPr>
          <w:noProof/>
        </w:rPr>
        <w:fldChar w:fldCharType="begin"/>
      </w:r>
      <w:r>
        <w:rPr>
          <w:noProof/>
        </w:rPr>
        <w:instrText xml:space="preserve"> PAGEREF \h _Toc431568601 \* MERGEFORMAT </w:instrText>
      </w:r>
      <w:r>
        <w:rPr>
          <w:noProof/>
        </w:rPr>
      </w:r>
      <w:r>
        <w:rPr>
          <w:noProof/>
        </w:rPr>
        <w:fldChar w:fldCharType="separate"/>
      </w:r>
      <w:r w:rsidR="005D5FD0">
        <w:rPr>
          <w:noProof/>
        </w:rPr>
        <w:t>5</w:t>
      </w:r>
      <w:r>
        <w:rPr>
          <w:noProof/>
        </w:rPr>
        <w:fldChar w:fldCharType="end"/>
      </w:r>
    </w:p>
    <w:p w:rsidR="00F939A9" w:rsidRDefault="00F939A9" w:rsidP="00F939A9">
      <w:pPr>
        <w:pStyle w:val="TOC7"/>
        <w:keepNext/>
        <w:rPr>
          <w:rFonts w:asciiTheme="minorHAnsi" w:eastAsiaTheme="minorEastAsia" w:hAnsiTheme="minorHAnsi" w:cstheme="minorBidi"/>
          <w:noProof/>
          <w:sz w:val="22"/>
          <w:szCs w:val="22"/>
          <w:lang w:eastAsia="en-GB"/>
        </w:rPr>
      </w:pPr>
      <w:r>
        <w:rPr>
          <w:noProof/>
        </w:rPr>
        <w:t>Competitiveness "check-up": mainstreaming of competitiveness across all EU policies</w:t>
      </w:r>
      <w:r>
        <w:rPr>
          <w:noProof/>
        </w:rPr>
        <w:tab/>
      </w:r>
      <w:r>
        <w:rPr>
          <w:noProof/>
        </w:rPr>
        <w:fldChar w:fldCharType="begin"/>
      </w:r>
      <w:r>
        <w:rPr>
          <w:noProof/>
        </w:rPr>
        <w:instrText xml:space="preserve"> PAGEREF \h _Toc431568602 \* MERGEFORMAT </w:instrText>
      </w:r>
      <w:r>
        <w:rPr>
          <w:noProof/>
        </w:rPr>
      </w:r>
      <w:r>
        <w:rPr>
          <w:noProof/>
        </w:rPr>
        <w:fldChar w:fldCharType="separate"/>
      </w:r>
      <w:r w:rsidR="005D5FD0">
        <w:rPr>
          <w:noProof/>
        </w:rPr>
        <w:t>5</w:t>
      </w:r>
      <w:r>
        <w:rPr>
          <w:noProof/>
        </w:rPr>
        <w:fldChar w:fldCharType="end"/>
      </w:r>
    </w:p>
    <w:p w:rsidR="00F939A9" w:rsidRDefault="00F939A9" w:rsidP="00F939A9">
      <w:pPr>
        <w:pStyle w:val="TOC7"/>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_Toc431568603 \* MERGEFORMAT </w:instrText>
      </w:r>
      <w:r>
        <w:rPr>
          <w:noProof/>
        </w:rPr>
      </w:r>
      <w:r>
        <w:rPr>
          <w:noProof/>
        </w:rPr>
        <w:fldChar w:fldCharType="separate"/>
      </w:r>
      <w:r w:rsidR="005D5FD0">
        <w:rPr>
          <w:noProof/>
        </w:rPr>
        <w:t>7</w:t>
      </w:r>
      <w:r>
        <w:rPr>
          <w:noProof/>
        </w:rPr>
        <w:fldChar w:fldCharType="end"/>
      </w:r>
    </w:p>
    <w:p w:rsidR="00F939A9" w:rsidRDefault="00F939A9" w:rsidP="00F939A9">
      <w:pPr>
        <w:pStyle w:val="TOC9"/>
        <w:rPr>
          <w:rFonts w:asciiTheme="minorHAnsi" w:eastAsiaTheme="minorEastAsia" w:hAnsiTheme="minorHAnsi" w:cstheme="minorBidi"/>
          <w:noProof/>
          <w:sz w:val="22"/>
          <w:szCs w:val="22"/>
          <w:lang w:eastAsia="en-GB"/>
        </w:rPr>
      </w:pPr>
      <w:r>
        <w:rPr>
          <w:noProof/>
        </w:rPr>
        <w:t>Unitary patent protection system</w:t>
      </w:r>
      <w:r>
        <w:rPr>
          <w:noProof/>
        </w:rPr>
        <w:tab/>
      </w:r>
      <w:r>
        <w:rPr>
          <w:noProof/>
        </w:rPr>
        <w:fldChar w:fldCharType="begin"/>
      </w:r>
      <w:r>
        <w:rPr>
          <w:noProof/>
        </w:rPr>
        <w:instrText xml:space="preserve"> PAGEREF \h _Toc431568604 \* MERGEFORMAT </w:instrText>
      </w:r>
      <w:r>
        <w:rPr>
          <w:noProof/>
        </w:rPr>
      </w:r>
      <w:r>
        <w:rPr>
          <w:noProof/>
        </w:rPr>
        <w:fldChar w:fldCharType="separate"/>
      </w:r>
      <w:r w:rsidR="005D5FD0">
        <w:rPr>
          <w:noProof/>
        </w:rPr>
        <w:t>7</w:t>
      </w:r>
      <w:r>
        <w:rPr>
          <w:noProof/>
        </w:rPr>
        <w:fldChar w:fldCharType="end"/>
      </w:r>
    </w:p>
    <w:p w:rsidR="00F939A9" w:rsidRDefault="00F939A9" w:rsidP="00F939A9">
      <w:pPr>
        <w:pStyle w:val="TOC9"/>
        <w:rPr>
          <w:rFonts w:asciiTheme="minorHAnsi" w:eastAsiaTheme="minorEastAsia" w:hAnsiTheme="minorHAnsi" w:cstheme="minorBidi"/>
          <w:noProof/>
          <w:sz w:val="22"/>
          <w:szCs w:val="22"/>
          <w:lang w:eastAsia="en-GB"/>
        </w:rPr>
      </w:pPr>
      <w:r>
        <w:rPr>
          <w:noProof/>
        </w:rPr>
        <w:t>Accounting directive</w:t>
      </w:r>
      <w:r>
        <w:rPr>
          <w:noProof/>
        </w:rPr>
        <w:tab/>
      </w:r>
      <w:r>
        <w:rPr>
          <w:noProof/>
        </w:rPr>
        <w:fldChar w:fldCharType="begin"/>
      </w:r>
      <w:r>
        <w:rPr>
          <w:noProof/>
        </w:rPr>
        <w:instrText xml:space="preserve"> PAGEREF \h _Toc431568605 \* MERGEFORMAT </w:instrText>
      </w:r>
      <w:r>
        <w:rPr>
          <w:noProof/>
        </w:rPr>
      </w:r>
      <w:r>
        <w:rPr>
          <w:noProof/>
        </w:rPr>
        <w:fldChar w:fldCharType="separate"/>
      </w:r>
      <w:r w:rsidR="005D5FD0">
        <w:rPr>
          <w:noProof/>
        </w:rPr>
        <w:t>7</w:t>
      </w:r>
      <w:r>
        <w:rPr>
          <w:noProof/>
        </w:rPr>
        <w:fldChar w:fldCharType="end"/>
      </w:r>
    </w:p>
    <w:p w:rsidR="00F939A9" w:rsidRDefault="00F939A9" w:rsidP="00F939A9">
      <w:pPr>
        <w:pStyle w:val="TOC9"/>
        <w:rPr>
          <w:rFonts w:asciiTheme="minorHAnsi" w:eastAsiaTheme="minorEastAsia" w:hAnsiTheme="minorHAnsi" w:cstheme="minorBidi"/>
          <w:noProof/>
          <w:sz w:val="22"/>
          <w:szCs w:val="22"/>
          <w:lang w:eastAsia="en-GB"/>
        </w:rPr>
      </w:pPr>
      <w:r>
        <w:rPr>
          <w:noProof/>
        </w:rPr>
        <w:t>EU-ESA (European Space Agency) ministerial meeting</w:t>
      </w:r>
      <w:r>
        <w:rPr>
          <w:noProof/>
        </w:rPr>
        <w:tab/>
      </w:r>
      <w:r>
        <w:rPr>
          <w:noProof/>
        </w:rPr>
        <w:fldChar w:fldCharType="begin"/>
      </w:r>
      <w:r>
        <w:rPr>
          <w:noProof/>
        </w:rPr>
        <w:instrText xml:space="preserve"> PAGEREF \h _Toc431568606 \* MERGEFORMAT </w:instrText>
      </w:r>
      <w:r>
        <w:rPr>
          <w:noProof/>
        </w:rPr>
      </w:r>
      <w:r>
        <w:rPr>
          <w:noProof/>
        </w:rPr>
        <w:fldChar w:fldCharType="separate"/>
      </w:r>
      <w:r w:rsidR="005D5FD0">
        <w:rPr>
          <w:noProof/>
        </w:rPr>
        <w:t>8</w:t>
      </w:r>
      <w:r>
        <w:rPr>
          <w:noProof/>
        </w:rPr>
        <w:fldChar w:fldCharType="end"/>
      </w:r>
    </w:p>
    <w:p w:rsidR="00F939A9" w:rsidRDefault="00F939A9" w:rsidP="00F939A9">
      <w:pPr>
        <w:pStyle w:val="TOC9"/>
        <w:rPr>
          <w:rFonts w:asciiTheme="minorHAnsi" w:eastAsiaTheme="minorEastAsia" w:hAnsiTheme="minorHAnsi" w:cstheme="minorBidi"/>
          <w:noProof/>
          <w:sz w:val="22"/>
          <w:szCs w:val="22"/>
          <w:lang w:eastAsia="en-GB"/>
        </w:rPr>
      </w:pPr>
      <w:r>
        <w:rPr>
          <w:noProof/>
        </w:rPr>
        <w:t>Emissions Trading System</w:t>
      </w:r>
      <w:r>
        <w:rPr>
          <w:noProof/>
        </w:rPr>
        <w:tab/>
      </w:r>
      <w:r>
        <w:rPr>
          <w:noProof/>
        </w:rPr>
        <w:fldChar w:fldCharType="begin"/>
      </w:r>
      <w:r>
        <w:rPr>
          <w:noProof/>
        </w:rPr>
        <w:instrText xml:space="preserve"> PAGEREF \h _Toc431568607 \* MERGEFORMAT </w:instrText>
      </w:r>
      <w:r>
        <w:rPr>
          <w:noProof/>
        </w:rPr>
      </w:r>
      <w:r>
        <w:rPr>
          <w:noProof/>
        </w:rPr>
        <w:fldChar w:fldCharType="separate"/>
      </w:r>
      <w:r w:rsidR="005D5FD0">
        <w:rPr>
          <w:noProof/>
        </w:rPr>
        <w:t>8</w:t>
      </w:r>
      <w:r>
        <w:rPr>
          <w:noProof/>
        </w:rPr>
        <w:fldChar w:fldCharType="end"/>
      </w:r>
    </w:p>
    <w:p w:rsidR="00F939A9" w:rsidRPr="00F939A9" w:rsidRDefault="00F939A9" w:rsidP="00F939A9">
      <w:pPr>
        <w:pStyle w:val="TOC9"/>
      </w:pPr>
      <w:r w:rsidRPr="00F939A9">
        <w:rPr>
          <w:bCs/>
          <w:noProof/>
        </w:rPr>
        <w:t>Automotive sector</w:t>
      </w:r>
      <w:r>
        <w:rPr>
          <w:noProof/>
        </w:rPr>
        <w:tab/>
      </w:r>
      <w:r>
        <w:rPr>
          <w:noProof/>
        </w:rPr>
        <w:fldChar w:fldCharType="begin"/>
      </w:r>
      <w:r>
        <w:rPr>
          <w:noProof/>
        </w:rPr>
        <w:instrText xml:space="preserve"> PAGEREF \h _Toc431568608 \* MERGEFORMAT </w:instrText>
      </w:r>
      <w:r>
        <w:rPr>
          <w:noProof/>
        </w:rPr>
      </w:r>
      <w:r>
        <w:rPr>
          <w:noProof/>
        </w:rPr>
        <w:fldChar w:fldCharType="separate"/>
      </w:r>
      <w:r w:rsidR="005D5FD0">
        <w:rPr>
          <w:noProof/>
        </w:rPr>
        <w:t>8</w:t>
      </w:r>
      <w:r>
        <w:rPr>
          <w:noProof/>
        </w:rPr>
        <w:fldChar w:fldCharType="end"/>
      </w:r>
    </w:p>
    <w:p w:rsidR="00F939A9" w:rsidRDefault="00F939A9" w:rsidP="00F939A9">
      <w:pPr>
        <w:pStyle w:val="TOC5"/>
        <w:rPr>
          <w:noProof/>
        </w:rPr>
      </w:pPr>
      <w:r>
        <w:rPr>
          <w:noProof/>
        </w:rPr>
        <w:t>OTHER ITEMS APPROVED</w:t>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FOREIGN POLICY</w:t>
      </w:r>
    </w:p>
    <w:p w:rsidR="00F939A9" w:rsidRDefault="00F939A9" w:rsidP="00F939A9">
      <w:pPr>
        <w:pStyle w:val="TOC9"/>
        <w:keepNext/>
        <w:rPr>
          <w:rFonts w:asciiTheme="minorHAnsi" w:eastAsiaTheme="minorEastAsia" w:hAnsiTheme="minorHAnsi" w:cstheme="minorBidi"/>
          <w:noProof/>
          <w:sz w:val="22"/>
          <w:szCs w:val="22"/>
          <w:lang w:eastAsia="en-GB"/>
        </w:rPr>
      </w:pPr>
      <w:r w:rsidRPr="005B2D7E">
        <w:rPr>
          <w:bCs/>
          <w:noProof/>
        </w:rPr>
        <w:t xml:space="preserve">Restrictive measures </w:t>
      </w:r>
      <w:r>
        <w:rPr>
          <w:noProof/>
          <w:lang w:eastAsia="ar-SA"/>
        </w:rPr>
        <w:t>in view of Russia's actions destabilising the situation in Ukraine</w:t>
      </w:r>
      <w:r>
        <w:rPr>
          <w:noProof/>
        </w:rPr>
        <w:tab/>
      </w:r>
      <w:r>
        <w:rPr>
          <w:noProof/>
        </w:rPr>
        <w:fldChar w:fldCharType="begin"/>
      </w:r>
      <w:r>
        <w:rPr>
          <w:noProof/>
        </w:rPr>
        <w:instrText xml:space="preserve"> PAGEREF \h _Toc431568610 \* MERGEFORMAT </w:instrText>
      </w:r>
      <w:r>
        <w:rPr>
          <w:noProof/>
        </w:rPr>
      </w:r>
      <w:r>
        <w:rPr>
          <w:noProof/>
        </w:rPr>
        <w:fldChar w:fldCharType="separate"/>
      </w:r>
      <w:r w:rsidR="005D5FD0">
        <w:rPr>
          <w:noProof/>
        </w:rPr>
        <w:t>10</w:t>
      </w:r>
      <w:r>
        <w:rPr>
          <w:noProof/>
        </w:rPr>
        <w:fldChar w:fldCharType="end"/>
      </w:r>
    </w:p>
    <w:p w:rsidR="00F939A9" w:rsidRDefault="00F939A9" w:rsidP="00F939A9">
      <w:pPr>
        <w:pStyle w:val="TOC9"/>
        <w:rPr>
          <w:rFonts w:asciiTheme="minorHAnsi" w:eastAsiaTheme="minorEastAsia" w:hAnsiTheme="minorHAnsi" w:cstheme="minorBidi"/>
          <w:noProof/>
          <w:sz w:val="22"/>
          <w:szCs w:val="22"/>
          <w:lang w:eastAsia="en-GB"/>
        </w:rPr>
      </w:pPr>
      <w:r w:rsidRPr="005B2D7E">
        <w:rPr>
          <w:bCs/>
          <w:noProof/>
        </w:rPr>
        <w:t xml:space="preserve">Restrictive measures </w:t>
      </w:r>
      <w:r>
        <w:rPr>
          <w:noProof/>
          <w:lang w:eastAsia="ar-SA"/>
        </w:rPr>
        <w:t>in view of the situation in Burundi</w:t>
      </w:r>
      <w:r>
        <w:rPr>
          <w:noProof/>
        </w:rPr>
        <w:tab/>
      </w:r>
      <w:r>
        <w:rPr>
          <w:noProof/>
        </w:rPr>
        <w:fldChar w:fldCharType="begin"/>
      </w:r>
      <w:r>
        <w:rPr>
          <w:noProof/>
        </w:rPr>
        <w:instrText xml:space="preserve"> PAGEREF \h _Toc431568611 \* MERGEFORMAT </w:instrText>
      </w:r>
      <w:r>
        <w:rPr>
          <w:noProof/>
        </w:rPr>
      </w:r>
      <w:r>
        <w:rPr>
          <w:noProof/>
        </w:rPr>
        <w:fldChar w:fldCharType="separate"/>
      </w:r>
      <w:r w:rsidR="005D5FD0">
        <w:rPr>
          <w:noProof/>
        </w:rPr>
        <w:t>10</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ENLARGEMENT</w:t>
      </w:r>
    </w:p>
    <w:p w:rsidR="00F939A9" w:rsidRDefault="00F939A9" w:rsidP="00B7420C">
      <w:pPr>
        <w:pStyle w:val="TOC9"/>
        <w:rPr>
          <w:rFonts w:asciiTheme="minorHAnsi" w:eastAsiaTheme="minorEastAsia" w:hAnsiTheme="minorHAnsi" w:cstheme="minorBidi"/>
          <w:noProof/>
          <w:sz w:val="22"/>
          <w:szCs w:val="22"/>
          <w:lang w:eastAsia="en-GB"/>
        </w:rPr>
      </w:pPr>
      <w:r>
        <w:rPr>
          <w:noProof/>
          <w:lang w:eastAsia="en-GB"/>
        </w:rPr>
        <w:t>EU-</w:t>
      </w:r>
      <w:r w:rsidR="00B7420C">
        <w:rPr>
          <w:noProof/>
          <w:lang w:eastAsia="en-GB"/>
        </w:rPr>
        <w:t>f</w:t>
      </w:r>
      <w:r>
        <w:rPr>
          <w:noProof/>
          <w:lang w:eastAsia="en-GB"/>
        </w:rPr>
        <w:t>ormer Yugoslav Republic of Macedonia - Stabilisation and Association agreement</w:t>
      </w:r>
      <w:r>
        <w:rPr>
          <w:noProof/>
        </w:rPr>
        <w:tab/>
      </w:r>
      <w:r>
        <w:rPr>
          <w:noProof/>
        </w:rPr>
        <w:fldChar w:fldCharType="begin"/>
      </w:r>
      <w:r>
        <w:rPr>
          <w:noProof/>
        </w:rPr>
        <w:instrText xml:space="preserve"> PAGEREF \h _Toc431568613 \* MERGEFORMAT </w:instrText>
      </w:r>
      <w:r>
        <w:rPr>
          <w:noProof/>
        </w:rPr>
      </w:r>
      <w:r>
        <w:rPr>
          <w:noProof/>
        </w:rPr>
        <w:fldChar w:fldCharType="separate"/>
      </w:r>
      <w:r w:rsidR="005D5FD0">
        <w:rPr>
          <w:noProof/>
        </w:rPr>
        <w:t>10</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lastRenderedPageBreak/>
        <w:t>EUROPEAN ECONOMIC AREA</w:t>
      </w:r>
    </w:p>
    <w:p w:rsidR="00F939A9" w:rsidRDefault="00F939A9" w:rsidP="00B7420C">
      <w:pPr>
        <w:pStyle w:val="TOC9"/>
        <w:keepNext/>
        <w:rPr>
          <w:rFonts w:asciiTheme="minorHAnsi" w:eastAsiaTheme="minorEastAsia" w:hAnsiTheme="minorHAnsi" w:cstheme="minorBidi"/>
          <w:noProof/>
          <w:sz w:val="22"/>
          <w:szCs w:val="22"/>
          <w:lang w:eastAsia="en-GB"/>
        </w:rPr>
      </w:pPr>
      <w:r>
        <w:rPr>
          <w:noProof/>
        </w:rPr>
        <w:t>Amendment</w:t>
      </w:r>
      <w:r w:rsidR="00B7420C">
        <w:rPr>
          <w:noProof/>
        </w:rPr>
        <w:t>s</w:t>
      </w:r>
      <w:r>
        <w:rPr>
          <w:noProof/>
        </w:rPr>
        <w:t xml:space="preserve"> to the EEA agreement</w:t>
      </w:r>
      <w:r>
        <w:rPr>
          <w:noProof/>
        </w:rPr>
        <w:tab/>
      </w:r>
      <w:r>
        <w:rPr>
          <w:noProof/>
        </w:rPr>
        <w:fldChar w:fldCharType="begin"/>
      </w:r>
      <w:r>
        <w:rPr>
          <w:noProof/>
        </w:rPr>
        <w:instrText xml:space="preserve"> PAGEREF \h _Toc431568615 \* MERGEFORMAT </w:instrText>
      </w:r>
      <w:r>
        <w:rPr>
          <w:noProof/>
        </w:rPr>
      </w:r>
      <w:r>
        <w:rPr>
          <w:noProof/>
        </w:rPr>
        <w:fldChar w:fldCharType="separate"/>
      </w:r>
      <w:r w:rsidR="005D5FD0">
        <w:rPr>
          <w:noProof/>
        </w:rPr>
        <w:t>11</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TRADE</w:t>
      </w:r>
    </w:p>
    <w:p w:rsidR="00F939A9" w:rsidRDefault="00F939A9" w:rsidP="00F939A9">
      <w:pPr>
        <w:pStyle w:val="TOC9"/>
        <w:keepNext/>
        <w:rPr>
          <w:rFonts w:asciiTheme="minorHAnsi" w:eastAsiaTheme="minorEastAsia" w:hAnsiTheme="minorHAnsi" w:cstheme="minorBidi"/>
          <w:noProof/>
          <w:sz w:val="22"/>
          <w:szCs w:val="22"/>
          <w:lang w:eastAsia="en-GB"/>
        </w:rPr>
      </w:pPr>
      <w:r>
        <w:rPr>
          <w:noProof/>
        </w:rPr>
        <w:t>EU-South Korea free trade agreement</w:t>
      </w:r>
      <w:r>
        <w:rPr>
          <w:noProof/>
        </w:rPr>
        <w:tab/>
      </w:r>
      <w:r>
        <w:rPr>
          <w:noProof/>
        </w:rPr>
        <w:fldChar w:fldCharType="begin"/>
      </w:r>
      <w:r>
        <w:rPr>
          <w:noProof/>
        </w:rPr>
        <w:instrText xml:space="preserve"> PAGEREF \h _Toc431568618 \* MERGEFORMAT </w:instrText>
      </w:r>
      <w:r>
        <w:rPr>
          <w:noProof/>
        </w:rPr>
      </w:r>
      <w:r>
        <w:rPr>
          <w:noProof/>
        </w:rPr>
        <w:fldChar w:fldCharType="separate"/>
      </w:r>
      <w:r w:rsidR="005D5FD0">
        <w:rPr>
          <w:noProof/>
        </w:rPr>
        <w:t>11</w:t>
      </w:r>
      <w:r>
        <w:rPr>
          <w:noProof/>
        </w:rPr>
        <w:fldChar w:fldCharType="end"/>
      </w:r>
    </w:p>
    <w:p w:rsidR="00F939A9" w:rsidRDefault="00F939A9" w:rsidP="00F939A9">
      <w:pPr>
        <w:pStyle w:val="TOC9"/>
        <w:keepNext/>
        <w:rPr>
          <w:rFonts w:asciiTheme="minorHAnsi" w:eastAsiaTheme="minorEastAsia" w:hAnsiTheme="minorHAnsi" w:cstheme="minorBidi"/>
          <w:noProof/>
          <w:sz w:val="22"/>
          <w:szCs w:val="22"/>
          <w:lang w:eastAsia="en-GB"/>
        </w:rPr>
      </w:pPr>
      <w:r>
        <w:rPr>
          <w:noProof/>
        </w:rPr>
        <w:t>WTO trade facilitation agreement</w:t>
      </w:r>
      <w:r>
        <w:rPr>
          <w:noProof/>
        </w:rPr>
        <w:tab/>
      </w:r>
      <w:r>
        <w:rPr>
          <w:noProof/>
        </w:rPr>
        <w:fldChar w:fldCharType="begin"/>
      </w:r>
      <w:r>
        <w:rPr>
          <w:noProof/>
        </w:rPr>
        <w:instrText xml:space="preserve"> PAGEREF \h _Toc431568619 \* MERGEFORMAT </w:instrText>
      </w:r>
      <w:r>
        <w:rPr>
          <w:noProof/>
        </w:rPr>
      </w:r>
      <w:r>
        <w:rPr>
          <w:noProof/>
        </w:rPr>
        <w:fldChar w:fldCharType="separate"/>
      </w:r>
      <w:r w:rsidR="005D5FD0">
        <w:rPr>
          <w:noProof/>
        </w:rPr>
        <w:t>12</w:t>
      </w:r>
      <w:r>
        <w:rPr>
          <w:noProof/>
        </w:rPr>
        <w:fldChar w:fldCharType="end"/>
      </w:r>
    </w:p>
    <w:p w:rsidR="00F939A9" w:rsidRDefault="00F939A9" w:rsidP="00F939A9">
      <w:pPr>
        <w:pStyle w:val="TOC9"/>
        <w:rPr>
          <w:rFonts w:asciiTheme="minorHAnsi" w:eastAsiaTheme="minorEastAsia" w:hAnsiTheme="minorHAnsi" w:cstheme="minorBidi"/>
          <w:noProof/>
          <w:sz w:val="22"/>
          <w:szCs w:val="22"/>
          <w:lang w:eastAsia="en-GB"/>
        </w:rPr>
      </w:pPr>
      <w:r>
        <w:rPr>
          <w:noProof/>
        </w:rPr>
        <w:t>WTO - Kyrgyz Republic</w:t>
      </w:r>
      <w:r>
        <w:rPr>
          <w:noProof/>
        </w:rPr>
        <w:tab/>
      </w:r>
      <w:r>
        <w:rPr>
          <w:noProof/>
        </w:rPr>
        <w:fldChar w:fldCharType="begin"/>
      </w:r>
      <w:r>
        <w:rPr>
          <w:noProof/>
        </w:rPr>
        <w:instrText xml:space="preserve"> PAGEREF \h _Toc431568620 \* MERGEFORMAT </w:instrText>
      </w:r>
      <w:r>
        <w:rPr>
          <w:noProof/>
        </w:rPr>
      </w:r>
      <w:r>
        <w:rPr>
          <w:noProof/>
        </w:rPr>
        <w:fldChar w:fldCharType="separate"/>
      </w:r>
      <w:r w:rsidR="005D5FD0">
        <w:rPr>
          <w:noProof/>
        </w:rPr>
        <w:t>12</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CUSTOMS UNION</w:t>
      </w:r>
    </w:p>
    <w:p w:rsidR="00F939A9" w:rsidRDefault="00F939A9" w:rsidP="00F939A9">
      <w:pPr>
        <w:pStyle w:val="TOC9"/>
        <w:rPr>
          <w:rFonts w:asciiTheme="minorHAnsi" w:eastAsiaTheme="minorEastAsia" w:hAnsiTheme="minorHAnsi" w:cstheme="minorBidi"/>
          <w:noProof/>
          <w:sz w:val="22"/>
          <w:szCs w:val="22"/>
          <w:lang w:eastAsia="en-GB"/>
        </w:rPr>
      </w:pPr>
      <w:r>
        <w:rPr>
          <w:noProof/>
        </w:rPr>
        <w:t>Serbia - Conventions on transit and trade</w:t>
      </w:r>
      <w:r>
        <w:rPr>
          <w:noProof/>
        </w:rPr>
        <w:tab/>
      </w:r>
      <w:r>
        <w:rPr>
          <w:noProof/>
        </w:rPr>
        <w:fldChar w:fldCharType="begin"/>
      </w:r>
      <w:r>
        <w:rPr>
          <w:noProof/>
        </w:rPr>
        <w:instrText xml:space="preserve"> PAGEREF \h _Toc431568622 \* MERGEFORMAT </w:instrText>
      </w:r>
      <w:r>
        <w:rPr>
          <w:noProof/>
        </w:rPr>
      </w:r>
      <w:r>
        <w:rPr>
          <w:noProof/>
        </w:rPr>
        <w:fldChar w:fldCharType="separate"/>
      </w:r>
      <w:r w:rsidR="005D5FD0">
        <w:rPr>
          <w:noProof/>
        </w:rPr>
        <w:t>12</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STATISTICS</w:t>
      </w:r>
    </w:p>
    <w:p w:rsidR="00F939A9" w:rsidRDefault="00F939A9" w:rsidP="00F939A9">
      <w:pPr>
        <w:pStyle w:val="TOC9"/>
        <w:rPr>
          <w:rFonts w:asciiTheme="minorHAnsi" w:eastAsiaTheme="minorEastAsia" w:hAnsiTheme="minorHAnsi" w:cstheme="minorBidi"/>
          <w:noProof/>
          <w:sz w:val="22"/>
          <w:szCs w:val="22"/>
          <w:lang w:eastAsia="en-GB"/>
        </w:rPr>
      </w:pPr>
      <w:r>
        <w:rPr>
          <w:noProof/>
        </w:rPr>
        <w:t>Structural business statistics - Classification of products by activity</w:t>
      </w:r>
      <w:r>
        <w:rPr>
          <w:noProof/>
        </w:rPr>
        <w:tab/>
      </w:r>
      <w:r>
        <w:rPr>
          <w:noProof/>
        </w:rPr>
        <w:fldChar w:fldCharType="begin"/>
      </w:r>
      <w:r>
        <w:rPr>
          <w:noProof/>
        </w:rPr>
        <w:instrText xml:space="preserve"> PAGEREF \h _Toc431568624 \* MERGEFORMAT </w:instrText>
      </w:r>
      <w:r>
        <w:rPr>
          <w:noProof/>
        </w:rPr>
      </w:r>
      <w:r>
        <w:rPr>
          <w:noProof/>
        </w:rPr>
        <w:fldChar w:fldCharType="separate"/>
      </w:r>
      <w:r w:rsidR="005D5FD0">
        <w:rPr>
          <w:noProof/>
        </w:rPr>
        <w:t>13</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COHESION POLICY</w:t>
      </w:r>
    </w:p>
    <w:p w:rsidR="00F939A9" w:rsidRDefault="00F939A9" w:rsidP="00F939A9">
      <w:pPr>
        <w:pStyle w:val="TOC9"/>
        <w:rPr>
          <w:rFonts w:asciiTheme="minorHAnsi" w:eastAsiaTheme="minorEastAsia" w:hAnsiTheme="minorHAnsi" w:cstheme="minorBidi"/>
          <w:noProof/>
          <w:sz w:val="22"/>
          <w:szCs w:val="22"/>
          <w:lang w:eastAsia="en-GB"/>
        </w:rPr>
      </w:pPr>
      <w:r>
        <w:rPr>
          <w:noProof/>
        </w:rPr>
        <w:t>Rules on the reporting of irregularities</w:t>
      </w:r>
      <w:r>
        <w:rPr>
          <w:noProof/>
        </w:rPr>
        <w:tab/>
      </w:r>
      <w:r>
        <w:rPr>
          <w:noProof/>
        </w:rPr>
        <w:fldChar w:fldCharType="begin"/>
      </w:r>
      <w:r>
        <w:rPr>
          <w:noProof/>
        </w:rPr>
        <w:instrText xml:space="preserve"> PAGEREF \h _Toc431568626 \* MERGEFORMAT </w:instrText>
      </w:r>
      <w:r>
        <w:rPr>
          <w:noProof/>
        </w:rPr>
      </w:r>
      <w:r>
        <w:rPr>
          <w:noProof/>
        </w:rPr>
        <w:fldChar w:fldCharType="separate"/>
      </w:r>
      <w:r w:rsidR="005D5FD0">
        <w:rPr>
          <w:noProof/>
        </w:rPr>
        <w:t>13</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TELECOMMUNICATIONS</w:t>
      </w:r>
    </w:p>
    <w:p w:rsidR="00F939A9" w:rsidRDefault="00F939A9" w:rsidP="00F939A9">
      <w:pPr>
        <w:pStyle w:val="TOC9"/>
        <w:rPr>
          <w:rFonts w:asciiTheme="minorHAnsi" w:eastAsiaTheme="minorEastAsia" w:hAnsiTheme="minorHAnsi" w:cstheme="minorBidi"/>
          <w:noProof/>
          <w:sz w:val="22"/>
          <w:szCs w:val="22"/>
          <w:lang w:eastAsia="en-GB"/>
        </w:rPr>
      </w:pPr>
      <w:r>
        <w:rPr>
          <w:noProof/>
        </w:rPr>
        <w:t>Roaming and open internet</w:t>
      </w:r>
      <w:r>
        <w:rPr>
          <w:noProof/>
        </w:rPr>
        <w:tab/>
      </w:r>
      <w:r>
        <w:rPr>
          <w:noProof/>
        </w:rPr>
        <w:fldChar w:fldCharType="begin"/>
      </w:r>
      <w:r>
        <w:rPr>
          <w:noProof/>
        </w:rPr>
        <w:instrText xml:space="preserve"> PAGEREF \h _Toc431568628 \* MERGEFORMAT </w:instrText>
      </w:r>
      <w:r>
        <w:rPr>
          <w:noProof/>
        </w:rPr>
      </w:r>
      <w:r>
        <w:rPr>
          <w:noProof/>
        </w:rPr>
        <w:fldChar w:fldCharType="separate"/>
      </w:r>
      <w:r w:rsidR="005D5FD0">
        <w:rPr>
          <w:noProof/>
        </w:rPr>
        <w:t>13</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ENVIRONMENT</w:t>
      </w:r>
    </w:p>
    <w:p w:rsidR="00F939A9" w:rsidRDefault="00F939A9" w:rsidP="00F939A9">
      <w:pPr>
        <w:pStyle w:val="TOC9"/>
        <w:keepNext/>
        <w:rPr>
          <w:rFonts w:asciiTheme="minorHAnsi" w:eastAsiaTheme="minorEastAsia" w:hAnsiTheme="minorHAnsi" w:cstheme="minorBidi"/>
          <w:noProof/>
          <w:sz w:val="22"/>
          <w:szCs w:val="22"/>
          <w:lang w:eastAsia="en-GB"/>
        </w:rPr>
      </w:pPr>
      <w:r>
        <w:rPr>
          <w:noProof/>
          <w:lang w:eastAsia="en-GB"/>
        </w:rPr>
        <w:t>Ban on seal products trade</w:t>
      </w:r>
      <w:r>
        <w:rPr>
          <w:noProof/>
        </w:rPr>
        <w:tab/>
      </w:r>
      <w:r>
        <w:rPr>
          <w:noProof/>
        </w:rPr>
        <w:fldChar w:fldCharType="begin"/>
      </w:r>
      <w:r>
        <w:rPr>
          <w:noProof/>
        </w:rPr>
        <w:instrText xml:space="preserve"> PAGEREF \h _Toc431568630 \* MERGEFORMAT </w:instrText>
      </w:r>
      <w:r>
        <w:rPr>
          <w:noProof/>
        </w:rPr>
      </w:r>
      <w:r>
        <w:rPr>
          <w:noProof/>
        </w:rPr>
        <w:fldChar w:fldCharType="separate"/>
      </w:r>
      <w:r w:rsidR="005D5FD0">
        <w:rPr>
          <w:noProof/>
        </w:rPr>
        <w:t>14</w:t>
      </w:r>
      <w:r>
        <w:rPr>
          <w:noProof/>
        </w:rPr>
        <w:fldChar w:fldCharType="end"/>
      </w:r>
    </w:p>
    <w:p w:rsidR="00F939A9" w:rsidRPr="00F939A9" w:rsidRDefault="00F939A9" w:rsidP="00F939A9">
      <w:pPr>
        <w:pStyle w:val="TOC9"/>
        <w:keepNext/>
        <w:rPr>
          <w:rFonts w:asciiTheme="minorHAnsi" w:eastAsiaTheme="minorEastAsia" w:hAnsiTheme="minorHAnsi" w:cstheme="minorBidi"/>
          <w:noProof/>
          <w:sz w:val="22"/>
          <w:szCs w:val="22"/>
          <w:lang w:val="pt-PT" w:eastAsia="en-GB"/>
        </w:rPr>
      </w:pPr>
      <w:r w:rsidRPr="005B2D7E">
        <w:rPr>
          <w:noProof/>
          <w:lang w:val="pt-PT"/>
        </w:rPr>
        <w:t>Ecological criteria for the EU Ecolabel</w:t>
      </w:r>
      <w:r w:rsidRPr="00F939A9">
        <w:rPr>
          <w:noProof/>
          <w:lang w:val="pt-PT"/>
        </w:rPr>
        <w:tab/>
      </w:r>
      <w:r>
        <w:rPr>
          <w:noProof/>
        </w:rPr>
        <w:fldChar w:fldCharType="begin"/>
      </w:r>
      <w:r w:rsidRPr="00F939A9">
        <w:rPr>
          <w:noProof/>
          <w:lang w:val="pt-PT"/>
        </w:rPr>
        <w:instrText xml:space="preserve"> PAGEREF \h _Toc431568631 \* MERGEFORMAT </w:instrText>
      </w:r>
      <w:r>
        <w:rPr>
          <w:noProof/>
        </w:rPr>
      </w:r>
      <w:r>
        <w:rPr>
          <w:noProof/>
        </w:rPr>
        <w:fldChar w:fldCharType="separate"/>
      </w:r>
      <w:r w:rsidR="005D5FD0">
        <w:rPr>
          <w:noProof/>
          <w:lang w:val="pt-PT"/>
        </w:rPr>
        <w:t>14</w:t>
      </w:r>
      <w:r>
        <w:rPr>
          <w:noProof/>
        </w:rPr>
        <w:fldChar w:fldCharType="end"/>
      </w:r>
    </w:p>
    <w:p w:rsidR="00F939A9" w:rsidRDefault="00F939A9" w:rsidP="00F939A9">
      <w:pPr>
        <w:pStyle w:val="TOC9"/>
        <w:keepNext/>
        <w:rPr>
          <w:rFonts w:asciiTheme="minorHAnsi" w:eastAsiaTheme="minorEastAsia" w:hAnsiTheme="minorHAnsi" w:cstheme="minorBidi"/>
          <w:noProof/>
          <w:sz w:val="22"/>
          <w:szCs w:val="22"/>
          <w:lang w:eastAsia="en-GB"/>
        </w:rPr>
      </w:pPr>
      <w:r>
        <w:rPr>
          <w:noProof/>
        </w:rPr>
        <w:t>Persistent organic pollutants</w:t>
      </w:r>
      <w:r>
        <w:rPr>
          <w:noProof/>
        </w:rPr>
        <w:tab/>
      </w:r>
      <w:r>
        <w:rPr>
          <w:noProof/>
        </w:rPr>
        <w:fldChar w:fldCharType="begin"/>
      </w:r>
      <w:r>
        <w:rPr>
          <w:noProof/>
        </w:rPr>
        <w:instrText xml:space="preserve"> PAGEREF \h _Toc431568632 \* MERGEFORMAT </w:instrText>
      </w:r>
      <w:r>
        <w:rPr>
          <w:noProof/>
        </w:rPr>
      </w:r>
      <w:r>
        <w:rPr>
          <w:noProof/>
        </w:rPr>
        <w:fldChar w:fldCharType="separate"/>
      </w:r>
      <w:r w:rsidR="005D5FD0">
        <w:rPr>
          <w:noProof/>
        </w:rPr>
        <w:t>15</w:t>
      </w:r>
      <w:r>
        <w:rPr>
          <w:noProof/>
        </w:rPr>
        <w:fldChar w:fldCharType="end"/>
      </w:r>
    </w:p>
    <w:p w:rsidR="00F939A9" w:rsidRDefault="00F939A9" w:rsidP="00F939A9">
      <w:pPr>
        <w:pStyle w:val="TOC9"/>
        <w:keepNext/>
        <w:rPr>
          <w:rFonts w:asciiTheme="minorHAnsi" w:eastAsiaTheme="minorEastAsia" w:hAnsiTheme="minorHAnsi" w:cstheme="minorBidi"/>
          <w:noProof/>
          <w:sz w:val="22"/>
          <w:szCs w:val="22"/>
          <w:lang w:eastAsia="en-GB"/>
        </w:rPr>
      </w:pPr>
      <w:r w:rsidRPr="005B2D7E">
        <w:rPr>
          <w:rFonts w:asciiTheme="majorBidi" w:hAnsiTheme="majorBidi" w:cstheme="majorBidi"/>
          <w:noProof/>
        </w:rPr>
        <w:t>Shipments of waste</w:t>
      </w:r>
      <w:r>
        <w:rPr>
          <w:noProof/>
        </w:rPr>
        <w:tab/>
      </w:r>
      <w:r>
        <w:rPr>
          <w:noProof/>
        </w:rPr>
        <w:fldChar w:fldCharType="begin"/>
      </w:r>
      <w:r>
        <w:rPr>
          <w:noProof/>
        </w:rPr>
        <w:instrText xml:space="preserve"> PAGEREF \h _Toc431568633 \* MERGEFORMAT </w:instrText>
      </w:r>
      <w:r>
        <w:rPr>
          <w:noProof/>
        </w:rPr>
      </w:r>
      <w:r>
        <w:rPr>
          <w:noProof/>
        </w:rPr>
        <w:fldChar w:fldCharType="separate"/>
      </w:r>
      <w:r w:rsidR="005D5FD0">
        <w:rPr>
          <w:noProof/>
        </w:rPr>
        <w:t>15</w:t>
      </w:r>
      <w:r>
        <w:rPr>
          <w:noProof/>
        </w:rPr>
        <w:fldChar w:fldCharType="end"/>
      </w:r>
    </w:p>
    <w:p w:rsidR="00F939A9" w:rsidRDefault="00F939A9" w:rsidP="00F939A9">
      <w:pPr>
        <w:pStyle w:val="TOC9"/>
        <w:rPr>
          <w:rFonts w:asciiTheme="minorHAnsi" w:eastAsiaTheme="minorEastAsia" w:hAnsiTheme="minorHAnsi" w:cstheme="minorBidi"/>
          <w:noProof/>
          <w:sz w:val="22"/>
          <w:szCs w:val="22"/>
          <w:lang w:eastAsia="en-GB"/>
        </w:rPr>
      </w:pPr>
      <w:r>
        <w:rPr>
          <w:noProof/>
        </w:rPr>
        <w:t>Kyoto Protocol: technical implementation</w:t>
      </w:r>
      <w:r>
        <w:rPr>
          <w:noProof/>
        </w:rPr>
        <w:tab/>
      </w:r>
      <w:r>
        <w:rPr>
          <w:noProof/>
        </w:rPr>
        <w:fldChar w:fldCharType="begin"/>
      </w:r>
      <w:r>
        <w:rPr>
          <w:noProof/>
        </w:rPr>
        <w:instrText xml:space="preserve"> PAGEREF \h _Toc431568634 \* MERGEFORMAT </w:instrText>
      </w:r>
      <w:r>
        <w:rPr>
          <w:noProof/>
        </w:rPr>
      </w:r>
      <w:r>
        <w:rPr>
          <w:noProof/>
        </w:rPr>
        <w:fldChar w:fldCharType="separate"/>
      </w:r>
      <w:r w:rsidR="005D5FD0">
        <w:rPr>
          <w:noProof/>
        </w:rPr>
        <w:t>15</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RESEARCH</w:t>
      </w:r>
    </w:p>
    <w:p w:rsidR="00F939A9" w:rsidRDefault="00F939A9" w:rsidP="00F939A9">
      <w:pPr>
        <w:pStyle w:val="TOC9"/>
        <w:keepNext/>
        <w:rPr>
          <w:rFonts w:asciiTheme="minorHAnsi" w:eastAsiaTheme="minorEastAsia" w:hAnsiTheme="minorHAnsi" w:cstheme="minorBidi"/>
          <w:noProof/>
          <w:sz w:val="22"/>
          <w:szCs w:val="22"/>
          <w:lang w:eastAsia="en-GB"/>
        </w:rPr>
      </w:pPr>
      <w:r>
        <w:rPr>
          <w:noProof/>
        </w:rPr>
        <w:t>EU-Switzerland - Scientific and technological cooperation agreement</w:t>
      </w:r>
      <w:r>
        <w:rPr>
          <w:noProof/>
        </w:rPr>
        <w:tab/>
      </w:r>
      <w:r>
        <w:rPr>
          <w:noProof/>
        </w:rPr>
        <w:fldChar w:fldCharType="begin"/>
      </w:r>
      <w:r>
        <w:rPr>
          <w:noProof/>
        </w:rPr>
        <w:instrText xml:space="preserve"> PAGEREF \h _Toc431568636 \* MERGEFORMAT </w:instrText>
      </w:r>
      <w:r>
        <w:rPr>
          <w:noProof/>
        </w:rPr>
      </w:r>
      <w:r>
        <w:rPr>
          <w:noProof/>
        </w:rPr>
        <w:fldChar w:fldCharType="separate"/>
      </w:r>
      <w:r w:rsidR="005D5FD0">
        <w:rPr>
          <w:noProof/>
        </w:rPr>
        <w:t>15</w:t>
      </w:r>
      <w:r>
        <w:rPr>
          <w:noProof/>
        </w:rPr>
        <w:fldChar w:fldCharType="end"/>
      </w:r>
    </w:p>
    <w:p w:rsidR="00F939A9" w:rsidRDefault="00F939A9" w:rsidP="00F939A9">
      <w:pPr>
        <w:pStyle w:val="TOC9"/>
        <w:keepNext/>
        <w:rPr>
          <w:rFonts w:asciiTheme="minorHAnsi" w:eastAsiaTheme="minorEastAsia" w:hAnsiTheme="minorHAnsi" w:cstheme="minorBidi"/>
          <w:noProof/>
          <w:sz w:val="22"/>
          <w:szCs w:val="22"/>
          <w:lang w:eastAsia="en-GB"/>
        </w:rPr>
      </w:pPr>
      <w:r>
        <w:rPr>
          <w:noProof/>
        </w:rPr>
        <w:t>EU- India - Renewal of scientific and technological cooperation agreement</w:t>
      </w:r>
      <w:r>
        <w:rPr>
          <w:noProof/>
        </w:rPr>
        <w:tab/>
      </w:r>
      <w:r>
        <w:rPr>
          <w:noProof/>
        </w:rPr>
        <w:fldChar w:fldCharType="begin"/>
      </w:r>
      <w:r>
        <w:rPr>
          <w:noProof/>
        </w:rPr>
        <w:instrText xml:space="preserve"> PAGEREF \h _Toc431568637 \* MERGEFORMAT </w:instrText>
      </w:r>
      <w:r>
        <w:rPr>
          <w:noProof/>
        </w:rPr>
      </w:r>
      <w:r>
        <w:rPr>
          <w:noProof/>
        </w:rPr>
        <w:fldChar w:fldCharType="separate"/>
      </w:r>
      <w:r w:rsidR="005D5FD0">
        <w:rPr>
          <w:noProof/>
        </w:rPr>
        <w:t>16</w:t>
      </w:r>
      <w:r>
        <w:rPr>
          <w:noProof/>
        </w:rPr>
        <w:fldChar w:fldCharType="end"/>
      </w:r>
    </w:p>
    <w:p w:rsidR="005D5FD0" w:rsidRDefault="00F939A9" w:rsidP="00F939A9">
      <w:pPr>
        <w:pStyle w:val="TOC9"/>
        <w:rPr>
          <w:noProof/>
        </w:rPr>
      </w:pPr>
      <w:r>
        <w:rPr>
          <w:noProof/>
        </w:rPr>
        <w:t>EU-Faroe Islands - Scientific and technological cooperation agreement</w:t>
      </w:r>
      <w:r>
        <w:rPr>
          <w:noProof/>
        </w:rPr>
        <w:tab/>
      </w:r>
      <w:r>
        <w:rPr>
          <w:noProof/>
        </w:rPr>
        <w:fldChar w:fldCharType="begin"/>
      </w:r>
      <w:r>
        <w:rPr>
          <w:noProof/>
        </w:rPr>
        <w:instrText xml:space="preserve"> PAGEREF \h _Toc431568638 \* MERGEFORMAT </w:instrText>
      </w:r>
      <w:r>
        <w:rPr>
          <w:noProof/>
        </w:rPr>
      </w:r>
      <w:r>
        <w:rPr>
          <w:noProof/>
        </w:rPr>
        <w:fldChar w:fldCharType="separate"/>
      </w:r>
      <w:r w:rsidR="005D5FD0">
        <w:rPr>
          <w:noProof/>
        </w:rPr>
        <w:t>16</w:t>
      </w:r>
      <w:r>
        <w:rPr>
          <w:noProof/>
        </w:rPr>
        <w:fldChar w:fldCharType="end"/>
      </w:r>
    </w:p>
    <w:p w:rsidR="00F939A9" w:rsidRDefault="005D5FD0" w:rsidP="005D5FD0">
      <w:pPr>
        <w:rPr>
          <w:rFonts w:asciiTheme="minorHAnsi" w:eastAsiaTheme="minorEastAsia" w:hAnsiTheme="minorHAnsi" w:cstheme="minorBidi"/>
          <w:noProof/>
          <w:sz w:val="22"/>
          <w:szCs w:val="22"/>
          <w:lang w:eastAsia="en-GB"/>
        </w:rPr>
      </w:pPr>
      <w:r>
        <w:rPr>
          <w:noProof/>
        </w:rPr>
        <w:br w:type="page"/>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ENERGY</w:t>
      </w:r>
    </w:p>
    <w:p w:rsidR="00F939A9" w:rsidRDefault="00F939A9" w:rsidP="00F939A9">
      <w:pPr>
        <w:pStyle w:val="TOC9"/>
        <w:rPr>
          <w:rFonts w:asciiTheme="minorHAnsi" w:eastAsiaTheme="minorEastAsia" w:hAnsiTheme="minorHAnsi" w:cstheme="minorBidi"/>
          <w:noProof/>
          <w:sz w:val="22"/>
          <w:szCs w:val="22"/>
          <w:lang w:eastAsia="en-GB"/>
        </w:rPr>
      </w:pPr>
      <w:r>
        <w:rPr>
          <w:noProof/>
        </w:rPr>
        <w:t>Ministerial Council of the Energy Community</w:t>
      </w:r>
      <w:r>
        <w:rPr>
          <w:noProof/>
        </w:rPr>
        <w:tab/>
      </w:r>
      <w:r>
        <w:rPr>
          <w:noProof/>
        </w:rPr>
        <w:fldChar w:fldCharType="begin"/>
      </w:r>
      <w:r>
        <w:rPr>
          <w:noProof/>
        </w:rPr>
        <w:instrText xml:space="preserve"> PAGEREF \h _Toc431568640 \* MERGEFORMAT </w:instrText>
      </w:r>
      <w:r>
        <w:rPr>
          <w:noProof/>
        </w:rPr>
      </w:r>
      <w:r>
        <w:rPr>
          <w:noProof/>
        </w:rPr>
        <w:fldChar w:fldCharType="separate"/>
      </w:r>
      <w:r w:rsidR="005D5FD0">
        <w:rPr>
          <w:noProof/>
        </w:rPr>
        <w:t>16</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SOCIAL POLICY</w:t>
      </w:r>
    </w:p>
    <w:p w:rsidR="00F939A9" w:rsidRDefault="00F939A9" w:rsidP="00F939A9">
      <w:pPr>
        <w:pStyle w:val="TOC9"/>
        <w:rPr>
          <w:rFonts w:asciiTheme="minorHAnsi" w:eastAsiaTheme="minorEastAsia" w:hAnsiTheme="minorHAnsi" w:cstheme="minorBidi"/>
          <w:noProof/>
          <w:sz w:val="22"/>
          <w:szCs w:val="22"/>
          <w:lang w:eastAsia="en-GB"/>
        </w:rPr>
      </w:pPr>
      <w:r>
        <w:rPr>
          <w:noProof/>
        </w:rPr>
        <w:t>Delegated regulation on the Fund for the most deprived</w:t>
      </w:r>
      <w:r>
        <w:rPr>
          <w:noProof/>
        </w:rPr>
        <w:tab/>
      </w:r>
      <w:r>
        <w:rPr>
          <w:noProof/>
        </w:rPr>
        <w:fldChar w:fldCharType="begin"/>
      </w:r>
      <w:r>
        <w:rPr>
          <w:noProof/>
        </w:rPr>
        <w:instrText xml:space="preserve"> PAGEREF \h _Toc431568642 \* MERGEFORMAT </w:instrText>
      </w:r>
      <w:r>
        <w:rPr>
          <w:noProof/>
        </w:rPr>
      </w:r>
      <w:r>
        <w:rPr>
          <w:noProof/>
        </w:rPr>
        <w:fldChar w:fldCharType="separate"/>
      </w:r>
      <w:r w:rsidR="005D5FD0">
        <w:rPr>
          <w:noProof/>
        </w:rPr>
        <w:t>17</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AGRICULTURE</w:t>
      </w:r>
    </w:p>
    <w:p w:rsidR="00F939A9" w:rsidRDefault="00F939A9" w:rsidP="00F939A9">
      <w:pPr>
        <w:pStyle w:val="TOC9"/>
        <w:rPr>
          <w:rFonts w:asciiTheme="minorHAnsi" w:eastAsiaTheme="minorEastAsia" w:hAnsiTheme="minorHAnsi" w:cstheme="minorBidi"/>
          <w:noProof/>
          <w:sz w:val="22"/>
          <w:szCs w:val="22"/>
          <w:lang w:eastAsia="en-GB"/>
        </w:rPr>
      </w:pPr>
      <w:r>
        <w:rPr>
          <w:noProof/>
        </w:rPr>
        <w:t>International Organisation of Vine and Wine (OIV) - Council conclusions</w:t>
      </w:r>
      <w:r>
        <w:rPr>
          <w:noProof/>
        </w:rPr>
        <w:tab/>
      </w:r>
      <w:r>
        <w:rPr>
          <w:noProof/>
        </w:rPr>
        <w:fldChar w:fldCharType="begin"/>
      </w:r>
      <w:r>
        <w:rPr>
          <w:noProof/>
        </w:rPr>
        <w:instrText xml:space="preserve"> PAGEREF \h _Toc431568644 \* MERGEFORMAT </w:instrText>
      </w:r>
      <w:r>
        <w:rPr>
          <w:noProof/>
        </w:rPr>
      </w:r>
      <w:r>
        <w:rPr>
          <w:noProof/>
        </w:rPr>
        <w:fldChar w:fldCharType="separate"/>
      </w:r>
      <w:r w:rsidR="005D5FD0">
        <w:rPr>
          <w:noProof/>
        </w:rPr>
        <w:t>17</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APPOINTMENTS</w:t>
      </w:r>
    </w:p>
    <w:p w:rsidR="00F939A9" w:rsidRDefault="00F939A9" w:rsidP="00B7420C">
      <w:pPr>
        <w:pStyle w:val="TOC9"/>
        <w:rPr>
          <w:rFonts w:asciiTheme="minorHAnsi" w:eastAsiaTheme="minorEastAsia" w:hAnsiTheme="minorHAnsi" w:cstheme="minorBidi"/>
          <w:noProof/>
          <w:sz w:val="22"/>
          <w:szCs w:val="22"/>
          <w:lang w:eastAsia="en-GB"/>
        </w:rPr>
      </w:pPr>
      <w:r>
        <w:rPr>
          <w:noProof/>
        </w:rPr>
        <w:t>European Economic and Social Committee: new members from Lithuania and the Netherlands</w:t>
      </w:r>
      <w:r>
        <w:rPr>
          <w:noProof/>
        </w:rPr>
        <w:tab/>
      </w:r>
      <w:r>
        <w:rPr>
          <w:noProof/>
        </w:rPr>
        <w:fldChar w:fldCharType="begin"/>
      </w:r>
      <w:r>
        <w:rPr>
          <w:noProof/>
        </w:rPr>
        <w:instrText xml:space="preserve"> PAGEREF \h _Toc431568646 \* MERGEFORMAT </w:instrText>
      </w:r>
      <w:r>
        <w:rPr>
          <w:noProof/>
        </w:rPr>
      </w:r>
      <w:r>
        <w:rPr>
          <w:noProof/>
        </w:rPr>
        <w:fldChar w:fldCharType="separate"/>
      </w:r>
      <w:r w:rsidR="005D5FD0">
        <w:rPr>
          <w:noProof/>
        </w:rPr>
        <w:t>18</w:t>
      </w:r>
      <w:r>
        <w:rPr>
          <w:noProof/>
        </w:rPr>
        <w:fldChar w:fldCharType="end"/>
      </w:r>
    </w:p>
    <w:p w:rsidR="00F939A9" w:rsidRDefault="00F939A9" w:rsidP="00F939A9">
      <w:pPr>
        <w:pStyle w:val="TOC8"/>
        <w:rPr>
          <w:rFonts w:asciiTheme="minorHAnsi" w:eastAsiaTheme="minorEastAsia" w:hAnsiTheme="minorHAnsi" w:cstheme="minorBidi"/>
          <w:i w:val="0"/>
          <w:noProof/>
          <w:sz w:val="22"/>
          <w:szCs w:val="22"/>
          <w:lang w:eastAsia="en-GB"/>
        </w:rPr>
      </w:pPr>
      <w:r>
        <w:rPr>
          <w:noProof/>
        </w:rPr>
        <w:t>TRANSPARENCY</w:t>
      </w:r>
    </w:p>
    <w:p w:rsidR="00F939A9" w:rsidRDefault="00F939A9" w:rsidP="00F939A9">
      <w:pPr>
        <w:pStyle w:val="TOC9"/>
      </w:pPr>
      <w:r>
        <w:rPr>
          <w:noProof/>
        </w:rPr>
        <w:t>Public access to documents</w:t>
      </w:r>
      <w:r>
        <w:rPr>
          <w:noProof/>
        </w:rPr>
        <w:tab/>
      </w:r>
      <w:r>
        <w:rPr>
          <w:noProof/>
        </w:rPr>
        <w:fldChar w:fldCharType="begin"/>
      </w:r>
      <w:r>
        <w:rPr>
          <w:noProof/>
        </w:rPr>
        <w:instrText xml:space="preserve"> PAGEREF \h _Toc431568648 \* MERGEFORMAT </w:instrText>
      </w:r>
      <w:r>
        <w:rPr>
          <w:noProof/>
        </w:rPr>
      </w:r>
      <w:r>
        <w:rPr>
          <w:noProof/>
        </w:rPr>
        <w:fldChar w:fldCharType="separate"/>
      </w:r>
      <w:r w:rsidR="005D5FD0">
        <w:rPr>
          <w:noProof/>
        </w:rPr>
        <w:t>18</w:t>
      </w:r>
      <w:r>
        <w:rPr>
          <w:noProof/>
        </w:rPr>
        <w:fldChar w:fldCharType="end"/>
      </w:r>
    </w:p>
    <w:p w:rsidR="004A25A1" w:rsidRPr="00F939A9" w:rsidRDefault="00117B2F" w:rsidP="00F939A9">
      <w:pPr>
        <w:pStyle w:val="ItemDebated"/>
      </w:pPr>
      <w:r>
        <w:rPr>
          <w:noProof/>
        </w:rPr>
        <w:br w:type="page"/>
      </w:r>
      <w:bookmarkStart w:id="4" w:name="_Toc431568600"/>
      <w:r w:rsidR="004A25A1" w:rsidRPr="00F939A9">
        <w:lastRenderedPageBreak/>
        <w:t>ITEMS DEBATED</w:t>
      </w:r>
      <w:bookmarkEnd w:id="4"/>
    </w:p>
    <w:p w:rsidR="005957E4" w:rsidRPr="005957E4" w:rsidRDefault="005957E4" w:rsidP="005957E4">
      <w:pPr>
        <w:pStyle w:val="ItemDebated"/>
      </w:pPr>
      <w:bookmarkStart w:id="5" w:name="_Toc431568601"/>
      <w:r w:rsidRPr="005957E4">
        <w:t>INTERNAL MARKET AND INDUSTRY</w:t>
      </w:r>
      <w:bookmarkEnd w:id="5"/>
    </w:p>
    <w:p w:rsidR="005832BA" w:rsidRDefault="005832BA" w:rsidP="005832BA">
      <w:pPr>
        <w:pStyle w:val="Sub-itemDebated"/>
      </w:pPr>
      <w:bookmarkStart w:id="6" w:name="_Toc431568602"/>
      <w:r w:rsidRPr="00AE76BA">
        <w:t>Competitiveness "check-up"</w:t>
      </w:r>
      <w:r w:rsidRPr="00A13667">
        <w:t>: mainstreaming of competitiveness across all EU policies</w:t>
      </w:r>
      <w:bookmarkEnd w:id="6"/>
    </w:p>
    <w:p w:rsidR="00AA3AA9" w:rsidRDefault="00AA3AA9" w:rsidP="00B7420C">
      <w:pPr>
        <w:rPr>
          <w:lang w:val="en-US"/>
        </w:rPr>
      </w:pPr>
      <w:r>
        <w:t>T</w:t>
      </w:r>
      <w:r w:rsidRPr="0092379C">
        <w:t>he</w:t>
      </w:r>
      <w:r>
        <w:t xml:space="preserve"> Luxembourg</w:t>
      </w:r>
      <w:r w:rsidRPr="0092379C">
        <w:t xml:space="preserve"> Presidency</w:t>
      </w:r>
      <w:r>
        <w:t xml:space="preserve"> </w:t>
      </w:r>
      <w:r w:rsidR="00B7420C">
        <w:t xml:space="preserve">has </w:t>
      </w:r>
      <w:r>
        <w:t xml:space="preserve">put in practice </w:t>
      </w:r>
      <w:r w:rsidRPr="0092379C">
        <w:t>a new working method</w:t>
      </w:r>
      <w:r>
        <w:t xml:space="preserve"> called the </w:t>
      </w:r>
      <w:r w:rsidR="00B7420C">
        <w:t>"</w:t>
      </w:r>
      <w:r w:rsidRPr="0092379C">
        <w:t>Competitiveness Check-up</w:t>
      </w:r>
      <w:r w:rsidR="00B7420C">
        <w:t>"</w:t>
      </w:r>
      <w:r w:rsidRPr="0092379C">
        <w:t xml:space="preserve"> </w:t>
      </w:r>
      <w:r>
        <w:t>aimed at improving the</w:t>
      </w:r>
      <w:r w:rsidRPr="0092379C">
        <w:rPr>
          <w:lang w:val="en-US"/>
        </w:rPr>
        <w:t xml:space="preserve"> </w:t>
      </w:r>
      <w:r>
        <w:rPr>
          <w:lang w:val="en-US"/>
        </w:rPr>
        <w:t>role of the Competitiveness</w:t>
      </w:r>
      <w:r w:rsidRPr="0092379C">
        <w:rPr>
          <w:lang w:val="en-US"/>
        </w:rPr>
        <w:t xml:space="preserve"> Council as regards the analysis of horizontal and sectoral </w:t>
      </w:r>
      <w:r>
        <w:rPr>
          <w:lang w:val="en-US"/>
        </w:rPr>
        <w:t xml:space="preserve">real </w:t>
      </w:r>
      <w:r w:rsidRPr="0092379C">
        <w:rPr>
          <w:lang w:val="en-US"/>
        </w:rPr>
        <w:t>econom</w:t>
      </w:r>
      <w:r>
        <w:rPr>
          <w:lang w:val="en-US"/>
        </w:rPr>
        <w:t>y</w:t>
      </w:r>
      <w:r w:rsidRPr="0092379C">
        <w:rPr>
          <w:lang w:val="en-US"/>
        </w:rPr>
        <w:t xml:space="preserve"> issues as well as the monitoring of competitiveness mainstreaming.</w:t>
      </w:r>
    </w:p>
    <w:p w:rsidR="00AA3AA9" w:rsidRDefault="00AA3AA9" w:rsidP="00AA3AA9">
      <w:pPr>
        <w:rPr>
          <w:lang w:val="en-US"/>
        </w:rPr>
      </w:pPr>
      <w:r>
        <w:rPr>
          <w:lang w:val="en-US"/>
        </w:rPr>
        <w:t>The outcome of the debates carried out under the new check-up process will allow the Presidency to table a report that will be forwarded to the Competitiveness Council on 30 November.</w:t>
      </w:r>
    </w:p>
    <w:p w:rsidR="00AA3AA9" w:rsidRPr="00040D65" w:rsidRDefault="00AA3AA9" w:rsidP="00B7420C">
      <w:pPr>
        <w:rPr>
          <w:lang w:val="en-US"/>
        </w:rPr>
      </w:pPr>
      <w:r>
        <w:rPr>
          <w:lang w:val="en-US"/>
        </w:rPr>
        <w:t xml:space="preserve">In line with the new method </w:t>
      </w:r>
      <w:r w:rsidRPr="00040D65">
        <w:rPr>
          <w:lang w:val="en-US"/>
        </w:rPr>
        <w:t xml:space="preserve">the </w:t>
      </w:r>
      <w:r>
        <w:rPr>
          <w:lang w:val="en-US"/>
        </w:rPr>
        <w:t>minister</w:t>
      </w:r>
      <w:r w:rsidR="00B7420C">
        <w:rPr>
          <w:lang w:val="en-US"/>
        </w:rPr>
        <w:t>s held two</w:t>
      </w:r>
      <w:r>
        <w:rPr>
          <w:lang w:val="en-US"/>
        </w:rPr>
        <w:t xml:space="preserve"> discussions</w:t>
      </w:r>
      <w:r w:rsidRPr="00040D65">
        <w:rPr>
          <w:lang w:val="en-US"/>
        </w:rPr>
        <w:t>:</w:t>
      </w:r>
    </w:p>
    <w:p w:rsidR="00AA3AA9" w:rsidRPr="00F939A9" w:rsidRDefault="00AA3AA9" w:rsidP="00B7420C">
      <w:pPr>
        <w:pStyle w:val="Tiret0"/>
      </w:pPr>
      <w:r w:rsidRPr="00F939A9">
        <w:t xml:space="preserve">a debate </w:t>
      </w:r>
      <w:r w:rsidR="00B7420C">
        <w:t>on</w:t>
      </w:r>
      <w:r w:rsidRPr="00F939A9">
        <w:t xml:space="preserve"> the latest economic trends and figures. The debate was based on a presentation by the Commission focusing on micro-economic issues – the core business of the Competitiveness Council, and</w:t>
      </w:r>
    </w:p>
    <w:p w:rsidR="00AA3AA9" w:rsidRPr="004F5524" w:rsidRDefault="00AA3AA9" w:rsidP="00F939A9">
      <w:pPr>
        <w:pStyle w:val="Tiret0"/>
        <w:rPr>
          <w:lang w:val="en-US"/>
        </w:rPr>
      </w:pPr>
      <w:r w:rsidRPr="004F5524">
        <w:rPr>
          <w:lang w:val="en-US"/>
        </w:rPr>
        <w:t xml:space="preserve">a debate on </w:t>
      </w:r>
      <w:r>
        <w:rPr>
          <w:lang w:val="en-US"/>
        </w:rPr>
        <w:t xml:space="preserve">competitiveness mainstreaming, on the basis of a list of major EU initiatives that have a potential impact on </w:t>
      </w:r>
      <w:r w:rsidRPr="00F939A9">
        <w:t>competitiveness</w:t>
      </w:r>
      <w:r>
        <w:rPr>
          <w:lang w:val="en-US"/>
        </w:rPr>
        <w:t>.</w:t>
      </w:r>
    </w:p>
    <w:p w:rsidR="00AA3AA9" w:rsidRDefault="00AA3AA9" w:rsidP="00AA3AA9">
      <w:pPr>
        <w:rPr>
          <w:lang w:val="en-US"/>
        </w:rPr>
      </w:pPr>
      <w:r>
        <w:rPr>
          <w:lang w:val="en-US"/>
        </w:rPr>
        <w:t>Ministers addressed the most urgent issues</w:t>
      </w:r>
      <w:r w:rsidRPr="00655A31">
        <w:rPr>
          <w:lang w:val="en-US"/>
        </w:rPr>
        <w:t xml:space="preserve"> </w:t>
      </w:r>
      <w:r>
        <w:rPr>
          <w:lang w:val="en-US"/>
        </w:rPr>
        <w:t>and</w:t>
      </w:r>
      <w:r w:rsidRPr="00040D65">
        <w:rPr>
          <w:lang w:val="en-US"/>
        </w:rPr>
        <w:t xml:space="preserve"> recent developments in</w:t>
      </w:r>
      <w:r>
        <w:rPr>
          <w:lang w:val="en-US"/>
        </w:rPr>
        <w:t xml:space="preserve"> areas of the real economy at national and European level.</w:t>
      </w:r>
    </w:p>
    <w:p w:rsidR="00AA3AA9" w:rsidRDefault="00AA3AA9" w:rsidP="00B7420C">
      <w:pPr>
        <w:rPr>
          <w:lang w:val="en-US"/>
        </w:rPr>
      </w:pPr>
      <w:r>
        <w:rPr>
          <w:lang w:val="en-US"/>
        </w:rPr>
        <w:t xml:space="preserve">Many participants took the view that </w:t>
      </w:r>
      <w:r w:rsidR="00B7420C">
        <w:rPr>
          <w:lang w:val="en-US"/>
        </w:rPr>
        <w:t xml:space="preserve">it was necessary </w:t>
      </w:r>
      <w:r>
        <w:rPr>
          <w:lang w:val="en-US"/>
        </w:rPr>
        <w:t>to help EU companies to increase their level of competitiveness and to expand by making regulatory conditions simple and predictable. This wo</w:t>
      </w:r>
      <w:r w:rsidR="00B7420C">
        <w:rPr>
          <w:lang w:val="en-US"/>
        </w:rPr>
        <w:t>uld also contribute to stimulating</w:t>
      </w:r>
      <w:r>
        <w:rPr>
          <w:lang w:val="en-US"/>
        </w:rPr>
        <w:t xml:space="preserve"> the level of investments in Europe.</w:t>
      </w:r>
    </w:p>
    <w:p w:rsidR="00AA3AA9" w:rsidRDefault="00AA3AA9" w:rsidP="00AA3AA9">
      <w:pPr>
        <w:rPr>
          <w:lang w:val="en-US"/>
        </w:rPr>
      </w:pPr>
      <w:r>
        <w:rPr>
          <w:lang w:val="en-US"/>
        </w:rPr>
        <w:t>There was a broad consensus that EU rules should be more efficient and contain a real added-value for consumers and companies.</w:t>
      </w:r>
    </w:p>
    <w:p w:rsidR="00AA3AA9" w:rsidRDefault="00AA3AA9" w:rsidP="00FB79D0">
      <w:pPr>
        <w:rPr>
          <w:lang w:val="en-US"/>
        </w:rPr>
      </w:pPr>
      <w:r>
        <w:rPr>
          <w:lang w:val="en-US"/>
        </w:rPr>
        <w:t xml:space="preserve">A large number of delegations drew attention to aspects of trade policy in relation </w:t>
      </w:r>
      <w:r w:rsidR="00FB79D0">
        <w:rPr>
          <w:lang w:val="en-US"/>
        </w:rPr>
        <w:t>to</w:t>
      </w:r>
      <w:r>
        <w:rPr>
          <w:lang w:val="en-US"/>
        </w:rPr>
        <w:t xml:space="preserve"> the competitiveness capacity of European industries and businesses.</w:t>
      </w:r>
    </w:p>
    <w:p w:rsidR="00AA3AA9" w:rsidRDefault="00F939A9" w:rsidP="005642AF">
      <w:pPr>
        <w:rPr>
          <w:lang w:val="en-US"/>
        </w:rPr>
      </w:pPr>
      <w:r>
        <w:rPr>
          <w:lang w:val="en-US"/>
        </w:rPr>
        <w:br w:type="page"/>
      </w:r>
      <w:r w:rsidR="00AA3AA9">
        <w:rPr>
          <w:lang w:val="en-US"/>
        </w:rPr>
        <w:lastRenderedPageBreak/>
        <w:t>Among the main challenges ahead to boost competitiveness</w:t>
      </w:r>
      <w:r w:rsidR="005642AF">
        <w:rPr>
          <w:lang w:val="en-US"/>
        </w:rPr>
        <w:t>, the following</w:t>
      </w:r>
      <w:r w:rsidR="00AA3AA9">
        <w:rPr>
          <w:lang w:val="en-US"/>
        </w:rPr>
        <w:t xml:space="preserve"> were mentioned:</w:t>
      </w:r>
    </w:p>
    <w:p w:rsidR="00AA3AA9" w:rsidRDefault="00AA3AA9" w:rsidP="005642AF">
      <w:pPr>
        <w:pStyle w:val="Tiret0"/>
        <w:rPr>
          <w:lang w:val="en-US"/>
        </w:rPr>
      </w:pPr>
      <w:r>
        <w:rPr>
          <w:lang w:val="en-US"/>
        </w:rPr>
        <w:t xml:space="preserve">the </w:t>
      </w:r>
      <w:proofErr w:type="spellStart"/>
      <w:r>
        <w:rPr>
          <w:lang w:val="en-US"/>
        </w:rPr>
        <w:t>digitali</w:t>
      </w:r>
      <w:r w:rsidR="005642AF">
        <w:rPr>
          <w:lang w:val="en-US"/>
        </w:rPr>
        <w:t>s</w:t>
      </w:r>
      <w:r>
        <w:rPr>
          <w:lang w:val="en-US"/>
        </w:rPr>
        <w:t>ation</w:t>
      </w:r>
      <w:proofErr w:type="spellEnd"/>
      <w:r>
        <w:rPr>
          <w:lang w:val="en-US"/>
        </w:rPr>
        <w:t xml:space="preserve"> of </w:t>
      </w:r>
      <w:r w:rsidRPr="00F939A9">
        <w:t>the</w:t>
      </w:r>
      <w:r>
        <w:rPr>
          <w:lang w:val="en-US"/>
        </w:rPr>
        <w:t xml:space="preserve"> single market, of the industry and the SMEs,</w:t>
      </w:r>
    </w:p>
    <w:p w:rsidR="00AA3AA9" w:rsidRDefault="00AA3AA9" w:rsidP="00F939A9">
      <w:pPr>
        <w:pStyle w:val="Tiret0"/>
        <w:rPr>
          <w:lang w:val="en-US"/>
        </w:rPr>
      </w:pPr>
      <w:r>
        <w:rPr>
          <w:lang w:val="en-US"/>
        </w:rPr>
        <w:t xml:space="preserve">application of smart </w:t>
      </w:r>
      <w:r w:rsidRPr="00F939A9">
        <w:t>regulation</w:t>
      </w:r>
      <w:r>
        <w:rPr>
          <w:lang w:val="en-US"/>
        </w:rPr>
        <w:t xml:space="preserve"> principles without undermining the level of protection of consumers and workers,</w:t>
      </w:r>
    </w:p>
    <w:p w:rsidR="00D33366" w:rsidRDefault="00AA3AA9" w:rsidP="00F939A9">
      <w:pPr>
        <w:pStyle w:val="Tiret0"/>
        <w:rPr>
          <w:lang w:val="en-US"/>
        </w:rPr>
      </w:pPr>
      <w:r>
        <w:rPr>
          <w:lang w:val="en-US"/>
        </w:rPr>
        <w:t>support to clusters for innovation.</w:t>
      </w:r>
    </w:p>
    <w:p w:rsidR="00AA3AA9" w:rsidRPr="00040D65" w:rsidRDefault="00AA3AA9" w:rsidP="00C64BF1">
      <w:pPr>
        <w:rPr>
          <w:lang w:val="en-US"/>
        </w:rPr>
      </w:pPr>
      <w:r>
        <w:rPr>
          <w:lang w:val="en-US"/>
        </w:rPr>
        <w:t xml:space="preserve">In order to facilitate the </w:t>
      </w:r>
      <w:r w:rsidRPr="00040D65">
        <w:rPr>
          <w:lang w:val="en-US"/>
        </w:rPr>
        <w:t>debate</w:t>
      </w:r>
      <w:r>
        <w:rPr>
          <w:lang w:val="en-US"/>
        </w:rPr>
        <w:t xml:space="preserve">, the </w:t>
      </w:r>
      <w:r w:rsidRPr="00040D65">
        <w:rPr>
          <w:lang w:val="en-US"/>
        </w:rPr>
        <w:t xml:space="preserve">Presidency </w:t>
      </w:r>
      <w:r>
        <w:rPr>
          <w:lang w:val="en-US"/>
        </w:rPr>
        <w:t xml:space="preserve">drew up </w:t>
      </w:r>
      <w:r w:rsidRPr="00040D65">
        <w:rPr>
          <w:lang w:val="en-US"/>
        </w:rPr>
        <w:t>an indicative non-exhaustive list of current and upcoming initiatives that are likely to have a signif</w:t>
      </w:r>
      <w:r>
        <w:rPr>
          <w:lang w:val="en-US"/>
        </w:rPr>
        <w:t xml:space="preserve">icant impact on competitiveness, including initiatives dealt with by other Council </w:t>
      </w:r>
      <w:r w:rsidR="00C64BF1">
        <w:rPr>
          <w:lang w:val="en-US"/>
        </w:rPr>
        <w:t>configurations</w:t>
      </w:r>
      <w:r w:rsidRPr="00040D65">
        <w:rPr>
          <w:lang w:val="en-US"/>
        </w:rPr>
        <w:t xml:space="preserve">. </w:t>
      </w:r>
      <w:r>
        <w:rPr>
          <w:lang w:val="en-US"/>
        </w:rPr>
        <w:t xml:space="preserve">This </w:t>
      </w:r>
      <w:r w:rsidRPr="00040D65">
        <w:rPr>
          <w:lang w:val="en-US"/>
        </w:rPr>
        <w:t>provide</w:t>
      </w:r>
      <w:r>
        <w:rPr>
          <w:lang w:val="en-US"/>
        </w:rPr>
        <w:t>d</w:t>
      </w:r>
      <w:r w:rsidRPr="00040D65">
        <w:rPr>
          <w:lang w:val="en-US"/>
        </w:rPr>
        <w:t xml:space="preserve"> </w:t>
      </w:r>
      <w:r>
        <w:rPr>
          <w:lang w:val="en-US"/>
        </w:rPr>
        <w:t>ministers</w:t>
      </w:r>
      <w:r w:rsidRPr="00040D65">
        <w:rPr>
          <w:lang w:val="en-US"/>
        </w:rPr>
        <w:t xml:space="preserve"> with an informal overview of key files fo</w:t>
      </w:r>
      <w:r>
        <w:rPr>
          <w:lang w:val="en-US"/>
        </w:rPr>
        <w:t>r competitiveness mainstreaming</w:t>
      </w:r>
      <w:r w:rsidRPr="00040D65">
        <w:rPr>
          <w:lang w:val="en-US"/>
        </w:rPr>
        <w:t>.</w:t>
      </w:r>
    </w:p>
    <w:p w:rsidR="00AA3AA9" w:rsidRDefault="00AA3AA9" w:rsidP="00AA3AA9">
      <w:pPr>
        <w:rPr>
          <w:lang w:val="en-US"/>
        </w:rPr>
      </w:pPr>
      <w:r w:rsidRPr="004F5524">
        <w:rPr>
          <w:lang w:val="en-US"/>
        </w:rPr>
        <w:t>The objective of mainstreaming competitiveness in other relevant policies is to ensure that the impact on the competitiveness of the European economy is better taken into account when implementing EU rules and developing new policy initiatives, with a view to creating sustainable economic growth and jobs.</w:t>
      </w:r>
    </w:p>
    <w:p w:rsidR="00AA3AA9" w:rsidRDefault="00AA3AA9" w:rsidP="00AA3AA9">
      <w:pPr>
        <w:rPr>
          <w:lang w:val="en-US"/>
        </w:rPr>
      </w:pPr>
      <w:r>
        <w:rPr>
          <w:lang w:val="en-US"/>
        </w:rPr>
        <w:t xml:space="preserve">The new working method was announced by the Presidency at the </w:t>
      </w:r>
      <w:hyperlink r:id="rId16" w:history="1">
        <w:r w:rsidRPr="00D129F3">
          <w:rPr>
            <w:rStyle w:val="Hyperlink"/>
            <w:lang w:val="en-US"/>
          </w:rPr>
          <w:t>informal ministerial meeting on competitiveness</w:t>
        </w:r>
      </w:hyperlink>
      <w:r>
        <w:rPr>
          <w:lang w:val="en-US"/>
        </w:rPr>
        <w:t xml:space="preserve"> held on 20 July in Luxembourg.</w:t>
      </w:r>
    </w:p>
    <w:p w:rsidR="00AA3AA9" w:rsidRDefault="00AA3AA9" w:rsidP="00C64BF1">
      <w:pPr>
        <w:rPr>
          <w:lang w:val="en-US"/>
        </w:rPr>
      </w:pPr>
      <w:r>
        <w:rPr>
          <w:lang w:val="en-US"/>
        </w:rPr>
        <w:t xml:space="preserve">In </w:t>
      </w:r>
      <w:r w:rsidRPr="00040D65">
        <w:rPr>
          <w:lang w:val="en-US"/>
        </w:rPr>
        <w:t>September 2014</w:t>
      </w:r>
      <w:r>
        <w:rPr>
          <w:lang w:val="en-US"/>
        </w:rPr>
        <w:t xml:space="preserve">, the Competitiveness </w:t>
      </w:r>
      <w:r w:rsidRPr="00040D65">
        <w:rPr>
          <w:lang w:val="en-US"/>
        </w:rPr>
        <w:t xml:space="preserve">Council </w:t>
      </w:r>
      <w:r w:rsidR="00C64BF1">
        <w:rPr>
          <w:lang w:val="en-US"/>
        </w:rPr>
        <w:t>undertook</w:t>
      </w:r>
      <w:r>
        <w:rPr>
          <w:lang w:val="en-US"/>
        </w:rPr>
        <w:t xml:space="preserve"> to </w:t>
      </w:r>
      <w:r w:rsidRPr="00D52AC5">
        <w:rPr>
          <w:lang w:val="en-US"/>
        </w:rPr>
        <w:t xml:space="preserve">carry out in a more structured and more systematic manner its mandate to examine all relevant proposals that have </w:t>
      </w:r>
      <w:r w:rsidR="00C64BF1">
        <w:rPr>
          <w:lang w:val="en-US"/>
        </w:rPr>
        <w:t xml:space="preserve">a </w:t>
      </w:r>
      <w:r w:rsidRPr="00D52AC5">
        <w:rPr>
          <w:lang w:val="en-US"/>
        </w:rPr>
        <w:t xml:space="preserve">substantial </w:t>
      </w:r>
      <w:r w:rsidR="00C64BF1">
        <w:rPr>
          <w:lang w:val="en-US"/>
        </w:rPr>
        <w:t xml:space="preserve">impact </w:t>
      </w:r>
      <w:r w:rsidRPr="00D52AC5">
        <w:rPr>
          <w:lang w:val="en-US"/>
        </w:rPr>
        <w:t>on competitiveness.</w:t>
      </w:r>
    </w:p>
    <w:p w:rsidR="0093143B" w:rsidRPr="005957E4" w:rsidRDefault="00123F94" w:rsidP="00AC2F63">
      <w:pPr>
        <w:pStyle w:val="Sub-itemDebated"/>
      </w:pPr>
      <w:r>
        <w:br w:type="page"/>
      </w:r>
      <w:bookmarkStart w:id="7" w:name="_Toc431568603"/>
      <w:r w:rsidR="0093143B" w:rsidRPr="005957E4">
        <w:lastRenderedPageBreak/>
        <w:t>A</w:t>
      </w:r>
      <w:r w:rsidR="00AC2F63">
        <w:t>NY OTHER BUSINESS</w:t>
      </w:r>
      <w:bookmarkEnd w:id="7"/>
    </w:p>
    <w:p w:rsidR="005832BA" w:rsidRDefault="005832BA" w:rsidP="00F939A9">
      <w:pPr>
        <w:pStyle w:val="Sub-sub-itemDebated"/>
        <w:numPr>
          <w:ilvl w:val="0"/>
          <w:numId w:val="1"/>
        </w:numPr>
      </w:pPr>
      <w:bookmarkStart w:id="8" w:name="_Toc431568604"/>
      <w:r w:rsidRPr="00A920E0">
        <w:t xml:space="preserve">Unitary </w:t>
      </w:r>
      <w:r>
        <w:t>p</w:t>
      </w:r>
      <w:r w:rsidRPr="00A920E0">
        <w:t>atent</w:t>
      </w:r>
      <w:r w:rsidRPr="00D354DC">
        <w:t xml:space="preserve"> protection system</w:t>
      </w:r>
      <w:bookmarkEnd w:id="8"/>
    </w:p>
    <w:p w:rsidR="00AA3AA9" w:rsidRDefault="00AA3AA9" w:rsidP="0065139D">
      <w:r>
        <w:t xml:space="preserve">The Council took note of </w:t>
      </w:r>
      <w:hyperlink r:id="rId17" w:history="1">
        <w:r w:rsidRPr="006555A5">
          <w:rPr>
            <w:rStyle w:val="Hyperlink"/>
          </w:rPr>
          <w:t>updated information</w:t>
        </w:r>
      </w:hyperlink>
      <w:r>
        <w:t xml:space="preserve"> on how the implementation of the unitary patent protection system is progressing. It also took note of Italy</w:t>
      </w:r>
      <w:r w:rsidR="0065139D">
        <w:t>'s participation in</w:t>
      </w:r>
      <w:r>
        <w:t xml:space="preserve"> the enhanced cooperation </w:t>
      </w:r>
      <w:r w:rsidR="0065139D">
        <w:t xml:space="preserve">in the area </w:t>
      </w:r>
      <w:r>
        <w:t>of unitary patent protection.</w:t>
      </w:r>
    </w:p>
    <w:p w:rsidR="00AA3AA9" w:rsidRDefault="00AA3AA9" w:rsidP="00AA3AA9">
      <w:r w:rsidRPr="004829B8">
        <w:t xml:space="preserve">In the margins of the Council, the signing ceremony of a </w:t>
      </w:r>
      <w:r>
        <w:t>p</w:t>
      </w:r>
      <w:r w:rsidRPr="004829B8">
        <w:t xml:space="preserve">rotocol </w:t>
      </w:r>
      <w:r>
        <w:t>to</w:t>
      </w:r>
      <w:r w:rsidRPr="004829B8">
        <w:t xml:space="preserve"> the</w:t>
      </w:r>
      <w:r>
        <w:t xml:space="preserve"> a</w:t>
      </w:r>
      <w:r w:rsidRPr="004829B8">
        <w:t>greement of the Unified Patent Court</w:t>
      </w:r>
      <w:r>
        <w:t xml:space="preserve"> (UPC) took place</w:t>
      </w:r>
      <w:r w:rsidRPr="004829B8">
        <w:t>.</w:t>
      </w:r>
    </w:p>
    <w:p w:rsidR="00AA3AA9" w:rsidRDefault="00AA3AA9" w:rsidP="0065139D">
      <w:r>
        <w:t xml:space="preserve">The protocol to the UPC agreement will allow </w:t>
      </w:r>
      <w:r w:rsidRPr="004F0567">
        <w:t xml:space="preserve">for the provisional application of institutional, organisational and financial provisions of the </w:t>
      </w:r>
      <w:r>
        <w:t xml:space="preserve">agreement </w:t>
      </w:r>
      <w:r w:rsidRPr="004F0567">
        <w:t xml:space="preserve">six months before </w:t>
      </w:r>
      <w:r w:rsidR="0065139D">
        <w:t>it</w:t>
      </w:r>
      <w:r>
        <w:t xml:space="preserve"> </w:t>
      </w:r>
      <w:r w:rsidRPr="004F0567">
        <w:t>enters into force.</w:t>
      </w:r>
    </w:p>
    <w:p w:rsidR="00AA3AA9" w:rsidRDefault="00AA3AA9" w:rsidP="0065139D">
      <w:r w:rsidRPr="005A2AFA">
        <w:t xml:space="preserve">The unitary patent protection package will enter into force when </w:t>
      </w:r>
      <w:r w:rsidR="0065139D">
        <w:t>13</w:t>
      </w:r>
      <w:r w:rsidRPr="005A2AFA">
        <w:t xml:space="preserve"> participating </w:t>
      </w:r>
      <w:r>
        <w:t xml:space="preserve">countries </w:t>
      </w:r>
      <w:r w:rsidRPr="005A2AFA">
        <w:t>(including France, Germany and the U</w:t>
      </w:r>
      <w:r>
        <w:t xml:space="preserve">nited </w:t>
      </w:r>
      <w:r w:rsidRPr="005A2AFA">
        <w:t>K</w:t>
      </w:r>
      <w:r>
        <w:t>ingdom</w:t>
      </w:r>
      <w:r w:rsidRPr="005A2AFA">
        <w:t>) have ratified the</w:t>
      </w:r>
      <w:r>
        <w:t xml:space="preserve"> UPC</w:t>
      </w:r>
      <w:r w:rsidRPr="005A2AFA">
        <w:t xml:space="preserve"> agreement.</w:t>
      </w:r>
      <w:r w:rsidRPr="00026ECE">
        <w:t xml:space="preserve"> </w:t>
      </w:r>
      <w:r w:rsidRPr="005A2AFA">
        <w:t xml:space="preserve">Eight </w:t>
      </w:r>
      <w:r>
        <w:t xml:space="preserve">countries </w:t>
      </w:r>
      <w:r w:rsidRPr="005A2AFA">
        <w:t xml:space="preserve">have up to now ratified the agreement to establish the </w:t>
      </w:r>
      <w:r>
        <w:t>new c</w:t>
      </w:r>
      <w:r w:rsidRPr="005A2AFA">
        <w:t>ourt.</w:t>
      </w:r>
    </w:p>
    <w:p w:rsidR="00AA3AA9" w:rsidRDefault="00AA3AA9" w:rsidP="00AA3AA9">
      <w:r>
        <w:t>The Commission urged the remaining countries to speed up their internal ratification procedures.</w:t>
      </w:r>
    </w:p>
    <w:p w:rsidR="00AA3AA9" w:rsidRDefault="00AA3AA9" w:rsidP="00AA3AA9">
      <w:r>
        <w:t xml:space="preserve">The UPC agreement was </w:t>
      </w:r>
      <w:hyperlink r:id="rId18" w:history="1">
        <w:r w:rsidRPr="005E74AD">
          <w:rPr>
            <w:rStyle w:val="Hyperlink"/>
          </w:rPr>
          <w:t>signed on 19 February 2013</w:t>
        </w:r>
      </w:hyperlink>
      <w:r>
        <w:t>.</w:t>
      </w:r>
    </w:p>
    <w:p w:rsidR="00AA3AA9" w:rsidRDefault="00AA3AA9" w:rsidP="009A20FF">
      <w:pPr>
        <w:tabs>
          <w:tab w:val="num" w:pos="1134"/>
        </w:tabs>
      </w:pPr>
      <w:r>
        <w:t xml:space="preserve">To </w:t>
      </w:r>
      <w:hyperlink r:id="rId19" w:history="1">
        <w:r w:rsidRPr="009A20FF">
          <w:rPr>
            <w:rStyle w:val="Hyperlink"/>
          </w:rPr>
          <w:t>watch the ceremony</w:t>
        </w:r>
      </w:hyperlink>
    </w:p>
    <w:p w:rsidR="009A20FF" w:rsidRDefault="00AA3AA9" w:rsidP="009A20FF">
      <w:pPr>
        <w:tabs>
          <w:tab w:val="num" w:pos="1134"/>
        </w:tabs>
        <w:rPr>
          <w:rFonts w:asciiTheme="majorBidi" w:hAnsiTheme="majorBidi" w:cstheme="majorBidi"/>
        </w:rPr>
      </w:pPr>
      <w:r w:rsidRPr="00AA3AA9">
        <w:rPr>
          <w:rFonts w:asciiTheme="majorBidi" w:hAnsiTheme="majorBidi" w:cstheme="majorBidi"/>
        </w:rPr>
        <w:t xml:space="preserve">See also </w:t>
      </w:r>
      <w:hyperlink r:id="rId20" w:history="1">
        <w:r w:rsidRPr="009A20FF">
          <w:rPr>
            <w:rStyle w:val="Hyperlink"/>
            <w:rFonts w:asciiTheme="majorBidi" w:hAnsiTheme="majorBidi" w:cstheme="majorBidi"/>
          </w:rPr>
          <w:t>European Patent Office press release</w:t>
        </w:r>
      </w:hyperlink>
    </w:p>
    <w:p w:rsidR="005832BA" w:rsidRDefault="005832BA" w:rsidP="009A20FF">
      <w:pPr>
        <w:pStyle w:val="Sub-sub-itemDebated"/>
      </w:pPr>
      <w:bookmarkStart w:id="9" w:name="_Toc431568605"/>
      <w:r>
        <w:t>Accounting directive</w:t>
      </w:r>
      <w:bookmarkEnd w:id="9"/>
    </w:p>
    <w:p w:rsidR="00AA3AA9" w:rsidRDefault="00AA3AA9" w:rsidP="0065139D">
      <w:r>
        <w:t xml:space="preserve">At the request of the </w:t>
      </w:r>
      <w:hyperlink r:id="rId21" w:history="1">
        <w:r w:rsidRPr="003E3F87">
          <w:rPr>
            <w:rStyle w:val="Hyperlink"/>
          </w:rPr>
          <w:t>Dutch delegation</w:t>
        </w:r>
      </w:hyperlink>
      <w:r>
        <w:t xml:space="preserve">, the Council took note of information </w:t>
      </w:r>
      <w:r w:rsidR="0065139D">
        <w:t>from</w:t>
      </w:r>
      <w:r>
        <w:t xml:space="preserve"> the Commission on international developments in the field of transparency reporting requirements for the extractive industries under the </w:t>
      </w:r>
      <w:hyperlink r:id="rId22" w:history="1">
        <w:r w:rsidRPr="008220FF">
          <w:rPr>
            <w:rStyle w:val="Hyperlink"/>
          </w:rPr>
          <w:t>EU's Accounting Directive</w:t>
        </w:r>
      </w:hyperlink>
      <w:r>
        <w:t>, and particularly against the background of the level of transparency requirements for these industries in the United States of America.</w:t>
      </w:r>
    </w:p>
    <w:p w:rsidR="00AA3AA9" w:rsidRDefault="00F939A9" w:rsidP="00AA3AA9">
      <w:r>
        <w:br w:type="page"/>
      </w:r>
      <w:r w:rsidR="00AA3AA9">
        <w:lastRenderedPageBreak/>
        <w:t>Some delegations supported the Dutch request and stressed the need to work in close cooperation with the USA with a view to promoting global standards and a level playing field on transparency requirements.</w:t>
      </w:r>
    </w:p>
    <w:p w:rsidR="00AA3AA9" w:rsidRDefault="00AA3AA9" w:rsidP="00AA3AA9">
      <w:r>
        <w:t>The Commission will continue to keep the Council informed on further international developments in relation to these issues.</w:t>
      </w:r>
    </w:p>
    <w:p w:rsidR="005832BA" w:rsidRDefault="005832BA" w:rsidP="005832BA">
      <w:pPr>
        <w:pStyle w:val="Sub-sub-itemDebated"/>
      </w:pPr>
      <w:bookmarkStart w:id="10" w:name="_Toc431568606"/>
      <w:r w:rsidRPr="005832BA">
        <w:t>EU-ESA (European Space Agency) ministerial meeting</w:t>
      </w:r>
      <w:bookmarkEnd w:id="10"/>
    </w:p>
    <w:p w:rsidR="00AA3AA9" w:rsidRDefault="00AA3AA9" w:rsidP="00AA3AA9">
      <w:r>
        <w:t xml:space="preserve">The Presidency briefed the Council on preparations for the upcoming informal joint ministerial meeting between the EU and the </w:t>
      </w:r>
      <w:hyperlink r:id="rId23" w:history="1">
        <w:r w:rsidRPr="00CB1841">
          <w:rPr>
            <w:rStyle w:val="Hyperlink"/>
          </w:rPr>
          <w:t>ESA</w:t>
        </w:r>
      </w:hyperlink>
      <w:r>
        <w:t xml:space="preserve"> (informal 'Space Council') to take place in Brussels, Belgium, on 30 November 2015.</w:t>
      </w:r>
    </w:p>
    <w:p w:rsidR="005832BA" w:rsidRPr="00217483" w:rsidRDefault="005832BA" w:rsidP="005832BA">
      <w:pPr>
        <w:pStyle w:val="Sub-sub-itemDebated"/>
      </w:pPr>
      <w:bookmarkStart w:id="11" w:name="_Toc431568607"/>
      <w:r w:rsidRPr="00217483">
        <w:t>Emissions Trading System</w:t>
      </w:r>
      <w:bookmarkEnd w:id="11"/>
    </w:p>
    <w:p w:rsidR="00AA3AA9" w:rsidRDefault="00AA3AA9" w:rsidP="0055046C">
      <w:r>
        <w:t>At the informal working</w:t>
      </w:r>
      <w:r w:rsidRPr="00832F5C">
        <w:t xml:space="preserve"> lunch</w:t>
      </w:r>
      <w:r>
        <w:t xml:space="preserve">, ministers exchanged views on </w:t>
      </w:r>
      <w:r w:rsidRPr="00832F5C">
        <w:t>the reform of the European Emiss</w:t>
      </w:r>
      <w:r>
        <w:t>ions Trading System (“EU ETS”), focus</w:t>
      </w:r>
      <w:r w:rsidR="0055046C">
        <w:t>ing in particular</w:t>
      </w:r>
      <w:r>
        <w:t xml:space="preserve"> on the competitiveness aspects of the proposal.</w:t>
      </w:r>
    </w:p>
    <w:p w:rsidR="00AA3AA9" w:rsidRDefault="00AA3AA9" w:rsidP="0055046C">
      <w:r>
        <w:t>Given the potential implications of the system for EU competitiveness, ministers considered that the Competitiveness Council c</w:t>
      </w:r>
      <w:r w:rsidR="0055046C">
        <w:t>ould</w:t>
      </w:r>
      <w:r>
        <w:t xml:space="preserve"> provide added value to the ongoing analysis of the proposal.</w:t>
      </w:r>
    </w:p>
    <w:p w:rsidR="00AA3AA9" w:rsidRPr="006555A5" w:rsidRDefault="00AA3AA9" w:rsidP="0055046C">
      <w:r>
        <w:t>T</w:t>
      </w:r>
      <w:r w:rsidRPr="006555A5">
        <w:t xml:space="preserve">he </w:t>
      </w:r>
      <w:hyperlink r:id="rId24" w:history="1">
        <w:r w:rsidRPr="00566964">
          <w:rPr>
            <w:rStyle w:val="Hyperlink"/>
          </w:rPr>
          <w:t>proposal for the revision of the EU ETS</w:t>
        </w:r>
      </w:hyperlink>
      <w:r w:rsidRPr="006555A5">
        <w:t xml:space="preserve"> reflect</w:t>
      </w:r>
      <w:r>
        <w:t>s</w:t>
      </w:r>
      <w:r w:rsidRPr="006555A5">
        <w:t xml:space="preserve"> the EU's commitment to decarbonisation while protecting industry. In particular, the carbon leakage provisions would continue after 2020. The free allocation of allowances would be provided for, even if the number was limited and continued to decrease. Low-carbon innovation would be supported through an Innovation Fund. A </w:t>
      </w:r>
      <w:r>
        <w:t>M</w:t>
      </w:r>
      <w:r w:rsidRPr="006555A5">
        <w:t>odernisation Fund would be established to modernise energy systems in lower</w:t>
      </w:r>
      <w:r w:rsidR="0055046C">
        <w:t>-</w:t>
      </w:r>
      <w:r w:rsidRPr="006555A5">
        <w:t>income member states.</w:t>
      </w:r>
    </w:p>
    <w:p w:rsidR="005832BA" w:rsidRDefault="005832BA" w:rsidP="005832BA">
      <w:pPr>
        <w:pStyle w:val="Sub-sub-itemDebated"/>
      </w:pPr>
      <w:bookmarkStart w:id="12" w:name="_Toc431568608"/>
      <w:r w:rsidRPr="00217483">
        <w:rPr>
          <w:bCs/>
        </w:rPr>
        <w:t>Automotive sector</w:t>
      </w:r>
      <w:bookmarkEnd w:id="12"/>
    </w:p>
    <w:p w:rsidR="00AA3AA9" w:rsidRDefault="00AA3AA9" w:rsidP="008D74E7">
      <w:r w:rsidRPr="004D66C0">
        <w:t xml:space="preserve">The second </w:t>
      </w:r>
      <w:r>
        <w:t xml:space="preserve">part </w:t>
      </w:r>
      <w:r w:rsidRPr="004D66C0">
        <w:t xml:space="preserve">of the </w:t>
      </w:r>
      <w:r>
        <w:t xml:space="preserve">working </w:t>
      </w:r>
      <w:r w:rsidRPr="004D66C0">
        <w:t xml:space="preserve">lunch </w:t>
      </w:r>
      <w:r>
        <w:t xml:space="preserve">was </w:t>
      </w:r>
      <w:r w:rsidRPr="004D66C0">
        <w:t>devoted to tak</w:t>
      </w:r>
      <w:r w:rsidR="008D74E7">
        <w:t>ing</w:t>
      </w:r>
      <w:r w:rsidRPr="004D66C0">
        <w:t xml:space="preserve"> stock of recent development</w:t>
      </w:r>
      <w:r>
        <w:t>s</w:t>
      </w:r>
      <w:r w:rsidRPr="004D66C0">
        <w:t xml:space="preserve"> concerning the automotive sector</w:t>
      </w:r>
      <w:r>
        <w:t>, following revelations</w:t>
      </w:r>
      <w:r w:rsidRPr="0018455A">
        <w:t xml:space="preserve"> of non</w:t>
      </w:r>
      <w:r w:rsidR="008D74E7">
        <w:t>-</w:t>
      </w:r>
      <w:r w:rsidRPr="0018455A">
        <w:t>compliance with air pollutant car emissions.</w:t>
      </w:r>
    </w:p>
    <w:p w:rsidR="00AA3AA9" w:rsidRPr="00B9607D" w:rsidRDefault="00AA3AA9" w:rsidP="008D74E7">
      <w:r w:rsidRPr="00B9607D">
        <w:t xml:space="preserve">Ministers explained that national authorities </w:t>
      </w:r>
      <w:r w:rsidR="008D74E7">
        <w:t>were</w:t>
      </w:r>
      <w:r w:rsidRPr="00B9607D">
        <w:t xml:space="preserve"> closely monitoring </w:t>
      </w:r>
      <w:r>
        <w:t>the situation</w:t>
      </w:r>
      <w:r w:rsidR="008D74E7">
        <w:t>,</w:t>
      </w:r>
      <w:r>
        <w:t xml:space="preserve"> in close cooperation with the Commission.</w:t>
      </w:r>
    </w:p>
    <w:p w:rsidR="00AA3AA9" w:rsidRPr="00B9607D" w:rsidRDefault="00F939A9" w:rsidP="00AA3AA9">
      <w:r>
        <w:br w:type="page"/>
      </w:r>
      <w:r w:rsidR="00AA3AA9" w:rsidRPr="00B9607D">
        <w:lastRenderedPageBreak/>
        <w:t>They recalled that EU law must be respected and that breaches against environmental, health and consumer protection laws may have particularly damaging effects.</w:t>
      </w:r>
    </w:p>
    <w:p w:rsidR="00AA3AA9" w:rsidRPr="00B9607D" w:rsidRDefault="00AA3AA9" w:rsidP="008E1DA4">
      <w:r w:rsidRPr="00B9607D">
        <w:t>Non</w:t>
      </w:r>
      <w:r w:rsidR="008E1DA4">
        <w:t>-</w:t>
      </w:r>
      <w:r w:rsidRPr="00B9607D">
        <w:t>respect of EU laws also undermines common efforts to create a fair playing field benefiting the competitiveness of all EU industries and economic operators.</w:t>
      </w:r>
    </w:p>
    <w:p w:rsidR="00AA3AA9" w:rsidRPr="00B9607D" w:rsidRDefault="00AA3AA9" w:rsidP="00AA3AA9">
      <w:r w:rsidRPr="00B9607D">
        <w:t>Ministers called for plans to redress the situation without delay with a view to regaining consumers</w:t>
      </w:r>
      <w:r w:rsidR="008E1DA4">
        <w:t>'</w:t>
      </w:r>
      <w:r w:rsidRPr="00B9607D">
        <w:t xml:space="preserve"> trust.</w:t>
      </w:r>
    </w:p>
    <w:p w:rsidR="00123F94" w:rsidRDefault="00AA3AA9" w:rsidP="00AA3AA9">
      <w:r>
        <w:t>They</w:t>
      </w:r>
      <w:r w:rsidRPr="00B9607D">
        <w:t xml:space="preserve"> welcomed the Commission</w:t>
      </w:r>
      <w:r w:rsidR="008E1DA4">
        <w:t>'s</w:t>
      </w:r>
      <w:r w:rsidRPr="00B9607D">
        <w:t xml:space="preserve"> efforts to speed up the ongoing process to put in place reliable emission tests in accordance with real driving conditions, to be implemented swiftly by national type-approval authorities.</w:t>
      </w:r>
    </w:p>
    <w:p w:rsidR="004A25A1" w:rsidRDefault="00123F94" w:rsidP="004A25A1">
      <w:pPr>
        <w:pStyle w:val="ItemsApprovedHeading"/>
      </w:pPr>
      <w:r>
        <w:br w:type="page"/>
      </w:r>
      <w:r w:rsidR="004A25A1" w:rsidRPr="004A25A1">
        <w:lastRenderedPageBreak/>
        <w:t>OTHER ITEMS APPROVED</w:t>
      </w:r>
    </w:p>
    <w:p w:rsidR="00BF0E13" w:rsidRPr="00714A42" w:rsidRDefault="00BF0E13" w:rsidP="00BF0E13">
      <w:pPr>
        <w:pStyle w:val="ItemApproved"/>
      </w:pPr>
      <w:r w:rsidRPr="00411B8E">
        <w:t>FOREIGN POLICY</w:t>
      </w:r>
    </w:p>
    <w:p w:rsidR="00BF0E13" w:rsidRPr="00714A42" w:rsidRDefault="00BF0E13" w:rsidP="00BF0E13">
      <w:pPr>
        <w:pStyle w:val="Sub-itemApproved"/>
        <w:rPr>
          <w:bCs/>
        </w:rPr>
      </w:pPr>
      <w:bookmarkStart w:id="13" w:name="_Toc431568610"/>
      <w:r w:rsidRPr="00411B8E">
        <w:rPr>
          <w:bCs/>
        </w:rPr>
        <w:t xml:space="preserve">Restrictive measures </w:t>
      </w:r>
      <w:r w:rsidRPr="00411B8E">
        <w:rPr>
          <w:lang w:eastAsia="ar-SA"/>
        </w:rPr>
        <w:t>in view of Russia's actions destabilising the situation in Ukraine</w:t>
      </w:r>
      <w:bookmarkEnd w:id="13"/>
    </w:p>
    <w:p w:rsidR="00BF0E13" w:rsidRDefault="00BF0E13" w:rsidP="009F1B8A">
      <w:pPr>
        <w:rPr>
          <w:lang w:eastAsia="ar-SA"/>
        </w:rPr>
      </w:pPr>
      <w:r w:rsidRPr="00411B8E">
        <w:t xml:space="preserve">The Council amended the restrictive measures </w:t>
      </w:r>
      <w:r w:rsidRPr="00411B8E">
        <w:rPr>
          <w:bCs/>
          <w:lang w:eastAsia="ar-SA"/>
        </w:rPr>
        <w:t>in view of Russia's actions destabi</w:t>
      </w:r>
      <w:r>
        <w:rPr>
          <w:bCs/>
          <w:lang w:eastAsia="ar-SA"/>
        </w:rPr>
        <w:t>lising the situation in Ukraine</w:t>
      </w:r>
      <w:r w:rsidRPr="00145177">
        <w:rPr>
          <w:lang w:eastAsia="ar-SA"/>
        </w:rPr>
        <w:t xml:space="preserve"> </w:t>
      </w:r>
      <w:r>
        <w:rPr>
          <w:lang w:eastAsia="ar-SA"/>
        </w:rPr>
        <w:t xml:space="preserve">so that restrictive measures do not negatively </w:t>
      </w:r>
      <w:r w:rsidR="009F1B8A">
        <w:rPr>
          <w:lang w:eastAsia="ar-SA"/>
        </w:rPr>
        <w:t xml:space="preserve">affect </w:t>
      </w:r>
      <w:r>
        <w:rPr>
          <w:lang w:eastAsia="ar-SA"/>
        </w:rPr>
        <w:t xml:space="preserve">the European space industry. </w:t>
      </w:r>
      <w:r>
        <w:rPr>
          <w:bCs/>
          <w:lang w:eastAsia="ar-SA"/>
        </w:rPr>
        <w:t>The amendment introduces a limited derogation to the sanctions to</w:t>
      </w:r>
      <w:r>
        <w:t xml:space="preserve"> permit member states to license trade in specific circumstances in three products which are needed </w:t>
      </w:r>
      <w:r w:rsidRPr="00411B8E">
        <w:rPr>
          <w:lang w:eastAsia="ar-SA"/>
        </w:rPr>
        <w:t>for the use of space launchers or fuelling of satellites</w:t>
      </w:r>
      <w:r>
        <w:rPr>
          <w:lang w:eastAsia="ar-SA"/>
        </w:rPr>
        <w:t>.</w:t>
      </w:r>
    </w:p>
    <w:p w:rsidR="00C463E9" w:rsidRDefault="00C463E9" w:rsidP="00C463E9">
      <w:pPr>
        <w:pStyle w:val="Sub-itemApproved"/>
        <w:rPr>
          <w:bCs/>
        </w:rPr>
      </w:pPr>
      <w:bookmarkStart w:id="14" w:name="_Toc431568611"/>
      <w:r>
        <w:rPr>
          <w:bCs/>
        </w:rPr>
        <w:t xml:space="preserve">Restrictive measures </w:t>
      </w:r>
      <w:r>
        <w:rPr>
          <w:lang w:eastAsia="ar-SA"/>
        </w:rPr>
        <w:t>in view of the situation in Burundi</w:t>
      </w:r>
      <w:bookmarkEnd w:id="14"/>
    </w:p>
    <w:p w:rsidR="00C463E9" w:rsidRDefault="00C463E9" w:rsidP="00C463E9">
      <w:pPr>
        <w:rPr>
          <w:lang w:val="en-US"/>
        </w:rPr>
      </w:pPr>
      <w:r>
        <w:t>The Council adopted travel restrictions and an asset freeze in respect of four persons whose activities are undermining democracy or obstructing efforts to achieve a political solution to the current crisis in Burundi, in particular through acts of violence, repression or incitement to violence, including acts which constitute serious human rights violations.</w:t>
      </w:r>
    </w:p>
    <w:p w:rsidR="00BF0E13" w:rsidRDefault="00BF0E13" w:rsidP="009A20FF">
      <w:r>
        <w:t xml:space="preserve">See </w:t>
      </w:r>
      <w:hyperlink r:id="rId25" w:history="1">
        <w:r w:rsidRPr="009A20FF">
          <w:rPr>
            <w:rStyle w:val="Hyperlink"/>
          </w:rPr>
          <w:t>press release</w:t>
        </w:r>
      </w:hyperlink>
    </w:p>
    <w:p w:rsidR="00BF0E13" w:rsidRPr="00DB25D3" w:rsidRDefault="00BF0E13" w:rsidP="00BF0E13">
      <w:pPr>
        <w:pStyle w:val="ItemApproved"/>
      </w:pPr>
      <w:r w:rsidRPr="00DB25D3">
        <w:t>ENLARGEMENT</w:t>
      </w:r>
    </w:p>
    <w:p w:rsidR="00BF0E13" w:rsidRPr="00F44490" w:rsidRDefault="00BF0E13" w:rsidP="009F1B8A">
      <w:pPr>
        <w:pStyle w:val="Sub-itemApproved"/>
        <w:rPr>
          <w:lang w:eastAsia="en-GB"/>
        </w:rPr>
      </w:pPr>
      <w:bookmarkStart w:id="15" w:name="_Toc431568613"/>
      <w:r w:rsidRPr="00F44490">
        <w:rPr>
          <w:lang w:eastAsia="en-GB"/>
        </w:rPr>
        <w:t>EU-</w:t>
      </w:r>
      <w:r w:rsidR="009F1B8A">
        <w:rPr>
          <w:lang w:eastAsia="en-GB"/>
        </w:rPr>
        <w:t>f</w:t>
      </w:r>
      <w:r>
        <w:rPr>
          <w:lang w:eastAsia="en-GB"/>
        </w:rPr>
        <w:t>ormer Yugoslav Republic of Macedonia</w:t>
      </w:r>
      <w:r w:rsidRPr="00F44490">
        <w:rPr>
          <w:lang w:eastAsia="en-GB"/>
        </w:rPr>
        <w:t xml:space="preserve"> </w:t>
      </w:r>
      <w:r>
        <w:rPr>
          <w:lang w:eastAsia="en-GB"/>
        </w:rPr>
        <w:t xml:space="preserve">- </w:t>
      </w:r>
      <w:r w:rsidRPr="00F44490">
        <w:rPr>
          <w:lang w:eastAsia="en-GB"/>
        </w:rPr>
        <w:t>Stabilisat</w:t>
      </w:r>
      <w:r>
        <w:rPr>
          <w:lang w:eastAsia="en-GB"/>
        </w:rPr>
        <w:t>ion and Association agreement</w:t>
      </w:r>
      <w:bookmarkEnd w:id="15"/>
    </w:p>
    <w:p w:rsidR="00BF0E13" w:rsidRPr="00F44490" w:rsidRDefault="00BF0E13" w:rsidP="009F1B8A">
      <w:pPr>
        <w:rPr>
          <w:lang w:eastAsia="en-GB"/>
        </w:rPr>
      </w:pPr>
      <w:r w:rsidRPr="00F44490">
        <w:rPr>
          <w:lang w:eastAsia="en-GB"/>
        </w:rPr>
        <w:t>The Council authorised the conclusion of a protocol to the EU-</w:t>
      </w:r>
      <w:r>
        <w:rPr>
          <w:lang w:eastAsia="en-GB"/>
        </w:rPr>
        <w:t xml:space="preserve"> </w:t>
      </w:r>
      <w:r w:rsidR="009F1B8A">
        <w:rPr>
          <w:lang w:eastAsia="en-GB"/>
        </w:rPr>
        <w:t>f</w:t>
      </w:r>
      <w:r>
        <w:rPr>
          <w:lang w:eastAsia="en-GB"/>
        </w:rPr>
        <w:t>ormer Yugoslav Republic of Macedonia</w:t>
      </w:r>
      <w:r w:rsidRPr="00F44490">
        <w:rPr>
          <w:lang w:eastAsia="en-GB"/>
        </w:rPr>
        <w:t xml:space="preserve"> Stabilisation and Association agreement to take account of the accession of Croatia to the EU on 1 July 2013.</w:t>
      </w:r>
    </w:p>
    <w:p w:rsidR="00BF0E13" w:rsidRDefault="00BF0E13" w:rsidP="00BF0E13">
      <w:r w:rsidRPr="00F44490">
        <w:t>The European Parliament gave its consent on 8 July 2015.</w:t>
      </w:r>
    </w:p>
    <w:p w:rsidR="00BF0E13" w:rsidRPr="00C619F9" w:rsidRDefault="00F939A9" w:rsidP="00BF0E13">
      <w:pPr>
        <w:pStyle w:val="ItemApproved"/>
      </w:pPr>
      <w:r>
        <w:br w:type="page"/>
      </w:r>
      <w:r w:rsidR="00BF0E13">
        <w:lastRenderedPageBreak/>
        <w:t>EUROPEAN ECONOMIC AREA</w:t>
      </w:r>
    </w:p>
    <w:p w:rsidR="00BF0E13" w:rsidRPr="005E4C70" w:rsidRDefault="00BF0E13" w:rsidP="009F1B8A">
      <w:pPr>
        <w:pStyle w:val="Sub-itemApproved"/>
      </w:pPr>
      <w:bookmarkStart w:id="16" w:name="_Toc431568615"/>
      <w:r>
        <w:t>Amendment</w:t>
      </w:r>
      <w:r w:rsidR="009F1B8A">
        <w:t>s</w:t>
      </w:r>
      <w:r>
        <w:t xml:space="preserve"> to </w:t>
      </w:r>
      <w:r w:rsidRPr="007B285E">
        <w:t>the EEA agreement</w:t>
      </w:r>
      <w:bookmarkEnd w:id="16"/>
    </w:p>
    <w:p w:rsidR="00123F94" w:rsidRPr="00B45A1C" w:rsidRDefault="00BF0E13" w:rsidP="009F1B8A">
      <w:r w:rsidRPr="00B45A1C">
        <w:t>The Council adopted a decision (</w:t>
      </w:r>
      <w:hyperlink r:id="rId26" w:tooltip="http://data.consilium.europa.eu/doc/document/ST-10783-2015-INIT/en/pdf" w:history="1">
        <w:r w:rsidR="00EB2B4A">
          <w:rPr>
            <w:rStyle w:val="Hyperlink"/>
          </w:rPr>
          <w:t>10783/15</w:t>
        </w:r>
      </w:hyperlink>
      <w:r w:rsidRPr="00B45A1C">
        <w:t>) on the position to be adopted, on behalf of the EU, in the EEA joint committee, concerning an amendment to annex XXI to the EEA agreement.</w:t>
      </w:r>
      <w:r w:rsidR="009F1B8A">
        <w:t xml:space="preserve"> </w:t>
      </w:r>
      <w:r w:rsidRPr="00B45A1C">
        <w:t>The amendment is necessary in order to incorporate the implementation of annual statistics on energy consumption in households into the EEA agreement.</w:t>
      </w:r>
    </w:p>
    <w:p w:rsidR="00BF0E13" w:rsidRPr="00B45A1C" w:rsidRDefault="009F1B8A" w:rsidP="009F1B8A">
      <w:r>
        <w:t xml:space="preserve">It also </w:t>
      </w:r>
      <w:r w:rsidR="00BF0E13" w:rsidRPr="00B45A1C">
        <w:t xml:space="preserve">adopted </w:t>
      </w:r>
      <w:r>
        <w:t xml:space="preserve">its position </w:t>
      </w:r>
      <w:r w:rsidR="00BF0E13" w:rsidRPr="00B45A1C">
        <w:t>(</w:t>
      </w:r>
      <w:hyperlink r:id="rId27" w:tooltip="http://data.consilium.europa.eu/doc/document/ST-10841-2015-INIT/en/pdf" w:history="1">
        <w:r w:rsidR="009A20FF">
          <w:rPr>
            <w:rStyle w:val="Hyperlink"/>
          </w:rPr>
          <w:t>10841/15</w:t>
        </w:r>
      </w:hyperlink>
      <w:r w:rsidR="00BF0E13" w:rsidRPr="00B45A1C">
        <w:t>) concerning amendments to annexes II (Technical regulations, standards, testing and certification) and XX (En</w:t>
      </w:r>
      <w:r>
        <w:t xml:space="preserve">vironment) to the EEA agreement, which </w:t>
      </w:r>
      <w:r w:rsidR="00BF0E13" w:rsidRPr="00B45A1C">
        <w:t>are necessary in order to incorporate the fuel quality directive into the agreement.</w:t>
      </w:r>
    </w:p>
    <w:p w:rsidR="00BF0E13" w:rsidRDefault="00BF0E13" w:rsidP="00BF0E13">
      <w:pPr>
        <w:pStyle w:val="ItemApproved"/>
      </w:pPr>
      <w:r>
        <w:t>TRADE</w:t>
      </w:r>
    </w:p>
    <w:p w:rsidR="00FE630C" w:rsidRPr="00F35B9D" w:rsidRDefault="00FE630C" w:rsidP="00FE630C">
      <w:pPr>
        <w:pStyle w:val="Sub-itemApproved"/>
      </w:pPr>
      <w:bookmarkStart w:id="17" w:name="_Toc431568618"/>
      <w:r w:rsidRPr="00F35B9D">
        <w:t>EU-South Korea free trade agreement</w:t>
      </w:r>
      <w:bookmarkEnd w:id="17"/>
    </w:p>
    <w:p w:rsidR="00FE630C" w:rsidRPr="00F35B9D" w:rsidRDefault="00FE630C" w:rsidP="00FE630C">
      <w:r w:rsidRPr="00F35B9D">
        <w:t>The Council adopted a decision concluding the EU's free trade agreement with South Korea.</w:t>
      </w:r>
    </w:p>
    <w:p w:rsidR="00FE630C" w:rsidRPr="00F35B9D" w:rsidRDefault="00FE630C" w:rsidP="00FE630C">
      <w:r w:rsidRPr="00F35B9D">
        <w:t>The agreement, signed in October 2010, provides for the progressive liberalisation of trade in goods and services. It includes trade-related issues such as competition and state aid, intellectual property and public procurement.</w:t>
      </w:r>
    </w:p>
    <w:p w:rsidR="00FE630C" w:rsidRPr="00F35B9D" w:rsidRDefault="00FE630C" w:rsidP="00210476">
      <w:r w:rsidRPr="00F35B9D">
        <w:t>It is the first of a generation of free trade a</w:t>
      </w:r>
      <w:r w:rsidR="00210476">
        <w:t>greements</w:t>
      </w:r>
      <w:r w:rsidRPr="00F35B9D">
        <w:t>, and is the EU's first trade deal with an Asian country.</w:t>
      </w:r>
    </w:p>
    <w:p w:rsidR="00FE630C" w:rsidRPr="00F35B9D" w:rsidRDefault="00FE630C" w:rsidP="00210476">
      <w:r w:rsidRPr="00F35B9D">
        <w:t>Conclusion of the agreement follows its ratification by all of the EU member states. Most of the a</w:t>
      </w:r>
      <w:r w:rsidR="00210476">
        <w:t>greement</w:t>
      </w:r>
      <w:r w:rsidRPr="00F35B9D">
        <w:t xml:space="preserve"> has been provisionally applied since 1 July 2011.</w:t>
      </w:r>
    </w:p>
    <w:p w:rsidR="00FE630C" w:rsidRPr="00F35B9D" w:rsidRDefault="00FE630C" w:rsidP="00FE630C">
      <w:r w:rsidRPr="00F35B9D">
        <w:t xml:space="preserve">For details, see </w:t>
      </w:r>
      <w:hyperlink r:id="rId28" w:history="1">
        <w:r w:rsidRPr="00F35B9D">
          <w:rPr>
            <w:rStyle w:val="Hyperlink"/>
          </w:rPr>
          <w:t>press release</w:t>
        </w:r>
      </w:hyperlink>
    </w:p>
    <w:p w:rsidR="00FE630C" w:rsidRPr="00F35B9D" w:rsidRDefault="00F939A9" w:rsidP="00FE630C">
      <w:pPr>
        <w:pStyle w:val="Sub-itemApproved"/>
      </w:pPr>
      <w:r>
        <w:br w:type="page"/>
      </w:r>
      <w:bookmarkStart w:id="18" w:name="_Toc431568619"/>
      <w:r w:rsidR="00FE630C" w:rsidRPr="00F35B9D">
        <w:lastRenderedPageBreak/>
        <w:t>WTO trade facilitation agreement</w:t>
      </w:r>
      <w:bookmarkEnd w:id="18"/>
    </w:p>
    <w:p w:rsidR="00FE630C" w:rsidRPr="00F35B9D" w:rsidRDefault="00FE630C" w:rsidP="00FE630C">
      <w:r w:rsidRPr="00F35B9D">
        <w:t>The Council adopted a decision approving, on behalf of the EU, the conclusion of a WTO protocol establishing a trade facilitation agreement.</w:t>
      </w:r>
    </w:p>
    <w:p w:rsidR="00FE630C" w:rsidRPr="00F35B9D" w:rsidRDefault="00FE630C" w:rsidP="00FE630C">
      <w:r w:rsidRPr="00F35B9D">
        <w:t>The purpose of the agreement is to simplify and modernise procedures for the movement of goods, including import and export procedures. The aim is to help smaller businesses exploit export opportunities and to facilitate developing countries' participation in international trade.</w:t>
      </w:r>
    </w:p>
    <w:p w:rsidR="00FE630C" w:rsidRDefault="00FE630C" w:rsidP="00FE630C">
      <w:r w:rsidRPr="00FE630C">
        <w:t xml:space="preserve">For details, see </w:t>
      </w:r>
      <w:hyperlink r:id="rId29" w:history="1">
        <w:r w:rsidRPr="00FE630C">
          <w:rPr>
            <w:rStyle w:val="Hyperlink"/>
          </w:rPr>
          <w:t>press release</w:t>
        </w:r>
      </w:hyperlink>
    </w:p>
    <w:p w:rsidR="00FE630C" w:rsidRPr="00FE630C" w:rsidRDefault="00FE630C" w:rsidP="00FE630C">
      <w:pPr>
        <w:pStyle w:val="Sub-itemApproved"/>
      </w:pPr>
      <w:bookmarkStart w:id="19" w:name="_Toc431568620"/>
      <w:r w:rsidRPr="00FE630C">
        <w:t>WTO - Kyrgyz Republic</w:t>
      </w:r>
      <w:bookmarkEnd w:id="19"/>
    </w:p>
    <w:p w:rsidR="00FE630C" w:rsidRPr="00FE630C" w:rsidRDefault="00FE630C" w:rsidP="00835C7A">
      <w:r w:rsidRPr="00FE630C">
        <w:t xml:space="preserve">The Council authorised the </w:t>
      </w:r>
      <w:r w:rsidR="00835C7A">
        <w:t>C</w:t>
      </w:r>
      <w:r w:rsidRPr="00FE630C">
        <w:t>ommission to open negotiations with the Kyrgyz Republic and other WTO members on a WTO submission made by the Kyrgyz Republic.</w:t>
      </w:r>
    </w:p>
    <w:p w:rsidR="00BF0E13" w:rsidRPr="00D76487" w:rsidRDefault="00BF0E13" w:rsidP="009A20FF">
      <w:pPr>
        <w:pStyle w:val="ItemApproved"/>
      </w:pPr>
      <w:r w:rsidRPr="00D76487">
        <w:t>CUSTOMS UNION</w:t>
      </w:r>
    </w:p>
    <w:p w:rsidR="00BF0E13" w:rsidRPr="00F4023D" w:rsidRDefault="00BF0E13" w:rsidP="00BF0E13">
      <w:pPr>
        <w:pStyle w:val="Sub-itemApproved"/>
      </w:pPr>
      <w:bookmarkStart w:id="20" w:name="_Toc431568622"/>
      <w:r>
        <w:t>Serbia</w:t>
      </w:r>
      <w:r w:rsidRPr="00F4023D">
        <w:t xml:space="preserve"> - </w:t>
      </w:r>
      <w:r>
        <w:t>Conventions on transit and trade</w:t>
      </w:r>
      <w:bookmarkEnd w:id="20"/>
    </w:p>
    <w:p w:rsidR="00BF0E13" w:rsidRDefault="00BF0E13" w:rsidP="00BF0E13">
      <w:r w:rsidRPr="00F4023D">
        <w:t>The Council a</w:t>
      </w:r>
      <w:r>
        <w:t xml:space="preserve">pproved </w:t>
      </w:r>
      <w:r w:rsidRPr="00F4023D">
        <w:t xml:space="preserve">its position </w:t>
      </w:r>
      <w:r>
        <w:t xml:space="preserve">on </w:t>
      </w:r>
      <w:hyperlink r:id="rId30" w:history="1">
        <w:r w:rsidRPr="005E437C">
          <w:rPr>
            <w:rStyle w:val="Hyperlink"/>
          </w:rPr>
          <w:t>decisions</w:t>
        </w:r>
      </w:hyperlink>
      <w:r>
        <w:t xml:space="preserve"> to be taken by </w:t>
      </w:r>
      <w:r w:rsidRPr="00F4023D">
        <w:t>EU</w:t>
      </w:r>
      <w:r w:rsidRPr="00F4023D">
        <w:noBreakHyphen/>
      </w:r>
      <w:r w:rsidRPr="007F31E7">
        <w:t>EFTA</w:t>
      </w:r>
      <w:r>
        <w:t xml:space="preserve"> j</w:t>
      </w:r>
      <w:r w:rsidRPr="00F4023D">
        <w:t xml:space="preserve">oint </w:t>
      </w:r>
      <w:r>
        <w:t>c</w:t>
      </w:r>
      <w:r w:rsidRPr="00F4023D">
        <w:t>ommittee</w:t>
      </w:r>
      <w:r>
        <w:t>s</w:t>
      </w:r>
      <w:r w:rsidRPr="00F4023D">
        <w:t xml:space="preserve"> </w:t>
      </w:r>
      <w:r>
        <w:t xml:space="preserve">with a view to the accession of Serbia to </w:t>
      </w:r>
      <w:r w:rsidRPr="00F4023D">
        <w:t xml:space="preserve">the Convention on a common transit procedure and </w:t>
      </w:r>
      <w:r>
        <w:t xml:space="preserve">to </w:t>
      </w:r>
      <w:r w:rsidRPr="00F4023D">
        <w:t>the Convention on simplification of formalities in trade in goods</w:t>
      </w:r>
      <w:r>
        <w:t>.</w:t>
      </w:r>
    </w:p>
    <w:p w:rsidR="00BF0E13" w:rsidRPr="007F31E7" w:rsidRDefault="00BF0E13" w:rsidP="00BF0E13">
      <w:r w:rsidRPr="007F31E7">
        <w:t>The customs transit procedure enables goods to move more freely and simplifies customs formalities. It takes the form of a temporary suspension of the duties and taxes normally due on goods imported into the customs territory. This procedure is based on a convention between the E</w:t>
      </w:r>
      <w:r>
        <w:t>U</w:t>
      </w:r>
      <w:r w:rsidRPr="007F31E7">
        <w:t xml:space="preserve"> and the countries of the European Free Trade Area (</w:t>
      </w:r>
      <w:hyperlink r:id="rId31" w:history="1">
        <w:r>
          <w:rPr>
            <w:rStyle w:val="Hyperlink"/>
          </w:rPr>
          <w:t>EFTA</w:t>
        </w:r>
      </w:hyperlink>
      <w:r>
        <w:t>).</w:t>
      </w:r>
    </w:p>
    <w:p w:rsidR="00123F94" w:rsidRDefault="00BF0E13" w:rsidP="00BF0E13">
      <w:r>
        <w:t>T</w:t>
      </w:r>
      <w:r w:rsidRPr="00F4023D">
        <w:t>he Convention on simplification of formalities in trade in goods</w:t>
      </w:r>
      <w:r w:rsidRPr="007F31E7">
        <w:t xml:space="preserve"> </w:t>
      </w:r>
      <w:r>
        <w:t>sets out</w:t>
      </w:r>
      <w:r w:rsidRPr="007F31E7">
        <w:t xml:space="preserve"> measures to simplify formalities in trade in goods between the </w:t>
      </w:r>
      <w:r>
        <w:t>EU</w:t>
      </w:r>
      <w:r w:rsidRPr="007F31E7">
        <w:t xml:space="preserve"> and the EFTA countries, in</w:t>
      </w:r>
      <w:r>
        <w:t xml:space="preserve"> </w:t>
      </w:r>
      <w:r w:rsidRPr="007F31E7">
        <w:t>particular by introducing a single administrative document to be used for any</w:t>
      </w:r>
      <w:r>
        <w:t xml:space="preserve"> procedure at export and import.</w:t>
      </w:r>
    </w:p>
    <w:p w:rsidR="00BF0E13" w:rsidRPr="00714A42" w:rsidRDefault="00F939A9" w:rsidP="00EB2B4A">
      <w:pPr>
        <w:pStyle w:val="ItemApproved"/>
      </w:pPr>
      <w:r>
        <w:br w:type="page"/>
      </w:r>
      <w:r w:rsidR="00BF0E13" w:rsidRPr="009A6D6C">
        <w:lastRenderedPageBreak/>
        <w:t>STATISTICS</w:t>
      </w:r>
    </w:p>
    <w:p w:rsidR="00BF0E13" w:rsidRPr="00714A42" w:rsidRDefault="00BF0E13" w:rsidP="00BF0E13">
      <w:pPr>
        <w:pStyle w:val="Sub-itemApproved"/>
      </w:pPr>
      <w:bookmarkStart w:id="21" w:name="_Toc431568624"/>
      <w:r>
        <w:t>Structural b</w:t>
      </w:r>
      <w:r w:rsidRPr="009A6D6C">
        <w:t>usiness</w:t>
      </w:r>
      <w:r>
        <w:t xml:space="preserve"> statistics</w:t>
      </w:r>
      <w:r w:rsidRPr="009A6D6C">
        <w:t xml:space="preserve"> - Classification of products by activity</w:t>
      </w:r>
      <w:bookmarkEnd w:id="21"/>
    </w:p>
    <w:p w:rsidR="00BF0E13" w:rsidRDefault="00BF0E13" w:rsidP="00835C7A">
      <w:r>
        <w:t xml:space="preserve">The Council decided not to oppose a </w:t>
      </w:r>
      <w:hyperlink r:id="rId32" w:history="1">
        <w:r w:rsidRPr="009A6D6C">
          <w:rPr>
            <w:rStyle w:val="Hyperlink"/>
          </w:rPr>
          <w:t>Commission regulation</w:t>
        </w:r>
      </w:hyperlink>
      <w:r>
        <w:t xml:space="preserve"> amending regulation 251/2009 which implements </w:t>
      </w:r>
      <w:hyperlink r:id="rId33" w:history="1">
        <w:r w:rsidRPr="009C2115">
          <w:rPr>
            <w:rStyle w:val="Hyperlink"/>
          </w:rPr>
          <w:t>regulation 295/2008 on structural business statistics</w:t>
        </w:r>
      </w:hyperlink>
      <w:r>
        <w:t>, as regards the adaptation of the series of data following the revision of the classification of products by activity.</w:t>
      </w:r>
    </w:p>
    <w:p w:rsidR="00123F94" w:rsidRDefault="00BF0E13" w:rsidP="00BF0E13">
      <w:r>
        <w:t xml:space="preserve">The new </w:t>
      </w:r>
      <w:r w:rsidRPr="008D1412">
        <w:t>measures are submitted for scrutiny by the European Parliament and the Council</w:t>
      </w:r>
      <w:r>
        <w:t xml:space="preserve">. They may </w:t>
      </w:r>
      <w:r w:rsidRPr="008D1412">
        <w:t xml:space="preserve">oppose the adoption of the draft measures by the Commission if those measures exceed the implementing powers provided for in the basic </w:t>
      </w:r>
      <w:r>
        <w:t>regulation</w:t>
      </w:r>
      <w:r w:rsidRPr="008D1412">
        <w:t xml:space="preserve">, are not compatible with the aim or content of the basic </w:t>
      </w:r>
      <w:r>
        <w:t>regulation</w:t>
      </w:r>
      <w:r w:rsidRPr="008D1412">
        <w:t xml:space="preserve"> or do not comply with the principles of subsidiarity and proportionality.</w:t>
      </w:r>
    </w:p>
    <w:p w:rsidR="00BF0E13" w:rsidRPr="000419A4" w:rsidRDefault="00BF0E13" w:rsidP="00BF0E13">
      <w:pPr>
        <w:pStyle w:val="ItemApproved"/>
      </w:pPr>
      <w:r w:rsidRPr="000419A4">
        <w:t>COHESION POLICY</w:t>
      </w:r>
    </w:p>
    <w:p w:rsidR="00BF0E13" w:rsidRPr="000419A4" w:rsidRDefault="00BF0E13" w:rsidP="00BF0E13">
      <w:pPr>
        <w:pStyle w:val="Sub-itemApproved"/>
      </w:pPr>
      <w:bookmarkStart w:id="22" w:name="_Toc431568626"/>
      <w:r w:rsidRPr="000419A4">
        <w:t>Rules on the reporting of irregularities</w:t>
      </w:r>
      <w:bookmarkEnd w:id="22"/>
    </w:p>
    <w:p w:rsidR="00BF0E13" w:rsidRDefault="00BF0E13" w:rsidP="00835C7A">
      <w:r w:rsidRPr="00AE4C6E">
        <w:t>The Council</w:t>
      </w:r>
      <w:r>
        <w:t xml:space="preserve"> decided not to object to </w:t>
      </w:r>
      <w:r w:rsidRPr="00AE4C6E">
        <w:t xml:space="preserve">a </w:t>
      </w:r>
      <w:r>
        <w:t xml:space="preserve">Commission </w:t>
      </w:r>
      <w:r w:rsidRPr="00AE4C6E">
        <w:t>regulation</w:t>
      </w:r>
      <w:r>
        <w:t xml:space="preserve"> laying down </w:t>
      </w:r>
      <w:r>
        <w:rPr>
          <w:noProof/>
        </w:rPr>
        <w:t>specific rules on the reporting of irregularities concerning the European regional development fund, the European social fund, the cohesion fund, and the European maritime and fisheries fund (</w:t>
      </w:r>
      <w:hyperlink r:id="rId34" w:tooltip="http://data.consilium.europa.eu/doc/document/ST-10735-2015-INIT/en/pdf" w:history="1">
        <w:r>
          <w:rPr>
            <w:rStyle w:val="Hyperlink"/>
            <w:noProof/>
          </w:rPr>
          <w:t>10735/15</w:t>
        </w:r>
      </w:hyperlink>
      <w:r>
        <w:rPr>
          <w:noProof/>
        </w:rPr>
        <w:t>).</w:t>
      </w:r>
    </w:p>
    <w:p w:rsidR="00BF0E13" w:rsidRDefault="00BF0E13" w:rsidP="00BF0E13">
      <w:r w:rsidRPr="00AE4C6E">
        <w:t>The</w:t>
      </w:r>
      <w:r>
        <w:t xml:space="preserve"> </w:t>
      </w:r>
      <w:r w:rsidRPr="00AE4C6E">
        <w:t xml:space="preserve">regulation is a delegated act </w:t>
      </w:r>
      <w:r>
        <w:t>pursuant to ar</w:t>
      </w:r>
      <w:r w:rsidRPr="00AE4C6E">
        <w:t xml:space="preserve">ticle 290 of the Treaty on the Functioning of the EU. This means that now that the Council has </w:t>
      </w:r>
      <w:r>
        <w:t>decided not to object to it</w:t>
      </w:r>
      <w:r w:rsidRPr="00AE4C6E">
        <w:t>, the act can enter into force, unless the European Parliament objects to it.</w:t>
      </w:r>
    </w:p>
    <w:p w:rsidR="002552BC" w:rsidRDefault="002552BC" w:rsidP="00BF0E13">
      <w:pPr>
        <w:pStyle w:val="ItemApproved"/>
      </w:pPr>
      <w:r>
        <w:t>TELECOMMUNICATIONS</w:t>
      </w:r>
    </w:p>
    <w:p w:rsidR="00376B17" w:rsidRDefault="002552BC" w:rsidP="00376B17">
      <w:pPr>
        <w:pStyle w:val="Sub-itemApproved"/>
      </w:pPr>
      <w:bookmarkStart w:id="23" w:name="_Toc431568628"/>
      <w:r w:rsidRPr="002552BC">
        <w:t>Roaming and open internet</w:t>
      </w:r>
      <w:bookmarkEnd w:id="23"/>
    </w:p>
    <w:p w:rsidR="00376B17" w:rsidRDefault="00376B17" w:rsidP="00376B17">
      <w:r w:rsidRPr="00376B17">
        <w:t>The Council adopted its first-reading position on new rules to end mobile roaming charges and safeguard open internet access. The Netherlands and Slovenian delegations voted against. The Croatian and Greek delegations abstained.</w:t>
      </w:r>
    </w:p>
    <w:p w:rsidR="002552BC" w:rsidRDefault="00F939A9" w:rsidP="002552BC">
      <w:r>
        <w:br w:type="page"/>
      </w:r>
      <w:r w:rsidR="002552BC">
        <w:lastRenderedPageBreak/>
        <w:t>The European Parliament is expected to adopt the text at its plenary session in late October. This will mark the end of the procedure at second reading.</w:t>
      </w:r>
    </w:p>
    <w:p w:rsidR="002552BC" w:rsidRDefault="005D5FD0" w:rsidP="00EB2B4A">
      <w:pPr>
        <w:spacing w:after="0"/>
      </w:pPr>
      <w:hyperlink r:id="rId35" w:history="1">
        <w:r w:rsidR="002552BC" w:rsidRPr="002552BC">
          <w:rPr>
            <w:rStyle w:val="Hyperlink"/>
          </w:rPr>
          <w:t>Roaming and open internet regulation: Council position at first reading</w:t>
        </w:r>
      </w:hyperlink>
      <w:r w:rsidR="002552BC">
        <w:t xml:space="preserve"> (full text)</w:t>
      </w:r>
    </w:p>
    <w:p w:rsidR="002552BC" w:rsidRDefault="005D5FD0" w:rsidP="00EB2B4A">
      <w:pPr>
        <w:spacing w:after="0"/>
      </w:pPr>
      <w:hyperlink r:id="rId36" w:history="1">
        <w:r w:rsidR="002552BC" w:rsidRPr="002552BC">
          <w:rPr>
            <w:rStyle w:val="Hyperlink"/>
          </w:rPr>
          <w:t>Roaming and open internet regulation: Council's reasons</w:t>
        </w:r>
      </w:hyperlink>
    </w:p>
    <w:p w:rsidR="002552BC" w:rsidRDefault="005D5FD0" w:rsidP="00EB2B4A">
      <w:pPr>
        <w:spacing w:after="0"/>
      </w:pPr>
      <w:hyperlink r:id="rId37" w:history="1">
        <w:r w:rsidR="002552BC" w:rsidRPr="009A20FF">
          <w:rPr>
            <w:rStyle w:val="Hyperlink"/>
          </w:rPr>
          <w:t>Adoption of the roaming and open internet regulation: statements</w:t>
        </w:r>
      </w:hyperlink>
    </w:p>
    <w:p w:rsidR="002552BC" w:rsidRDefault="005D5FD0" w:rsidP="00EB2B4A">
      <w:pPr>
        <w:spacing w:after="0"/>
      </w:pPr>
      <w:hyperlink r:id="rId38" w:history="1">
        <w:r w:rsidR="002552BC" w:rsidRPr="002552BC">
          <w:rPr>
            <w:rStyle w:val="Hyperlink"/>
          </w:rPr>
          <w:t>Roaming and open internet rules adopted by the Council</w:t>
        </w:r>
      </w:hyperlink>
    </w:p>
    <w:p w:rsidR="00EB2B4A" w:rsidRDefault="005D5FD0" w:rsidP="00EB2B4A">
      <w:pPr>
        <w:spacing w:after="0"/>
      </w:pPr>
      <w:hyperlink r:id="rId39" w:history="1">
        <w:r w:rsidR="002552BC" w:rsidRPr="00D325A5">
          <w:rPr>
            <w:rStyle w:val="Hyperlink"/>
            <w:bCs/>
          </w:rPr>
          <w:t>End of roaming charges: Council confirms agreement with EP</w:t>
        </w:r>
      </w:hyperlink>
    </w:p>
    <w:p w:rsidR="002552BC" w:rsidRPr="000E0C2D" w:rsidRDefault="002552BC" w:rsidP="00460F8D">
      <w:pPr>
        <w:pStyle w:val="ItemApproved"/>
      </w:pPr>
      <w:r w:rsidRPr="000E0C2D">
        <w:t>ENVIRONMENT</w:t>
      </w:r>
    </w:p>
    <w:p w:rsidR="006B0A6B" w:rsidRPr="00FA21D7" w:rsidRDefault="002552BC" w:rsidP="002552BC">
      <w:pPr>
        <w:pStyle w:val="Sub-itemApproved"/>
      </w:pPr>
      <w:bookmarkStart w:id="24" w:name="_Toc431568630"/>
      <w:r w:rsidRPr="000E0C2D">
        <w:rPr>
          <w:lang w:eastAsia="en-GB"/>
        </w:rPr>
        <w:t>Ban on seal products trade</w:t>
      </w:r>
      <w:bookmarkEnd w:id="24"/>
    </w:p>
    <w:p w:rsidR="002552BC" w:rsidRPr="002552BC" w:rsidRDefault="002552BC" w:rsidP="002552BC">
      <w:pPr>
        <w:shd w:val="clear" w:color="auto" w:fill="FFFFFF"/>
        <w:rPr>
          <w:rFonts w:asciiTheme="majorBidi" w:hAnsiTheme="majorBidi" w:cstheme="majorBidi"/>
          <w:lang w:eastAsia="en-GB"/>
        </w:rPr>
      </w:pPr>
      <w:r w:rsidRPr="002552BC">
        <w:rPr>
          <w:rFonts w:asciiTheme="majorBidi" w:hAnsiTheme="majorBidi" w:cstheme="majorBidi"/>
          <w:lang w:eastAsia="en-GB"/>
        </w:rPr>
        <w:t>The Council adopted a regulation (</w:t>
      </w:r>
      <w:hyperlink r:id="rId40" w:history="1">
        <w:r w:rsidRPr="002552BC">
          <w:rPr>
            <w:rStyle w:val="Hyperlink"/>
            <w:rFonts w:asciiTheme="majorBidi" w:hAnsiTheme="majorBidi" w:cstheme="majorBidi"/>
            <w:lang w:eastAsia="en-GB"/>
          </w:rPr>
          <w:t>PE-CONS 44/15</w:t>
        </w:r>
      </w:hyperlink>
      <w:r w:rsidRPr="002552BC">
        <w:rPr>
          <w:rFonts w:asciiTheme="majorBidi" w:hAnsiTheme="majorBidi" w:cstheme="majorBidi"/>
          <w:lang w:eastAsia="en-GB"/>
        </w:rPr>
        <w:t xml:space="preserve"> + </w:t>
      </w:r>
      <w:hyperlink r:id="rId41" w:history="1">
        <w:r w:rsidRPr="002552BC">
          <w:rPr>
            <w:rStyle w:val="Hyperlink"/>
            <w:rFonts w:asciiTheme="majorBidi" w:hAnsiTheme="majorBidi" w:cstheme="majorBidi"/>
            <w:lang w:eastAsia="en-GB"/>
          </w:rPr>
          <w:t>11505/15 ADD1</w:t>
        </w:r>
      </w:hyperlink>
      <w:r w:rsidRPr="002552BC">
        <w:rPr>
          <w:rFonts w:asciiTheme="majorBidi" w:hAnsiTheme="majorBidi" w:cstheme="majorBidi"/>
          <w:lang w:eastAsia="en-GB"/>
        </w:rPr>
        <w:t>) that brings the EU ban on trade in seal products into compliance with World Trade Organisation (WTO) rules.</w:t>
      </w:r>
    </w:p>
    <w:p w:rsidR="002552BC" w:rsidRPr="002552BC" w:rsidRDefault="002552BC" w:rsidP="002552BC">
      <w:pPr>
        <w:rPr>
          <w:rFonts w:asciiTheme="majorBidi" w:hAnsiTheme="majorBidi" w:cstheme="majorBidi"/>
        </w:rPr>
      </w:pPr>
      <w:r w:rsidRPr="002552BC">
        <w:rPr>
          <w:rFonts w:asciiTheme="majorBidi" w:hAnsiTheme="majorBidi" w:cstheme="majorBidi"/>
        </w:rPr>
        <w:t xml:space="preserve">Press release - </w:t>
      </w:r>
      <w:hyperlink r:id="rId42" w:history="1">
        <w:r w:rsidRPr="002552BC">
          <w:rPr>
            <w:rStyle w:val="Hyperlink"/>
            <w:rFonts w:asciiTheme="majorBidi" w:hAnsiTheme="majorBidi" w:cstheme="majorBidi"/>
          </w:rPr>
          <w:t>Seal products trade: the EU ban adapted to WTO rules</w:t>
        </w:r>
      </w:hyperlink>
    </w:p>
    <w:p w:rsidR="002552BC" w:rsidRDefault="002552BC" w:rsidP="002552BC">
      <w:pPr>
        <w:shd w:val="clear" w:color="auto" w:fill="FFFFFF"/>
        <w:rPr>
          <w:rFonts w:asciiTheme="majorBidi" w:hAnsiTheme="majorBidi" w:cstheme="majorBidi"/>
          <w:lang w:eastAsia="en-GB"/>
        </w:rPr>
      </w:pPr>
      <w:r w:rsidRPr="002552BC">
        <w:rPr>
          <w:rFonts w:asciiTheme="majorBidi" w:hAnsiTheme="majorBidi" w:cstheme="majorBidi"/>
          <w:lang w:eastAsia="en-GB"/>
        </w:rPr>
        <w:t>The qualified majority needed was achieved, with the vote against of Sweden and the abstention of Denmark, France, Estonia and Finland.</w:t>
      </w:r>
    </w:p>
    <w:p w:rsidR="002552BC" w:rsidRPr="002552BC" w:rsidRDefault="002552BC" w:rsidP="002552BC">
      <w:pPr>
        <w:pStyle w:val="Sub-itemApproved"/>
        <w:rPr>
          <w:lang w:val="pt-PT"/>
        </w:rPr>
      </w:pPr>
      <w:bookmarkStart w:id="25" w:name="_Toc431568631"/>
      <w:r w:rsidRPr="002552BC">
        <w:rPr>
          <w:lang w:val="pt-PT"/>
        </w:rPr>
        <w:t>Ecological criteria for the EU Ecolabel</w:t>
      </w:r>
      <w:bookmarkEnd w:id="25"/>
    </w:p>
    <w:p w:rsidR="002552BC" w:rsidRPr="002552BC" w:rsidRDefault="002552BC" w:rsidP="002552BC">
      <w:pPr>
        <w:rPr>
          <w:rFonts w:asciiTheme="majorBidi" w:hAnsiTheme="majorBidi" w:cstheme="majorBidi"/>
        </w:rPr>
      </w:pPr>
      <w:r w:rsidRPr="002552BC">
        <w:rPr>
          <w:rFonts w:asciiTheme="majorBidi" w:hAnsiTheme="majorBidi" w:cstheme="majorBidi"/>
        </w:rPr>
        <w:t>The Council decided not to oppose the adoption of two Commission decisions (</w:t>
      </w:r>
      <w:hyperlink r:id="rId43" w:history="1">
        <w:r w:rsidRPr="002552BC">
          <w:rPr>
            <w:rStyle w:val="Hyperlink"/>
            <w:rFonts w:asciiTheme="majorBidi" w:hAnsiTheme="majorBidi" w:cstheme="majorBidi"/>
          </w:rPr>
          <w:t>10889/15 +ADD1</w:t>
        </w:r>
      </w:hyperlink>
      <w:r w:rsidRPr="002552BC">
        <w:rPr>
          <w:rFonts w:asciiTheme="majorBidi" w:hAnsiTheme="majorBidi" w:cstheme="majorBidi"/>
        </w:rPr>
        <w:t xml:space="preserve"> and </w:t>
      </w:r>
      <w:hyperlink r:id="rId44" w:history="1">
        <w:r w:rsidRPr="002552BC">
          <w:rPr>
            <w:rStyle w:val="Hyperlink"/>
            <w:rFonts w:asciiTheme="majorBidi" w:hAnsiTheme="majorBidi" w:cstheme="majorBidi"/>
          </w:rPr>
          <w:t>11765/15</w:t>
        </w:r>
      </w:hyperlink>
      <w:r w:rsidRPr="002552BC">
        <w:rPr>
          <w:rFonts w:asciiTheme="majorBidi" w:hAnsiTheme="majorBidi" w:cstheme="majorBidi"/>
        </w:rPr>
        <w:t>) on the ecological criteria for the award of the EU Ecolabel.</w:t>
      </w:r>
    </w:p>
    <w:p w:rsidR="002552BC" w:rsidRPr="002552BC" w:rsidRDefault="002552BC" w:rsidP="002552BC">
      <w:pPr>
        <w:rPr>
          <w:rFonts w:asciiTheme="majorBidi" w:hAnsiTheme="majorBidi" w:cstheme="majorBidi"/>
        </w:rPr>
      </w:pPr>
      <w:r w:rsidRPr="002552BC">
        <w:rPr>
          <w:rFonts w:asciiTheme="majorBidi" w:hAnsiTheme="majorBidi" w:cstheme="majorBidi"/>
        </w:rPr>
        <w:t>The first decision concerns the ecological criteria for the product group "growing media, soil improvers and mulch". The second decision prolongs the validity of the criteria for several types of product, namely televisions, footwear, wooden furniture, notebook computers and personal computers.</w:t>
      </w:r>
    </w:p>
    <w:p w:rsidR="002552BC" w:rsidRPr="002552BC" w:rsidRDefault="002552BC" w:rsidP="00835C7A">
      <w:pPr>
        <w:rPr>
          <w:rFonts w:asciiTheme="majorBidi" w:hAnsiTheme="majorBidi" w:cstheme="majorBidi"/>
        </w:rPr>
      </w:pPr>
      <w:r w:rsidRPr="002552BC">
        <w:rPr>
          <w:rFonts w:asciiTheme="majorBidi" w:hAnsiTheme="majorBidi" w:cstheme="majorBidi"/>
        </w:rPr>
        <w:t>The two Commission decisions are subject to the so</w:t>
      </w:r>
      <w:r w:rsidR="00835C7A">
        <w:rPr>
          <w:rFonts w:asciiTheme="majorBidi" w:hAnsiTheme="majorBidi" w:cstheme="majorBidi"/>
        </w:rPr>
        <w:t>-</w:t>
      </w:r>
      <w:r w:rsidRPr="002552BC">
        <w:rPr>
          <w:rFonts w:asciiTheme="majorBidi" w:hAnsiTheme="majorBidi" w:cstheme="majorBidi"/>
        </w:rPr>
        <w:t>called regulatory procedure with scrutiny. This means that now that the Council has given its consent, the Commission may adopt the decisions, unless the European Parliament objects.</w:t>
      </w:r>
    </w:p>
    <w:p w:rsidR="002552BC" w:rsidRPr="002552BC" w:rsidRDefault="00F939A9" w:rsidP="002552BC">
      <w:pPr>
        <w:pStyle w:val="Sub-itemApproved"/>
      </w:pPr>
      <w:r>
        <w:br w:type="page"/>
      </w:r>
      <w:bookmarkStart w:id="26" w:name="_Toc431568632"/>
      <w:r w:rsidR="002552BC" w:rsidRPr="002552BC">
        <w:lastRenderedPageBreak/>
        <w:t>Persistent organic pollutants</w:t>
      </w:r>
      <w:bookmarkEnd w:id="26"/>
    </w:p>
    <w:p w:rsidR="002552BC" w:rsidRPr="002552BC" w:rsidRDefault="002552BC" w:rsidP="002552BC">
      <w:pPr>
        <w:rPr>
          <w:rFonts w:asciiTheme="majorBidi" w:hAnsiTheme="majorBidi" w:cstheme="majorBidi"/>
        </w:rPr>
      </w:pPr>
      <w:r w:rsidRPr="002552BC">
        <w:rPr>
          <w:rFonts w:asciiTheme="majorBidi" w:hAnsiTheme="majorBidi" w:cstheme="majorBidi"/>
        </w:rPr>
        <w:t>The Council decided not to oppose the adoption of a Commission regulation (</w:t>
      </w:r>
      <w:hyperlink r:id="rId45" w:history="1">
        <w:r w:rsidRPr="002552BC">
          <w:rPr>
            <w:rStyle w:val="Hyperlink"/>
            <w:rFonts w:asciiTheme="majorBidi" w:hAnsiTheme="majorBidi" w:cstheme="majorBidi"/>
          </w:rPr>
          <w:t>10888/15 + ADD 1</w:t>
        </w:r>
      </w:hyperlink>
      <w:r w:rsidRPr="002552BC">
        <w:rPr>
          <w:rFonts w:asciiTheme="majorBidi" w:hAnsiTheme="majorBidi" w:cstheme="majorBidi"/>
        </w:rPr>
        <w:t>) concerning persistent organic pollutants. The regulation introduces changes in rules regarding one type of persistent organic pollutants: short-chain chlorinated paraffins (SCCPs).</w:t>
      </w:r>
    </w:p>
    <w:p w:rsidR="002552BC" w:rsidRPr="002552BC" w:rsidRDefault="002552BC" w:rsidP="00835C7A">
      <w:pPr>
        <w:rPr>
          <w:rFonts w:asciiTheme="majorBidi" w:hAnsiTheme="majorBidi" w:cstheme="majorBidi"/>
        </w:rPr>
      </w:pPr>
      <w:r w:rsidRPr="002552BC">
        <w:rPr>
          <w:rFonts w:asciiTheme="majorBidi" w:hAnsiTheme="majorBidi" w:cstheme="majorBidi"/>
        </w:rPr>
        <w:t>The Commission regulation is subject to the so</w:t>
      </w:r>
      <w:r w:rsidR="00835C7A">
        <w:rPr>
          <w:rFonts w:asciiTheme="majorBidi" w:hAnsiTheme="majorBidi" w:cstheme="majorBidi"/>
        </w:rPr>
        <w:t>-</w:t>
      </w:r>
      <w:r w:rsidRPr="002552BC">
        <w:rPr>
          <w:rFonts w:asciiTheme="majorBidi" w:hAnsiTheme="majorBidi" w:cstheme="majorBidi"/>
        </w:rPr>
        <w:t>called regulatory procedure with scrutiny. This means that now that the Council has given its consent, the Commission may adopt the regulation, unless the European Parliament objects.</w:t>
      </w:r>
    </w:p>
    <w:p w:rsidR="002552BC" w:rsidRPr="002552BC" w:rsidRDefault="002552BC" w:rsidP="002552BC">
      <w:pPr>
        <w:pStyle w:val="Sub-itemApproved"/>
        <w:rPr>
          <w:rFonts w:asciiTheme="majorBidi" w:hAnsiTheme="majorBidi" w:cstheme="majorBidi"/>
        </w:rPr>
      </w:pPr>
      <w:bookmarkStart w:id="27" w:name="_Toc431568633"/>
      <w:r w:rsidRPr="002552BC">
        <w:rPr>
          <w:rFonts w:asciiTheme="majorBidi" w:hAnsiTheme="majorBidi" w:cstheme="majorBidi"/>
        </w:rPr>
        <w:t>Shipments of waste</w:t>
      </w:r>
      <w:bookmarkEnd w:id="27"/>
    </w:p>
    <w:p w:rsidR="002552BC" w:rsidRPr="002552BC" w:rsidRDefault="002552BC" w:rsidP="002552BC">
      <w:pPr>
        <w:rPr>
          <w:rFonts w:asciiTheme="majorBidi" w:hAnsiTheme="majorBidi" w:cstheme="majorBidi"/>
        </w:rPr>
      </w:pPr>
      <w:r w:rsidRPr="002552BC">
        <w:rPr>
          <w:rFonts w:asciiTheme="majorBidi" w:hAnsiTheme="majorBidi" w:cstheme="majorBidi"/>
        </w:rPr>
        <w:t>The Council decided not to oppose the adoption of a Commission regulation (</w:t>
      </w:r>
      <w:hyperlink r:id="rId46" w:history="1">
        <w:r w:rsidRPr="002552BC">
          <w:rPr>
            <w:rStyle w:val="Hyperlink"/>
            <w:rFonts w:asciiTheme="majorBidi" w:hAnsiTheme="majorBidi" w:cstheme="majorBidi"/>
          </w:rPr>
          <w:t>10884/15 + ADD 1+ ADD 1 REV 1</w:t>
        </w:r>
      </w:hyperlink>
      <w:r w:rsidRPr="002552BC">
        <w:rPr>
          <w:rFonts w:asciiTheme="majorBidi" w:hAnsiTheme="majorBidi" w:cstheme="majorBidi"/>
        </w:rPr>
        <w:t>) which updates the rules on shipments of waste, aligning them with recent changes in related legislation.</w:t>
      </w:r>
    </w:p>
    <w:p w:rsidR="002552BC" w:rsidRDefault="002552BC" w:rsidP="00835C7A">
      <w:pPr>
        <w:rPr>
          <w:rFonts w:asciiTheme="majorBidi" w:hAnsiTheme="majorBidi" w:cstheme="majorBidi"/>
        </w:rPr>
      </w:pPr>
      <w:r w:rsidRPr="002552BC">
        <w:rPr>
          <w:rFonts w:asciiTheme="majorBidi" w:hAnsiTheme="majorBidi" w:cstheme="majorBidi"/>
        </w:rPr>
        <w:t>The Commission regulation is subject to the so</w:t>
      </w:r>
      <w:r w:rsidR="00835C7A">
        <w:rPr>
          <w:rFonts w:asciiTheme="majorBidi" w:hAnsiTheme="majorBidi" w:cstheme="majorBidi"/>
        </w:rPr>
        <w:t>-</w:t>
      </w:r>
      <w:r w:rsidRPr="002552BC">
        <w:rPr>
          <w:rFonts w:asciiTheme="majorBidi" w:hAnsiTheme="majorBidi" w:cstheme="majorBidi"/>
        </w:rPr>
        <w:t>called regulatory procedure with scrutiny. This means that now that the Council has given its consent, the Commission may adopt the regulation, unless the European Parliament objects.</w:t>
      </w:r>
    </w:p>
    <w:p w:rsidR="002552BC" w:rsidRPr="002552BC" w:rsidRDefault="002552BC" w:rsidP="002552BC">
      <w:pPr>
        <w:pStyle w:val="Sub-itemApproved"/>
      </w:pPr>
      <w:bookmarkStart w:id="28" w:name="_Toc431568634"/>
      <w:r w:rsidRPr="002552BC">
        <w:t>Kyoto Protocol: technical implementation</w:t>
      </w:r>
      <w:bookmarkEnd w:id="28"/>
    </w:p>
    <w:p w:rsidR="002552BC" w:rsidRPr="002552BC" w:rsidRDefault="002552BC" w:rsidP="002552BC">
      <w:pPr>
        <w:rPr>
          <w:rFonts w:asciiTheme="majorBidi" w:hAnsiTheme="majorBidi" w:cstheme="majorBidi"/>
        </w:rPr>
      </w:pPr>
      <w:r w:rsidRPr="002552BC">
        <w:rPr>
          <w:rFonts w:asciiTheme="majorBidi" w:hAnsiTheme="majorBidi" w:cstheme="majorBidi"/>
        </w:rPr>
        <w:t>The Council decided not to object to a Commission delegated regulation (</w:t>
      </w:r>
      <w:hyperlink r:id="rId47" w:history="1">
        <w:r w:rsidRPr="002552BC">
          <w:rPr>
            <w:rStyle w:val="Hyperlink"/>
            <w:rFonts w:asciiTheme="majorBidi" w:hAnsiTheme="majorBidi" w:cstheme="majorBidi"/>
          </w:rPr>
          <w:t>11023/15 + ADD 1</w:t>
        </w:r>
      </w:hyperlink>
      <w:r w:rsidRPr="002552BC">
        <w:rPr>
          <w:rFonts w:asciiTheme="majorBidi" w:hAnsiTheme="majorBidi" w:cstheme="majorBidi"/>
        </w:rPr>
        <w:t>) concerning the technical implementation of the Kyoto Protocol after 2012, specifically accounting requirements. This new piece of legislation aims at enabling the effective operation of the joint fulfilment agreement and at ensuring its alignment with the relevant EU legislation.</w:t>
      </w:r>
    </w:p>
    <w:p w:rsidR="002552BC" w:rsidRPr="002552BC" w:rsidRDefault="002552BC" w:rsidP="00835C7A">
      <w:pPr>
        <w:rPr>
          <w:rFonts w:asciiTheme="majorBidi" w:hAnsiTheme="majorBidi" w:cstheme="majorBidi"/>
        </w:rPr>
      </w:pPr>
      <w:r w:rsidRPr="002552BC">
        <w:rPr>
          <w:rFonts w:asciiTheme="majorBidi" w:hAnsiTheme="majorBidi" w:cstheme="majorBidi"/>
        </w:rPr>
        <w:t>The regulation is a delegated act pursuant to article 290 of the Treaty on the Functioning of the EU. This means that now that the Council has decided not to object to it, the act can enter into force, unless the European Parliament objects.</w:t>
      </w:r>
    </w:p>
    <w:p w:rsidR="002552BC" w:rsidRDefault="002552BC" w:rsidP="002552BC">
      <w:pPr>
        <w:pStyle w:val="ItemApproved"/>
      </w:pPr>
      <w:r w:rsidRPr="00EF57BF">
        <w:t>RESEARCH</w:t>
      </w:r>
    </w:p>
    <w:p w:rsidR="002552BC" w:rsidRPr="00EF57BF" w:rsidRDefault="002552BC" w:rsidP="002552BC">
      <w:pPr>
        <w:pStyle w:val="Sub-itemApproved"/>
      </w:pPr>
      <w:bookmarkStart w:id="29" w:name="_Toc431568636"/>
      <w:r w:rsidRPr="00EF57BF">
        <w:t>EU-</w:t>
      </w:r>
      <w:r>
        <w:t>Switzerland</w:t>
      </w:r>
      <w:r w:rsidRPr="00EF57BF">
        <w:t xml:space="preserve"> - Scientific and technological cooperation agreement</w:t>
      </w:r>
      <w:bookmarkEnd w:id="29"/>
    </w:p>
    <w:p w:rsidR="002552BC" w:rsidRDefault="002552BC" w:rsidP="002552BC">
      <w:r>
        <w:t xml:space="preserve">The Council approved the conclusion </w:t>
      </w:r>
      <w:r w:rsidRPr="00E9672B">
        <w:t xml:space="preserve">of </w:t>
      </w:r>
      <w:r>
        <w:t xml:space="preserve">an </w:t>
      </w:r>
      <w:hyperlink r:id="rId48" w:history="1">
        <w:r w:rsidRPr="00637E06">
          <w:rPr>
            <w:rStyle w:val="Hyperlink"/>
          </w:rPr>
          <w:t>agreement</w:t>
        </w:r>
      </w:hyperlink>
      <w:r>
        <w:rPr>
          <w:lang w:eastAsia="fr-BE"/>
        </w:rPr>
        <w:t xml:space="preserve"> </w:t>
      </w:r>
      <w:r w:rsidRPr="00E9672B">
        <w:t xml:space="preserve">for scientific and technological cooperation </w:t>
      </w:r>
      <w:r>
        <w:t>with Switzerland</w:t>
      </w:r>
      <w:r w:rsidRPr="00E9672B">
        <w:t xml:space="preserve"> associating </w:t>
      </w:r>
      <w:r>
        <w:t>Switzerland</w:t>
      </w:r>
      <w:r w:rsidRPr="00E9672B">
        <w:t xml:space="preserve"> to </w:t>
      </w:r>
      <w:r>
        <w:t>"</w:t>
      </w:r>
      <w:hyperlink r:id="rId49" w:history="1">
        <w:r w:rsidRPr="00637E06">
          <w:rPr>
            <w:rStyle w:val="Hyperlink"/>
          </w:rPr>
          <w:t>Horizon 2020</w:t>
        </w:r>
      </w:hyperlink>
      <w:r>
        <w:t xml:space="preserve">", </w:t>
      </w:r>
      <w:r w:rsidRPr="00E9672B">
        <w:t xml:space="preserve">the </w:t>
      </w:r>
      <w:r>
        <w:t>EU's f</w:t>
      </w:r>
      <w:r w:rsidRPr="00E9672B">
        <w:t xml:space="preserve">ramework </w:t>
      </w:r>
      <w:r>
        <w:t>p</w:t>
      </w:r>
      <w:r w:rsidRPr="00E9672B">
        <w:t xml:space="preserve">rogramme for </w:t>
      </w:r>
      <w:r>
        <w:t>r</w:t>
      </w:r>
      <w:r w:rsidRPr="00E9672B">
        <w:t xml:space="preserve">esearch and </w:t>
      </w:r>
      <w:r>
        <w:t>i</w:t>
      </w:r>
      <w:r w:rsidRPr="00E9672B">
        <w:t>nnovation</w:t>
      </w:r>
      <w:r>
        <w:t xml:space="preserve"> for the years </w:t>
      </w:r>
      <w:r w:rsidRPr="00E9672B">
        <w:t>2014</w:t>
      </w:r>
      <w:r>
        <w:t xml:space="preserve"> to </w:t>
      </w:r>
      <w:r w:rsidRPr="00E9672B">
        <w:t>2020</w:t>
      </w:r>
      <w:r>
        <w:t xml:space="preserve"> </w:t>
      </w:r>
      <w:r w:rsidRPr="006A072B">
        <w:rPr>
          <w:i/>
          <w:iCs/>
        </w:rPr>
        <w:t>(</w:t>
      </w:r>
      <w:hyperlink r:id="rId50" w:tooltip="http://data.consilium.europa.eu/doc/document/ST-5662-2015-INIT/en/pdf" w:history="1">
        <w:r w:rsidRPr="00991661">
          <w:rPr>
            <w:rStyle w:val="Hyperlink"/>
            <w:szCs w:val="20"/>
            <w:lang w:eastAsia="fr-BE"/>
          </w:rPr>
          <w:t>5662/15</w:t>
        </w:r>
      </w:hyperlink>
      <w:r w:rsidRPr="006A072B">
        <w:rPr>
          <w:i/>
          <w:iCs/>
          <w:lang w:eastAsia="fr-BE"/>
        </w:rPr>
        <w:t>)</w:t>
      </w:r>
      <w:r>
        <w:t>.</w:t>
      </w:r>
    </w:p>
    <w:p w:rsidR="002552BC" w:rsidRDefault="00F939A9" w:rsidP="002552BC">
      <w:r>
        <w:br w:type="page"/>
      </w:r>
      <w:r w:rsidR="002552BC">
        <w:lastRenderedPageBreak/>
        <w:t xml:space="preserve">The agreement </w:t>
      </w:r>
      <w:r w:rsidR="002552BC">
        <w:rPr>
          <w:lang w:eastAsia="fr-BE"/>
        </w:rPr>
        <w:t>i</w:t>
      </w:r>
      <w:r w:rsidR="002552BC">
        <w:t xml:space="preserve">ncludes the </w:t>
      </w:r>
      <w:r w:rsidR="002552BC" w:rsidRPr="00251C6C">
        <w:t xml:space="preserve">terms and conditions of Switzerland’s participation in the Euratom </w:t>
      </w:r>
      <w:r w:rsidR="002552BC">
        <w:t>p</w:t>
      </w:r>
      <w:r w:rsidR="002552BC" w:rsidRPr="00251C6C">
        <w:t>rogramme 2014</w:t>
      </w:r>
      <w:r w:rsidR="002552BC" w:rsidRPr="00251C6C">
        <w:noBreakHyphen/>
        <w:t xml:space="preserve">2018 and in the activities carried out by the European </w:t>
      </w:r>
      <w:r w:rsidR="002552BC">
        <w:t>j</w:t>
      </w:r>
      <w:r w:rsidR="002552BC" w:rsidRPr="00251C6C">
        <w:t xml:space="preserve">oint </w:t>
      </w:r>
      <w:r w:rsidR="002552BC">
        <w:t>u</w:t>
      </w:r>
      <w:r w:rsidR="002552BC" w:rsidRPr="00251C6C">
        <w:t>ndertaking for</w:t>
      </w:r>
      <w:r w:rsidR="002552BC">
        <w:t xml:space="preserve"> the</w:t>
      </w:r>
      <w:r w:rsidR="002552BC" w:rsidRPr="00251C6C">
        <w:t xml:space="preserve"> </w:t>
      </w:r>
      <w:hyperlink r:id="rId51" w:history="1">
        <w:r w:rsidR="002552BC" w:rsidRPr="00637E06">
          <w:rPr>
            <w:rStyle w:val="Hyperlink"/>
          </w:rPr>
          <w:t>ITER</w:t>
        </w:r>
      </w:hyperlink>
      <w:r w:rsidR="002552BC">
        <w:t xml:space="preserve"> project on nuclear fusion energy.</w:t>
      </w:r>
    </w:p>
    <w:p w:rsidR="002552BC" w:rsidRDefault="002552BC" w:rsidP="00835C7A">
      <w:r w:rsidRPr="00E9672B">
        <w:t xml:space="preserve">The </w:t>
      </w:r>
      <w:r>
        <w:t>a</w:t>
      </w:r>
      <w:r w:rsidRPr="00E9672B">
        <w:t>greement</w:t>
      </w:r>
      <w:r>
        <w:t xml:space="preserve"> was signed on 5 December 2014 in Brussels and started to be </w:t>
      </w:r>
      <w:r w:rsidRPr="00E9672B">
        <w:t>appl</w:t>
      </w:r>
      <w:r>
        <w:t>ied retroactively</w:t>
      </w:r>
      <w:r w:rsidRPr="00E9672B">
        <w:t xml:space="preserve"> </w:t>
      </w:r>
      <w:r w:rsidR="00835C7A">
        <w:t xml:space="preserve">as from </w:t>
      </w:r>
      <w:r>
        <w:t>15 September 2</w:t>
      </w:r>
      <w:r w:rsidRPr="00E9672B">
        <w:t>014</w:t>
      </w:r>
      <w:r>
        <w:t>, pending the completion of</w:t>
      </w:r>
      <w:r w:rsidRPr="00E9672B">
        <w:t xml:space="preserve"> procedur</w:t>
      </w:r>
      <w:r w:rsidRPr="00D41362">
        <w:t>es</w:t>
      </w:r>
      <w:r>
        <w:t xml:space="preserve"> for its conclusion.</w:t>
      </w:r>
    </w:p>
    <w:p w:rsidR="002552BC" w:rsidRPr="006E083A" w:rsidRDefault="002552BC" w:rsidP="002552BC">
      <w:pPr>
        <w:pStyle w:val="Sub-itemApproved"/>
      </w:pPr>
      <w:bookmarkStart w:id="30" w:name="_Toc431568637"/>
      <w:r>
        <w:t>EU- India</w:t>
      </w:r>
      <w:r w:rsidRPr="006E083A">
        <w:t xml:space="preserve"> </w:t>
      </w:r>
      <w:r>
        <w:t>- Renewal of s</w:t>
      </w:r>
      <w:r w:rsidRPr="006E083A">
        <w:t>cientific and technological cooperation agreement</w:t>
      </w:r>
      <w:bookmarkEnd w:id="30"/>
    </w:p>
    <w:p w:rsidR="002552BC" w:rsidRDefault="002552BC" w:rsidP="002552BC">
      <w:pPr>
        <w:rPr>
          <w:noProof/>
        </w:rPr>
      </w:pPr>
      <w:r>
        <w:rPr>
          <w:noProof/>
        </w:rPr>
        <w:t xml:space="preserve">The Council approved the renewal of the </w:t>
      </w:r>
      <w:r w:rsidRPr="00B51E0D">
        <w:t>EU-</w:t>
      </w:r>
      <w:r>
        <w:t>India</w:t>
      </w:r>
      <w:r w:rsidRPr="00B51E0D">
        <w:t xml:space="preserve"> scientific and technological cooperation agreement</w:t>
      </w:r>
      <w:r>
        <w:t xml:space="preserve"> </w:t>
      </w:r>
      <w:r w:rsidRPr="00161ECD">
        <w:rPr>
          <w:noProof/>
        </w:rPr>
        <w:t>for an additional period of five years</w:t>
      </w:r>
      <w:r w:rsidRPr="00216CCF">
        <w:t xml:space="preserve"> </w:t>
      </w:r>
      <w:r w:rsidRPr="002552BC">
        <w:rPr>
          <w:iCs/>
        </w:rPr>
        <w:t>(</w:t>
      </w:r>
      <w:hyperlink r:id="rId52" w:tooltip="http://data.consilium.europa.eu/doc/document/ST-5872-2015-INIT/en/pdf" w:history="1">
        <w:r w:rsidRPr="002552BC">
          <w:rPr>
            <w:rStyle w:val="Hyperlink"/>
            <w:iCs/>
            <w:lang w:val="mt-MT"/>
          </w:rPr>
          <w:t>5872/15</w:t>
        </w:r>
      </w:hyperlink>
      <w:r w:rsidRPr="006E083A">
        <w:rPr>
          <w:i/>
          <w:noProof/>
        </w:rPr>
        <w:t>)</w:t>
      </w:r>
      <w:r>
        <w:rPr>
          <w:noProof/>
        </w:rPr>
        <w:t>.</w:t>
      </w:r>
    </w:p>
    <w:p w:rsidR="002552BC" w:rsidRDefault="002552BC" w:rsidP="002552BC">
      <w:pPr>
        <w:rPr>
          <w:noProof/>
        </w:rPr>
      </w:pPr>
      <w:r>
        <w:rPr>
          <w:noProof/>
        </w:rPr>
        <w:t>The agreement, which entered into force in 2002, may be renewed by mutual agreement every five years.</w:t>
      </w:r>
    </w:p>
    <w:p w:rsidR="002552BC" w:rsidRPr="00216CCF" w:rsidRDefault="005D5FD0" w:rsidP="002552BC">
      <w:hyperlink r:id="rId53" w:history="1">
        <w:r w:rsidR="002552BC">
          <w:rPr>
            <w:rStyle w:val="Hyperlink"/>
          </w:rPr>
          <w:t>EU-India science</w:t>
        </w:r>
        <w:r w:rsidR="002552BC" w:rsidRPr="00121DA5">
          <w:rPr>
            <w:rStyle w:val="Hyperlink"/>
          </w:rPr>
          <w:t xml:space="preserve"> scientific and technological cooperation</w:t>
        </w:r>
      </w:hyperlink>
    </w:p>
    <w:p w:rsidR="002552BC" w:rsidRPr="00EF57BF" w:rsidRDefault="002552BC" w:rsidP="002552BC">
      <w:pPr>
        <w:pStyle w:val="Sub-itemApproved"/>
      </w:pPr>
      <w:bookmarkStart w:id="31" w:name="_Toc431568638"/>
      <w:r w:rsidRPr="00EF57BF">
        <w:t>EU-Faroe Islands - Scientific and technological cooperation agreement</w:t>
      </w:r>
      <w:bookmarkEnd w:id="31"/>
    </w:p>
    <w:p w:rsidR="002552BC" w:rsidRPr="00457C7C" w:rsidRDefault="002552BC" w:rsidP="002552BC">
      <w:r>
        <w:t xml:space="preserve">The Council </w:t>
      </w:r>
      <w:r w:rsidRPr="00E9672B">
        <w:t>a</w:t>
      </w:r>
      <w:r>
        <w:t xml:space="preserve">pproved the conclusion </w:t>
      </w:r>
      <w:r w:rsidRPr="00E9672B">
        <w:t xml:space="preserve">of </w:t>
      </w:r>
      <w:r>
        <w:t>an a</w:t>
      </w:r>
      <w:r w:rsidRPr="00E9672B">
        <w:t>greement</w:t>
      </w:r>
      <w:r>
        <w:t xml:space="preserve"> </w:t>
      </w:r>
      <w:r w:rsidRPr="00E9672B">
        <w:t xml:space="preserve">for scientific and technological cooperation </w:t>
      </w:r>
      <w:r>
        <w:t xml:space="preserve">with </w:t>
      </w:r>
      <w:r w:rsidRPr="00E9672B">
        <w:t xml:space="preserve">the Faroe Islands associating the Faroe Islands to </w:t>
      </w:r>
      <w:r>
        <w:t>"</w:t>
      </w:r>
      <w:r w:rsidRPr="00E9672B">
        <w:t>Horizon</w:t>
      </w:r>
      <w:r>
        <w:t> 2</w:t>
      </w:r>
      <w:r w:rsidRPr="00E9672B">
        <w:t>020</w:t>
      </w:r>
      <w:r>
        <w:t xml:space="preserve">", </w:t>
      </w:r>
      <w:r w:rsidRPr="00E9672B">
        <w:t xml:space="preserve">the </w:t>
      </w:r>
      <w:r>
        <w:t>EU's f</w:t>
      </w:r>
      <w:r w:rsidRPr="00E9672B">
        <w:t xml:space="preserve">ramework </w:t>
      </w:r>
      <w:r>
        <w:t>p</w:t>
      </w:r>
      <w:r w:rsidRPr="00E9672B">
        <w:t xml:space="preserve">rogramme for </w:t>
      </w:r>
      <w:r>
        <w:t>r</w:t>
      </w:r>
      <w:r w:rsidRPr="00E9672B">
        <w:t xml:space="preserve">esearch and </w:t>
      </w:r>
      <w:r>
        <w:t>i</w:t>
      </w:r>
      <w:r w:rsidRPr="00E9672B">
        <w:t>nnovation</w:t>
      </w:r>
      <w:r>
        <w:t xml:space="preserve"> for the years </w:t>
      </w:r>
      <w:r w:rsidRPr="00E9672B">
        <w:t>2014</w:t>
      </w:r>
      <w:r>
        <w:t xml:space="preserve"> to </w:t>
      </w:r>
      <w:r w:rsidRPr="00E9672B">
        <w:t>2020</w:t>
      </w:r>
      <w:r>
        <w:t xml:space="preserve"> </w:t>
      </w:r>
      <w:r w:rsidRPr="00457C7C">
        <w:rPr>
          <w:i/>
          <w:iCs/>
        </w:rPr>
        <w:t>(</w:t>
      </w:r>
      <w:hyperlink r:id="rId54" w:tooltip="http://data.consilium.europa.eu/doc/document/ST-5660-2015-INIT/en/pdf" w:history="1">
        <w:r w:rsidRPr="002552BC">
          <w:rPr>
            <w:rStyle w:val="Hyperlink"/>
          </w:rPr>
          <w:t>5660/15</w:t>
        </w:r>
      </w:hyperlink>
      <w:r w:rsidRPr="00457C7C">
        <w:rPr>
          <w:i/>
          <w:iCs/>
        </w:rPr>
        <w:t>)</w:t>
      </w:r>
      <w:r>
        <w:rPr>
          <w:lang w:eastAsia="fr-BE"/>
        </w:rPr>
        <w:t>.</w:t>
      </w:r>
    </w:p>
    <w:p w:rsidR="002552BC" w:rsidRPr="00E9672B" w:rsidRDefault="002552BC" w:rsidP="002552BC">
      <w:r w:rsidRPr="00E9672B">
        <w:t xml:space="preserve">The </w:t>
      </w:r>
      <w:r>
        <w:t>a</w:t>
      </w:r>
      <w:r w:rsidRPr="00E9672B">
        <w:t xml:space="preserve">greement </w:t>
      </w:r>
      <w:r>
        <w:t>started</w:t>
      </w:r>
      <w:r w:rsidR="00835C7A">
        <w:t xml:space="preserve"> to</w:t>
      </w:r>
      <w:r>
        <w:t xml:space="preserve"> be </w:t>
      </w:r>
      <w:r w:rsidRPr="00E9672B">
        <w:t>applied </w:t>
      </w:r>
      <w:r>
        <w:t>retroactively</w:t>
      </w:r>
      <w:r w:rsidRPr="00E9672B">
        <w:t xml:space="preserve"> as from</w:t>
      </w:r>
      <w:r>
        <w:t> 1 January 2</w:t>
      </w:r>
      <w:r w:rsidRPr="00E9672B">
        <w:t>014</w:t>
      </w:r>
      <w:r>
        <w:t>,</w:t>
      </w:r>
      <w:r w:rsidRPr="00E9672B">
        <w:t xml:space="preserve"> pending the completion of the procedur</w:t>
      </w:r>
      <w:r w:rsidRPr="00D41362">
        <w:t>es</w:t>
      </w:r>
      <w:r w:rsidRPr="00E9672B">
        <w:t xml:space="preserve"> for its conclusion.</w:t>
      </w:r>
    </w:p>
    <w:p w:rsidR="00E20750" w:rsidRPr="008F3E2E" w:rsidRDefault="002552BC" w:rsidP="00E20750">
      <w:pPr>
        <w:pStyle w:val="ItemApproved"/>
      </w:pPr>
      <w:r>
        <w:t>ENERGY</w:t>
      </w:r>
    </w:p>
    <w:p w:rsidR="002552BC" w:rsidRPr="0040020E" w:rsidRDefault="002552BC" w:rsidP="002552BC">
      <w:pPr>
        <w:pStyle w:val="Sub-itemApproved"/>
      </w:pPr>
      <w:bookmarkStart w:id="32" w:name="_Toc431568640"/>
      <w:r w:rsidRPr="0040020E">
        <w:t>Ministerial Council of the Energy Community</w:t>
      </w:r>
      <w:bookmarkEnd w:id="32"/>
    </w:p>
    <w:p w:rsidR="002552BC" w:rsidRPr="002552BC" w:rsidRDefault="002552BC" w:rsidP="00835C7A">
      <w:pPr>
        <w:rPr>
          <w:rFonts w:asciiTheme="majorBidi" w:hAnsiTheme="majorBidi" w:cstheme="majorBidi"/>
        </w:rPr>
      </w:pPr>
      <w:r w:rsidRPr="002552BC">
        <w:rPr>
          <w:rFonts w:asciiTheme="majorBidi" w:hAnsiTheme="majorBidi" w:cstheme="majorBidi"/>
        </w:rPr>
        <w:t xml:space="preserve">The Council adopted a decision establishing the European Union position within the </w:t>
      </w:r>
      <w:r w:rsidR="00835C7A">
        <w:rPr>
          <w:rFonts w:asciiTheme="majorBidi" w:hAnsiTheme="majorBidi" w:cstheme="majorBidi"/>
        </w:rPr>
        <w:t>M</w:t>
      </w:r>
      <w:r w:rsidRPr="002552BC">
        <w:rPr>
          <w:rFonts w:asciiTheme="majorBidi" w:hAnsiTheme="majorBidi" w:cstheme="majorBidi"/>
        </w:rPr>
        <w:t>inisterial Council of the Energy Community which will take place in Tirana on 16 October 2015. The legislative act covers the agenda items relating to the adoption of decisions having legal effect, as well as the EU position on political items which do not have legal effects.</w:t>
      </w:r>
    </w:p>
    <w:p w:rsidR="002552BC" w:rsidRPr="002552BC" w:rsidRDefault="00F939A9" w:rsidP="002552BC">
      <w:pPr>
        <w:rPr>
          <w:rFonts w:asciiTheme="majorBidi" w:hAnsiTheme="majorBidi" w:cstheme="majorBidi"/>
        </w:rPr>
      </w:pPr>
      <w:r>
        <w:rPr>
          <w:rFonts w:asciiTheme="majorBidi" w:hAnsiTheme="majorBidi" w:cstheme="majorBidi"/>
        </w:rPr>
        <w:br w:type="page"/>
      </w:r>
      <w:r w:rsidR="002552BC" w:rsidRPr="002552BC">
        <w:rPr>
          <w:rFonts w:asciiTheme="majorBidi" w:hAnsiTheme="majorBidi" w:cstheme="majorBidi"/>
        </w:rPr>
        <w:lastRenderedPageBreak/>
        <w:t>The Council also decided to inform the European Parliament of the adoption of the decision which will also be transmitted to the European Parliament.</w:t>
      </w:r>
    </w:p>
    <w:p w:rsidR="002552BC" w:rsidRPr="002552BC" w:rsidRDefault="002552BC" w:rsidP="002552BC">
      <w:pPr>
        <w:rPr>
          <w:rFonts w:asciiTheme="majorBidi" w:hAnsiTheme="majorBidi" w:cstheme="majorBidi"/>
        </w:rPr>
      </w:pPr>
      <w:r w:rsidRPr="002552BC">
        <w:rPr>
          <w:rFonts w:asciiTheme="majorBidi" w:hAnsiTheme="majorBidi" w:cstheme="majorBidi"/>
        </w:rPr>
        <w:t>The Energy Community is an international organisation dealing with energy policy and security of supply, bringing together the European Union and countries from the South East Europe and Black Sea region. It was established by an international treaty in October 2005.</w:t>
      </w:r>
    </w:p>
    <w:p w:rsidR="00B45A1C" w:rsidRDefault="005D5FD0" w:rsidP="00B45A1C">
      <w:hyperlink r:id="rId55" w:history="1">
        <w:r w:rsidR="00B45A1C" w:rsidRPr="00B45A1C">
          <w:rPr>
            <w:rStyle w:val="Hyperlink"/>
          </w:rPr>
          <w:t>Energy Community - Facts in Brief</w:t>
        </w:r>
      </w:hyperlink>
    </w:p>
    <w:p w:rsidR="008F3E2E" w:rsidRPr="008F3E2E" w:rsidRDefault="002552BC" w:rsidP="002552BC">
      <w:pPr>
        <w:pStyle w:val="ItemApproved"/>
      </w:pPr>
      <w:r>
        <w:t>SOCIAL POLICY</w:t>
      </w:r>
    </w:p>
    <w:p w:rsidR="002552BC" w:rsidRPr="00244B6B" w:rsidRDefault="002552BC" w:rsidP="002552BC">
      <w:pPr>
        <w:pStyle w:val="Sub-itemApproved"/>
      </w:pPr>
      <w:bookmarkStart w:id="33" w:name="_Toc431568642"/>
      <w:r w:rsidRPr="00244B6B">
        <w:t>Delegated regulation on the Fund for the most deprived</w:t>
      </w:r>
      <w:bookmarkEnd w:id="33"/>
    </w:p>
    <w:p w:rsidR="002552BC" w:rsidRPr="002552BC" w:rsidRDefault="002552BC" w:rsidP="002552BC">
      <w:pPr>
        <w:rPr>
          <w:rFonts w:asciiTheme="majorBidi" w:hAnsiTheme="majorBidi" w:cstheme="majorBidi"/>
          <w:noProof/>
          <w:lang w:eastAsia="en-GB"/>
        </w:rPr>
      </w:pPr>
      <w:r w:rsidRPr="002552BC">
        <w:rPr>
          <w:rFonts w:asciiTheme="majorBidi" w:hAnsiTheme="majorBidi" w:cstheme="majorBidi"/>
        </w:rPr>
        <w:t>The Council decided not to oppose the adoption of Commission's delegated regulation supplementing regulation No 223/2014 with specific provisions on the reporting of irregularities concerning the Fund for European aid to the most deprived (FEAD) (</w:t>
      </w:r>
      <w:hyperlink r:id="rId56" w:tooltip="http://data.consilium.europa.eu/doc/document/ST-10785-2015-INIT/en/pdf" w:history="1">
        <w:r w:rsidR="00B45A1C">
          <w:rPr>
            <w:rStyle w:val="Hyperlink"/>
            <w:rFonts w:asciiTheme="majorBidi" w:hAnsiTheme="majorBidi" w:cstheme="majorBidi"/>
          </w:rPr>
          <w:t>10785/15</w:t>
        </w:r>
      </w:hyperlink>
      <w:r w:rsidRPr="002552BC">
        <w:rPr>
          <w:rFonts w:asciiTheme="majorBidi" w:hAnsiTheme="majorBidi" w:cstheme="majorBidi"/>
        </w:rPr>
        <w:t>).</w:t>
      </w:r>
    </w:p>
    <w:p w:rsidR="002552BC" w:rsidRPr="002552BC" w:rsidRDefault="002552BC" w:rsidP="00835C7A">
      <w:pPr>
        <w:rPr>
          <w:rFonts w:asciiTheme="majorBidi" w:hAnsiTheme="majorBidi" w:cstheme="majorBidi"/>
        </w:rPr>
      </w:pPr>
      <w:r w:rsidRPr="002552BC">
        <w:rPr>
          <w:rFonts w:asciiTheme="majorBidi" w:hAnsiTheme="majorBidi" w:cstheme="majorBidi"/>
          <w:noProof/>
          <w:lang w:eastAsia="en-GB"/>
        </w:rPr>
        <w:t>The purpose of this regulation is to determine which irregularities member states should report to the Commission,</w:t>
      </w:r>
      <w:r w:rsidR="00835C7A">
        <w:rPr>
          <w:rFonts w:asciiTheme="majorBidi" w:hAnsiTheme="majorBidi" w:cstheme="majorBidi"/>
          <w:noProof/>
          <w:lang w:eastAsia="en-GB"/>
        </w:rPr>
        <w:t xml:space="preserve"> thus</w:t>
      </w:r>
      <w:r w:rsidRPr="002552BC">
        <w:rPr>
          <w:rFonts w:asciiTheme="majorBidi" w:hAnsiTheme="majorBidi" w:cstheme="majorBidi"/>
          <w:noProof/>
          <w:lang w:eastAsia="en-GB"/>
        </w:rPr>
        <w:t xml:space="preserve"> allowing the Commission to perform its tasks concerning the protection of the financial interests of the Union.</w:t>
      </w:r>
    </w:p>
    <w:p w:rsidR="002552BC" w:rsidRPr="002552BC" w:rsidRDefault="002552BC" w:rsidP="00BC6903">
      <w:pPr>
        <w:rPr>
          <w:rFonts w:asciiTheme="majorBidi" w:hAnsiTheme="majorBidi" w:cstheme="majorBidi"/>
        </w:rPr>
      </w:pPr>
      <w:r w:rsidRPr="002552BC">
        <w:rPr>
          <w:rFonts w:asciiTheme="majorBidi" w:hAnsiTheme="majorBidi" w:cstheme="majorBidi"/>
        </w:rPr>
        <w:t>The Commission regulation is subject to the so</w:t>
      </w:r>
      <w:r w:rsidR="00BC6903">
        <w:rPr>
          <w:rFonts w:asciiTheme="majorBidi" w:hAnsiTheme="majorBidi" w:cstheme="majorBidi"/>
        </w:rPr>
        <w:t>-</w:t>
      </w:r>
      <w:r w:rsidRPr="002552BC">
        <w:rPr>
          <w:rFonts w:asciiTheme="majorBidi" w:hAnsiTheme="majorBidi" w:cstheme="majorBidi"/>
        </w:rPr>
        <w:t>called regulatory procedure with scrutiny. This means that now that the Council has given its consent, the Commission may adopt the regulation, unless the European Parliament objects.</w:t>
      </w:r>
    </w:p>
    <w:p w:rsidR="008F3E2E" w:rsidRPr="008F3E2E" w:rsidRDefault="008F3E2E" w:rsidP="008F3E2E">
      <w:pPr>
        <w:pStyle w:val="ItemApproved"/>
      </w:pPr>
      <w:r w:rsidRPr="008F3E2E">
        <w:t>AGRICULTURE</w:t>
      </w:r>
    </w:p>
    <w:p w:rsidR="002552BC" w:rsidRPr="008040A2" w:rsidRDefault="002552BC" w:rsidP="00BC6903">
      <w:pPr>
        <w:pStyle w:val="Sub-itemApproved"/>
      </w:pPr>
      <w:bookmarkStart w:id="34" w:name="_Toc431568644"/>
      <w:r>
        <w:t xml:space="preserve">International Organisation of Vine and Wine </w:t>
      </w:r>
      <w:r w:rsidRPr="008040A2">
        <w:t xml:space="preserve">- </w:t>
      </w:r>
      <w:r>
        <w:t>Council conclusions</w:t>
      </w:r>
      <w:bookmarkEnd w:id="34"/>
    </w:p>
    <w:p w:rsidR="002552BC" w:rsidRDefault="002552BC" w:rsidP="00BC6903">
      <w:r w:rsidRPr="003F24FA">
        <w:t xml:space="preserve">The Council </w:t>
      </w:r>
      <w:r>
        <w:t xml:space="preserve">adopted conclusions on the Commission initiative relating to a particular status for the EU within the </w:t>
      </w:r>
      <w:r w:rsidR="00BC6903">
        <w:t>International Organisation of Vine and Wine (OIV)</w:t>
      </w:r>
      <w:r>
        <w:t>.</w:t>
      </w:r>
    </w:p>
    <w:p w:rsidR="002552BC" w:rsidRDefault="002552BC" w:rsidP="00991661">
      <w:r>
        <w:t xml:space="preserve">The Council examined the Commission services non-papers on the </w:t>
      </w:r>
      <w:r w:rsidR="00BC6903">
        <w:t xml:space="preserve">status </w:t>
      </w:r>
      <w:r>
        <w:t xml:space="preserve">envisaged for the EU in the </w:t>
      </w:r>
      <w:r w:rsidR="00BC6903">
        <w:t>OIV</w:t>
      </w:r>
      <w:r>
        <w:t>.</w:t>
      </w:r>
    </w:p>
    <w:p w:rsidR="00F939A9" w:rsidRDefault="00F939A9" w:rsidP="00262487">
      <w:r>
        <w:br w:type="page"/>
      </w:r>
      <w:bookmarkStart w:id="35" w:name="ControlPages"/>
      <w:bookmarkEnd w:id="35"/>
      <w:r w:rsidR="002552BC" w:rsidRPr="00F939A9">
        <w:lastRenderedPageBreak/>
        <w:t>The Council considers that there is a clear interest in obtaining a particular status for the Union, thus enhancing its participation in the OIV</w:t>
      </w:r>
      <w:r w:rsidR="00262487">
        <w:t>'s</w:t>
      </w:r>
      <w:r w:rsidR="002552BC" w:rsidRPr="00F939A9">
        <w:t xml:space="preserve"> activities</w:t>
      </w:r>
      <w:r w:rsidR="00262487">
        <w:t>. The Council therefore authoris</w:t>
      </w:r>
      <w:r w:rsidR="002552BC" w:rsidRPr="00F939A9">
        <w:t>es the Commission to launch exploratory talks with the OIV with a view to obtaining such a status, in accordance with Article 4 of the OIV</w:t>
      </w:r>
      <w:r w:rsidR="00262487">
        <w:t>'s</w:t>
      </w:r>
      <w:r w:rsidR="002552BC" w:rsidRPr="00F939A9">
        <w:t xml:space="preserve"> </w:t>
      </w:r>
      <w:r w:rsidR="00262487">
        <w:t>r</w:t>
      </w:r>
      <w:r w:rsidR="002552BC" w:rsidRPr="00F939A9">
        <w:t xml:space="preserve">ules of </w:t>
      </w:r>
      <w:r w:rsidR="00262487">
        <w:t>p</w:t>
      </w:r>
      <w:r w:rsidR="002552BC" w:rsidRPr="00F939A9">
        <w:t xml:space="preserve">rocedure. The Council asks the Commission to report on the outcome of those talks and submit any appropriate initiatives for the Council's approval, including a new draft exchange of letters as amended on the basis of the outcome of those talks, to bring them to a fruitful conclusion in conformity with the </w:t>
      </w:r>
      <w:r w:rsidR="00262487">
        <w:t>t</w:t>
      </w:r>
      <w:r w:rsidR="002552BC" w:rsidRPr="00F939A9">
        <w:t>reaties.</w:t>
      </w:r>
    </w:p>
    <w:p w:rsidR="00B45A1C" w:rsidRPr="00F939A9" w:rsidRDefault="00B45A1C" w:rsidP="00F939A9">
      <w:pPr>
        <w:pStyle w:val="ItemApproved"/>
      </w:pPr>
      <w:r w:rsidRPr="00F939A9">
        <w:t>APPOINTMENTS</w:t>
      </w:r>
    </w:p>
    <w:p w:rsidR="00B45A1C" w:rsidRPr="009D3704" w:rsidRDefault="00B45A1C" w:rsidP="000356EA">
      <w:pPr>
        <w:pStyle w:val="Sub-itemApproved"/>
      </w:pPr>
      <w:bookmarkStart w:id="36" w:name="_Toc431568646"/>
      <w:r w:rsidRPr="009D3704">
        <w:t>European Economic and Social Committee: new members from Lithuania and the Netherlands</w:t>
      </w:r>
      <w:bookmarkEnd w:id="36"/>
    </w:p>
    <w:p w:rsidR="00B45A1C" w:rsidRPr="002552BC" w:rsidRDefault="00B45A1C" w:rsidP="000356EA">
      <w:pPr>
        <w:rPr>
          <w:rFonts w:asciiTheme="majorBidi" w:hAnsiTheme="majorBidi" w:cstheme="majorBidi"/>
        </w:rPr>
      </w:pPr>
      <w:r w:rsidRPr="002552BC">
        <w:rPr>
          <w:rFonts w:asciiTheme="majorBidi" w:hAnsiTheme="majorBidi" w:cstheme="majorBidi"/>
        </w:rPr>
        <w:t xml:space="preserve">The Council appointed </w:t>
      </w:r>
      <w:r w:rsidR="000356EA">
        <w:rPr>
          <w:rFonts w:asciiTheme="majorBidi" w:hAnsiTheme="majorBidi" w:cstheme="majorBidi"/>
        </w:rPr>
        <w:t>12</w:t>
      </w:r>
      <w:r w:rsidRPr="002552BC">
        <w:rPr>
          <w:rFonts w:asciiTheme="majorBidi" w:hAnsiTheme="majorBidi" w:cstheme="majorBidi"/>
        </w:rPr>
        <w:t xml:space="preserve"> members of the European Economic and Social Committee (EESC) for the period from 21 September 2015 to 20 September 2020.</w:t>
      </w:r>
    </w:p>
    <w:p w:rsidR="00B45A1C" w:rsidRPr="002552BC" w:rsidRDefault="00B45A1C" w:rsidP="00B45A1C">
      <w:pPr>
        <w:rPr>
          <w:rFonts w:asciiTheme="majorBidi" w:hAnsiTheme="majorBidi" w:cstheme="majorBidi"/>
        </w:rPr>
      </w:pPr>
      <w:r w:rsidRPr="002552BC">
        <w:rPr>
          <w:rFonts w:asciiTheme="majorBidi" w:hAnsiTheme="majorBidi" w:cstheme="majorBidi"/>
        </w:rPr>
        <w:t>They are three members from the Netherlands and nine members from Lithuania whose nominations had not been communicated to the Council by the deadline and could not be included in the decision of 18 September 2015, which appointed 338 out of the total of 350 members of the EESC .</w:t>
      </w:r>
    </w:p>
    <w:p w:rsidR="00B45A1C" w:rsidRPr="002552BC" w:rsidRDefault="00B45A1C" w:rsidP="00B45A1C">
      <w:pPr>
        <w:rPr>
          <w:rFonts w:asciiTheme="majorBidi" w:hAnsiTheme="majorBidi" w:cstheme="majorBidi"/>
        </w:rPr>
      </w:pPr>
      <w:r w:rsidRPr="002552BC">
        <w:rPr>
          <w:rFonts w:asciiTheme="majorBidi" w:hAnsiTheme="majorBidi" w:cstheme="majorBidi"/>
        </w:rPr>
        <w:t>The EESC is the European Union body which represents employers, workers and other groups and associations of civil society, notably in socio-economic, civic, professional and cultural areas.</w:t>
      </w:r>
    </w:p>
    <w:p w:rsidR="00B45A1C" w:rsidRPr="002552BC" w:rsidRDefault="00B45A1C" w:rsidP="00B45A1C">
      <w:pPr>
        <w:rPr>
          <w:rFonts w:asciiTheme="majorBidi" w:hAnsiTheme="majorBidi" w:cstheme="majorBidi"/>
          <w:lang w:eastAsia="en-GB"/>
        </w:rPr>
      </w:pPr>
      <w:r w:rsidRPr="002552BC">
        <w:rPr>
          <w:rFonts w:asciiTheme="majorBidi" w:hAnsiTheme="majorBidi" w:cstheme="majorBidi"/>
        </w:rPr>
        <w:t xml:space="preserve">See also </w:t>
      </w:r>
      <w:hyperlink r:id="rId57" w:history="1">
        <w:r w:rsidRPr="00B45A1C">
          <w:rPr>
            <w:rStyle w:val="Hyperlink"/>
            <w:rFonts w:asciiTheme="majorBidi" w:hAnsiTheme="majorBidi" w:cstheme="majorBidi"/>
          </w:rPr>
          <w:t>press release</w:t>
        </w:r>
      </w:hyperlink>
    </w:p>
    <w:p w:rsidR="00714A42" w:rsidRPr="009D3704" w:rsidRDefault="00714A42" w:rsidP="008F7D33">
      <w:pPr>
        <w:pStyle w:val="ItemApproved"/>
      </w:pPr>
      <w:r>
        <w:t>TRANSPARENCY</w:t>
      </w:r>
    </w:p>
    <w:p w:rsidR="00714A42" w:rsidRDefault="00714A42" w:rsidP="00714A42">
      <w:pPr>
        <w:pStyle w:val="Sub-itemApproved"/>
      </w:pPr>
      <w:bookmarkStart w:id="37" w:name="_Toc431568648"/>
      <w:r w:rsidRPr="00714A42">
        <w:t>Public access to documents</w:t>
      </w:r>
      <w:bookmarkEnd w:id="37"/>
    </w:p>
    <w:p w:rsidR="00895676" w:rsidRPr="00B45A1C" w:rsidRDefault="005B52EE" w:rsidP="005B52EE">
      <w:r>
        <w:t>T</w:t>
      </w:r>
      <w:r w:rsidR="00714A42" w:rsidRPr="00B45A1C">
        <w:t>he Council approved</w:t>
      </w:r>
      <w:r>
        <w:t xml:space="preserve"> </w:t>
      </w:r>
      <w:r w:rsidR="00714A42" w:rsidRPr="00B45A1C">
        <w:t>the reply to confirmatory application No 18/c/01/15 (</w:t>
      </w:r>
      <w:hyperlink r:id="rId58" w:tooltip="http://data.consilium.europa.eu/doc/document/ST-11528-2015-INIT/en/pdf" w:history="1">
        <w:r w:rsidR="00991661">
          <w:rPr>
            <w:rStyle w:val="Hyperlink"/>
          </w:rPr>
          <w:t>11528/15</w:t>
        </w:r>
      </w:hyperlink>
      <w:r w:rsidR="00714A42" w:rsidRPr="00B45A1C">
        <w:t>).</w:t>
      </w:r>
    </w:p>
    <w:p w:rsidR="00714A42" w:rsidRPr="00714A42" w:rsidRDefault="00714A42" w:rsidP="00B45A1C">
      <w:pPr>
        <w:pStyle w:val="FinalLine"/>
      </w:pPr>
    </w:p>
    <w:sectPr w:rsidR="00714A42" w:rsidRPr="00714A42" w:rsidSect="005D5FD0">
      <w:headerReference w:type="default" r:id="rId59"/>
      <w:headerReference w:type="first" r:id="rId60"/>
      <w:footerReference w:type="first" r:id="rId61"/>
      <w:footnotePr>
        <w:numRestart w:val="eachPage"/>
      </w:footnotePr>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4A" w:rsidRDefault="00EB2B4A">
      <w:pPr>
        <w:spacing w:before="0" w:after="0"/>
      </w:pPr>
      <w:r>
        <w:separator/>
      </w:r>
    </w:p>
  </w:endnote>
  <w:endnote w:type="continuationSeparator" w:id="0">
    <w:p w:rsidR="00EB2B4A" w:rsidRDefault="00EB2B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D0" w:rsidRPr="005D5FD0" w:rsidRDefault="005D5FD0" w:rsidP="005D5F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D5FD0" w:rsidRPr="007410E8" w:rsidTr="005D5FD0">
      <w:trPr>
        <w:jc w:val="center"/>
      </w:trPr>
      <w:tc>
        <w:tcPr>
          <w:tcW w:w="2604" w:type="pct"/>
          <w:shd w:val="clear" w:color="auto" w:fill="auto"/>
        </w:tcPr>
        <w:p w:rsidR="005D5FD0" w:rsidRPr="007410E8" w:rsidRDefault="005D5FD0" w:rsidP="0035025C">
          <w:pPr>
            <w:pStyle w:val="FooterText"/>
            <w:rPr>
              <w:sz w:val="16"/>
              <w:szCs w:val="16"/>
            </w:rPr>
          </w:pPr>
          <w:bookmarkStart w:id="2" w:name="FOOTER_PR_STANDARD"/>
        </w:p>
      </w:tc>
      <w:tc>
        <w:tcPr>
          <w:tcW w:w="1319" w:type="pct"/>
          <w:shd w:val="clear" w:color="auto" w:fill="auto"/>
        </w:tcPr>
        <w:p w:rsidR="005D5FD0" w:rsidRPr="007410E8" w:rsidRDefault="005D5FD0" w:rsidP="0035025C">
          <w:pPr>
            <w:pStyle w:val="FooterText"/>
            <w:rPr>
              <w:sz w:val="16"/>
              <w:szCs w:val="16"/>
            </w:rPr>
          </w:pPr>
        </w:p>
      </w:tc>
      <w:tc>
        <w:tcPr>
          <w:tcW w:w="1077" w:type="pct"/>
          <w:shd w:val="clear" w:color="auto" w:fill="auto"/>
        </w:tcPr>
        <w:p w:rsidR="005D5FD0" w:rsidRPr="007410E8" w:rsidRDefault="005D5FD0" w:rsidP="0035025C">
          <w:pPr>
            <w:pStyle w:val="FooterText"/>
            <w:jc w:val="right"/>
            <w:rPr>
              <w:sz w:val="16"/>
              <w:szCs w:val="16"/>
            </w:rPr>
          </w:pPr>
        </w:p>
      </w:tc>
    </w:tr>
    <w:tr w:rsidR="005D5FD0" w:rsidRPr="007410E8" w:rsidTr="005D5FD0">
      <w:trPr>
        <w:jc w:val="center"/>
      </w:trPr>
      <w:tc>
        <w:tcPr>
          <w:tcW w:w="2604" w:type="pct"/>
          <w:shd w:val="clear" w:color="auto" w:fill="auto"/>
        </w:tcPr>
        <w:p w:rsidR="005D5FD0" w:rsidRPr="007410E8" w:rsidRDefault="005D5FD0" w:rsidP="0035025C">
          <w:pPr>
            <w:pStyle w:val="FooterText"/>
            <w:rPr>
              <w:sz w:val="16"/>
            </w:rPr>
          </w:pPr>
          <w:r>
            <w:t>12578/15</w:t>
          </w:r>
          <w:r w:rsidRPr="002511D8">
            <w:t xml:space="preserve"> </w:t>
          </w:r>
        </w:p>
      </w:tc>
      <w:tc>
        <w:tcPr>
          <w:tcW w:w="1319" w:type="pct"/>
          <w:shd w:val="clear" w:color="auto" w:fill="auto"/>
        </w:tcPr>
        <w:p w:rsidR="005D5FD0" w:rsidRPr="007410E8" w:rsidRDefault="005D5FD0" w:rsidP="0035025C">
          <w:pPr>
            <w:pStyle w:val="FooterText"/>
            <w:rPr>
              <w:sz w:val="16"/>
            </w:rPr>
          </w:pPr>
        </w:p>
      </w:tc>
      <w:tc>
        <w:tcPr>
          <w:tcW w:w="1077" w:type="pct"/>
          <w:shd w:val="clear" w:color="auto" w:fill="auto"/>
        </w:tcPr>
        <w:p w:rsidR="005D5FD0" w:rsidRPr="007410E8" w:rsidRDefault="005D5FD0" w:rsidP="0035025C">
          <w:pPr>
            <w:pStyle w:val="FooterText"/>
            <w:jc w:val="right"/>
            <w:rPr>
              <w:sz w:val="16"/>
            </w:rPr>
          </w:pPr>
          <w:r>
            <w:fldChar w:fldCharType="begin"/>
          </w:r>
          <w:r>
            <w:instrText xml:space="preserve"> PAGE  \* MERGEFORMAT </w:instrText>
          </w:r>
          <w:r>
            <w:fldChar w:fldCharType="separate"/>
          </w:r>
          <w:r>
            <w:rPr>
              <w:noProof/>
            </w:rPr>
            <w:t>18</w:t>
          </w:r>
          <w:r>
            <w:fldChar w:fldCharType="end"/>
          </w:r>
        </w:p>
      </w:tc>
    </w:tr>
    <w:tr w:rsidR="005D5FD0" w:rsidRPr="007410E8" w:rsidTr="005D5FD0">
      <w:trPr>
        <w:jc w:val="center"/>
      </w:trPr>
      <w:tc>
        <w:tcPr>
          <w:tcW w:w="2604" w:type="pct"/>
          <w:shd w:val="clear" w:color="auto" w:fill="auto"/>
        </w:tcPr>
        <w:p w:rsidR="005D5FD0" w:rsidRPr="007410E8" w:rsidRDefault="005D5FD0" w:rsidP="0035025C">
          <w:pPr>
            <w:pStyle w:val="FooterText"/>
            <w:rPr>
              <w:sz w:val="16"/>
            </w:rPr>
          </w:pPr>
        </w:p>
      </w:tc>
      <w:tc>
        <w:tcPr>
          <w:tcW w:w="1319" w:type="pct"/>
          <w:shd w:val="clear" w:color="auto" w:fill="auto"/>
        </w:tcPr>
        <w:p w:rsidR="005D5FD0" w:rsidRPr="007410E8" w:rsidRDefault="005D5FD0" w:rsidP="0035025C">
          <w:pPr>
            <w:pStyle w:val="FooterText"/>
            <w:rPr>
              <w:sz w:val="16"/>
            </w:rPr>
          </w:pPr>
        </w:p>
      </w:tc>
      <w:tc>
        <w:tcPr>
          <w:tcW w:w="1077" w:type="pct"/>
          <w:shd w:val="clear" w:color="auto" w:fill="auto"/>
        </w:tcPr>
        <w:p w:rsidR="005D5FD0" w:rsidRPr="007410E8" w:rsidRDefault="005D5FD0" w:rsidP="0035025C">
          <w:pPr>
            <w:pStyle w:val="FooterText"/>
            <w:jc w:val="right"/>
            <w:rPr>
              <w:sz w:val="16"/>
            </w:rPr>
          </w:pPr>
          <w:r>
            <w:rPr>
              <w:b/>
              <w:position w:val="-4"/>
              <w:sz w:val="36"/>
            </w:rPr>
            <w:t>EN</w:t>
          </w:r>
        </w:p>
      </w:tc>
    </w:tr>
    <w:bookmarkEnd w:id="2"/>
  </w:tbl>
  <w:p w:rsidR="00EB2B4A" w:rsidRPr="005D5FD0" w:rsidRDefault="00EB2B4A" w:rsidP="005D5FD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5D5FD0" w:rsidRPr="009C2FB3" w:rsidTr="005D5FD0">
      <w:trPr>
        <w:jc w:val="center"/>
      </w:trPr>
      <w:tc>
        <w:tcPr>
          <w:tcW w:w="569" w:type="pct"/>
          <w:shd w:val="clear" w:color="auto" w:fill="auto"/>
        </w:tcPr>
        <w:p w:rsidR="005D5FD0" w:rsidRPr="009C2FB3" w:rsidRDefault="005D5FD0" w:rsidP="0035025C">
          <w:pPr>
            <w:pStyle w:val="FooterText"/>
          </w:pPr>
          <w:bookmarkStart w:id="3" w:name="FOOTER_PR_COVERPAGE"/>
        </w:p>
      </w:tc>
      <w:tc>
        <w:tcPr>
          <w:tcW w:w="3760" w:type="pct"/>
          <w:gridSpan w:val="3"/>
          <w:shd w:val="clear" w:color="auto" w:fill="auto"/>
          <w:noWrap/>
        </w:tcPr>
        <w:p w:rsidR="005D5FD0" w:rsidRPr="00F37CD6" w:rsidRDefault="005D5FD0"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5D5FD0" w:rsidRPr="009C2FB3" w:rsidRDefault="005D5FD0" w:rsidP="0035025C">
          <w:pPr>
            <w:pStyle w:val="FooterText"/>
          </w:pPr>
        </w:p>
      </w:tc>
    </w:tr>
    <w:tr w:rsidR="005D5FD0" w:rsidRPr="005D5FD0" w:rsidTr="005D5FD0">
      <w:trPr>
        <w:jc w:val="center"/>
      </w:trPr>
      <w:tc>
        <w:tcPr>
          <w:tcW w:w="5000" w:type="pct"/>
          <w:gridSpan w:val="5"/>
          <w:shd w:val="clear" w:color="auto" w:fill="auto"/>
        </w:tcPr>
        <w:p w:rsidR="005D5FD0" w:rsidRPr="005D5FD0" w:rsidRDefault="005D5FD0" w:rsidP="0035025C">
          <w:pPr>
            <w:pStyle w:val="FooterAddressText"/>
            <w:rPr>
              <w:lang w:val="fr-BE"/>
            </w:rPr>
          </w:pPr>
        </w:p>
        <w:p w:rsidR="005D5FD0" w:rsidRPr="005D5FD0" w:rsidRDefault="005D5FD0" w:rsidP="0035025C">
          <w:pPr>
            <w:pStyle w:val="FooterAddressText"/>
            <w:rPr>
              <w:lang w:val="fr-BE"/>
            </w:rPr>
          </w:pPr>
          <w:r w:rsidRPr="005D5FD0">
            <w:rPr>
              <w:lang w:val="fr-BE"/>
            </w:rPr>
            <w:t>Rue de la Loi 175  B – 1048 BRUSSELS  Tel.: +32 (0)2 281 6319  Fax: +32 (0)2 281 8026</w:t>
          </w:r>
        </w:p>
      </w:tc>
    </w:tr>
    <w:tr w:rsidR="005D5FD0" w:rsidRPr="005D5FD0" w:rsidTr="005D5FD0">
      <w:trPr>
        <w:jc w:val="center"/>
      </w:trPr>
      <w:tc>
        <w:tcPr>
          <w:tcW w:w="5000" w:type="pct"/>
          <w:gridSpan w:val="5"/>
          <w:shd w:val="clear" w:color="auto" w:fill="auto"/>
        </w:tcPr>
        <w:p w:rsidR="005D5FD0" w:rsidRPr="005D5FD0" w:rsidRDefault="005D5FD0" w:rsidP="0035025C">
          <w:pPr>
            <w:pStyle w:val="FooterText"/>
            <w:jc w:val="center"/>
            <w:rPr>
              <w:sz w:val="20"/>
              <w:szCs w:val="20"/>
              <w:lang w:val="fr-BE"/>
            </w:rPr>
          </w:pPr>
          <w:hyperlink r:id="rId1" w:history="1">
            <w:r w:rsidRPr="005D5FD0">
              <w:rPr>
                <w:rStyle w:val="Hyperlink"/>
                <w:sz w:val="20"/>
                <w:lang w:val="fr-BE"/>
              </w:rPr>
              <w:t>press.office@consilium.europa.eu</w:t>
            </w:r>
          </w:hyperlink>
          <w:r w:rsidRPr="005D5FD0">
            <w:rPr>
              <w:sz w:val="20"/>
              <w:szCs w:val="20"/>
              <w:lang w:val="fr-BE"/>
            </w:rPr>
            <w:t xml:space="preserve">  </w:t>
          </w:r>
          <w:hyperlink r:id="rId2" w:history="1">
            <w:r w:rsidRPr="005D5FD0">
              <w:rPr>
                <w:rStyle w:val="Hyperlink"/>
                <w:sz w:val="20"/>
                <w:lang w:val="fr-BE"/>
              </w:rPr>
              <w:t>http://www.consilium.europa.eu/press</w:t>
            </w:r>
          </w:hyperlink>
        </w:p>
      </w:tc>
    </w:tr>
    <w:tr w:rsidR="005D5FD0" w:rsidRPr="007410E8" w:rsidTr="005D5FD0">
      <w:trPr>
        <w:jc w:val="center"/>
      </w:trPr>
      <w:tc>
        <w:tcPr>
          <w:tcW w:w="2604" w:type="pct"/>
          <w:gridSpan w:val="2"/>
          <w:shd w:val="clear" w:color="auto" w:fill="auto"/>
        </w:tcPr>
        <w:p w:rsidR="005D5FD0" w:rsidRPr="007410E8" w:rsidRDefault="005D5FD0" w:rsidP="0035025C">
          <w:pPr>
            <w:pStyle w:val="FooterText"/>
            <w:spacing w:before="60"/>
            <w:rPr>
              <w:sz w:val="16"/>
            </w:rPr>
          </w:pPr>
          <w:r>
            <w:t>12578/15</w:t>
          </w:r>
          <w:r w:rsidRPr="002511D8">
            <w:t xml:space="preserve"> </w:t>
          </w:r>
        </w:p>
      </w:tc>
      <w:tc>
        <w:tcPr>
          <w:tcW w:w="1319" w:type="pct"/>
          <w:shd w:val="clear" w:color="auto" w:fill="auto"/>
        </w:tcPr>
        <w:p w:rsidR="005D5FD0" w:rsidRPr="007410E8" w:rsidRDefault="005D5FD0" w:rsidP="0035025C">
          <w:pPr>
            <w:pStyle w:val="FooterText"/>
            <w:spacing w:before="120"/>
            <w:rPr>
              <w:sz w:val="16"/>
            </w:rPr>
          </w:pPr>
        </w:p>
      </w:tc>
      <w:tc>
        <w:tcPr>
          <w:tcW w:w="1077" w:type="pct"/>
          <w:gridSpan w:val="2"/>
          <w:shd w:val="clear" w:color="auto" w:fill="auto"/>
        </w:tcPr>
        <w:p w:rsidR="005D5FD0" w:rsidRPr="007410E8" w:rsidRDefault="005D5FD0"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5D5FD0" w:rsidRPr="007410E8" w:rsidTr="005D5FD0">
      <w:trPr>
        <w:jc w:val="center"/>
      </w:trPr>
      <w:tc>
        <w:tcPr>
          <w:tcW w:w="2604" w:type="pct"/>
          <w:gridSpan w:val="2"/>
          <w:shd w:val="clear" w:color="auto" w:fill="auto"/>
        </w:tcPr>
        <w:p w:rsidR="005D5FD0" w:rsidRPr="007410E8" w:rsidRDefault="005D5FD0" w:rsidP="0035025C">
          <w:pPr>
            <w:pStyle w:val="FooterText"/>
            <w:rPr>
              <w:sz w:val="16"/>
            </w:rPr>
          </w:pPr>
        </w:p>
      </w:tc>
      <w:tc>
        <w:tcPr>
          <w:tcW w:w="1319" w:type="pct"/>
          <w:shd w:val="clear" w:color="auto" w:fill="auto"/>
        </w:tcPr>
        <w:p w:rsidR="005D5FD0" w:rsidRPr="007410E8" w:rsidRDefault="005D5FD0" w:rsidP="0035025C">
          <w:pPr>
            <w:pStyle w:val="FooterText"/>
            <w:rPr>
              <w:sz w:val="16"/>
            </w:rPr>
          </w:pPr>
        </w:p>
      </w:tc>
      <w:tc>
        <w:tcPr>
          <w:tcW w:w="1077" w:type="pct"/>
          <w:gridSpan w:val="2"/>
          <w:shd w:val="clear" w:color="auto" w:fill="auto"/>
        </w:tcPr>
        <w:p w:rsidR="005D5FD0" w:rsidRPr="007410E8" w:rsidRDefault="005D5FD0" w:rsidP="0035025C">
          <w:pPr>
            <w:pStyle w:val="FooterText"/>
            <w:jc w:val="right"/>
            <w:rPr>
              <w:sz w:val="16"/>
            </w:rPr>
          </w:pPr>
          <w:r>
            <w:rPr>
              <w:b/>
              <w:position w:val="-4"/>
              <w:sz w:val="36"/>
            </w:rPr>
            <w:t>EN</w:t>
          </w:r>
        </w:p>
      </w:tc>
    </w:tr>
    <w:bookmarkEnd w:id="3"/>
  </w:tbl>
  <w:p w:rsidR="00EB2B4A" w:rsidRPr="005D5FD0" w:rsidRDefault="00EB2B4A" w:rsidP="005D5FD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D5FD0" w:rsidRPr="007410E8" w:rsidTr="005D5FD0">
      <w:trPr>
        <w:jc w:val="center"/>
      </w:trPr>
      <w:tc>
        <w:tcPr>
          <w:tcW w:w="5000" w:type="pct"/>
          <w:gridSpan w:val="3"/>
          <w:shd w:val="clear" w:color="auto" w:fill="auto"/>
        </w:tcPr>
        <w:p w:rsidR="005D5FD0" w:rsidRPr="007410E8" w:rsidRDefault="005D5FD0" w:rsidP="0035025C">
          <w:pPr>
            <w:pStyle w:val="FooterText"/>
            <w:tabs>
              <w:tab w:val="left" w:pos="285"/>
              <w:tab w:val="left" w:pos="585"/>
            </w:tabs>
            <w:ind w:left="540" w:hanging="540"/>
            <w:rPr>
              <w:sz w:val="21"/>
              <w:szCs w:val="21"/>
            </w:rPr>
          </w:pPr>
          <w:bookmarkStart w:id="39"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5D5FD0" w:rsidRPr="007410E8" w:rsidRDefault="005D5FD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5D5FD0" w:rsidRPr="007410E8" w:rsidRDefault="005D5FD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5D5FD0" w:rsidRPr="007410E8" w:rsidRDefault="005D5FD0" w:rsidP="0035025C">
          <w:pPr>
            <w:pStyle w:val="FooterText"/>
            <w:tabs>
              <w:tab w:val="left" w:pos="285"/>
              <w:tab w:val="left" w:pos="585"/>
            </w:tabs>
            <w:rPr>
              <w:sz w:val="21"/>
              <w:szCs w:val="21"/>
            </w:rPr>
          </w:pPr>
        </w:p>
      </w:tc>
    </w:tr>
    <w:tr w:rsidR="005D5FD0" w:rsidRPr="007410E8" w:rsidTr="005D5FD0">
      <w:trPr>
        <w:jc w:val="center"/>
      </w:trPr>
      <w:tc>
        <w:tcPr>
          <w:tcW w:w="2604" w:type="pct"/>
          <w:shd w:val="clear" w:color="auto" w:fill="auto"/>
        </w:tcPr>
        <w:p w:rsidR="005D5FD0" w:rsidRPr="007410E8" w:rsidRDefault="005D5FD0" w:rsidP="0035025C">
          <w:pPr>
            <w:pStyle w:val="FooterText"/>
            <w:rPr>
              <w:sz w:val="16"/>
            </w:rPr>
          </w:pPr>
          <w:r>
            <w:t>12578/15</w:t>
          </w:r>
          <w:r w:rsidRPr="002511D8">
            <w:t xml:space="preserve"> </w:t>
          </w:r>
        </w:p>
      </w:tc>
      <w:tc>
        <w:tcPr>
          <w:tcW w:w="1319" w:type="pct"/>
          <w:shd w:val="clear" w:color="auto" w:fill="auto"/>
        </w:tcPr>
        <w:p w:rsidR="005D5FD0" w:rsidRPr="007410E8" w:rsidRDefault="005D5FD0" w:rsidP="0035025C">
          <w:pPr>
            <w:pStyle w:val="FooterText"/>
            <w:rPr>
              <w:sz w:val="16"/>
            </w:rPr>
          </w:pPr>
        </w:p>
      </w:tc>
      <w:tc>
        <w:tcPr>
          <w:tcW w:w="1077" w:type="pct"/>
          <w:shd w:val="clear" w:color="auto" w:fill="auto"/>
        </w:tcPr>
        <w:p w:rsidR="005D5FD0" w:rsidRPr="007410E8" w:rsidRDefault="005D5FD0"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5D5FD0" w:rsidRPr="007410E8" w:rsidTr="005D5FD0">
      <w:trPr>
        <w:jc w:val="center"/>
      </w:trPr>
      <w:tc>
        <w:tcPr>
          <w:tcW w:w="2604" w:type="pct"/>
          <w:shd w:val="clear" w:color="auto" w:fill="auto"/>
        </w:tcPr>
        <w:p w:rsidR="005D5FD0" w:rsidRPr="007410E8" w:rsidRDefault="005D5FD0" w:rsidP="0035025C">
          <w:pPr>
            <w:pStyle w:val="FooterText"/>
            <w:rPr>
              <w:sz w:val="16"/>
            </w:rPr>
          </w:pPr>
        </w:p>
      </w:tc>
      <w:tc>
        <w:tcPr>
          <w:tcW w:w="1319" w:type="pct"/>
          <w:shd w:val="clear" w:color="auto" w:fill="auto"/>
        </w:tcPr>
        <w:p w:rsidR="005D5FD0" w:rsidRPr="007410E8" w:rsidRDefault="005D5FD0" w:rsidP="0035025C">
          <w:pPr>
            <w:pStyle w:val="FooterText"/>
            <w:rPr>
              <w:sz w:val="16"/>
            </w:rPr>
          </w:pPr>
        </w:p>
      </w:tc>
      <w:tc>
        <w:tcPr>
          <w:tcW w:w="1077" w:type="pct"/>
          <w:shd w:val="clear" w:color="auto" w:fill="auto"/>
        </w:tcPr>
        <w:p w:rsidR="005D5FD0" w:rsidRPr="007410E8" w:rsidRDefault="005D5FD0" w:rsidP="0035025C">
          <w:pPr>
            <w:pStyle w:val="FooterText"/>
            <w:jc w:val="right"/>
            <w:rPr>
              <w:sz w:val="16"/>
            </w:rPr>
          </w:pPr>
          <w:r>
            <w:rPr>
              <w:b/>
              <w:position w:val="-4"/>
              <w:sz w:val="36"/>
            </w:rPr>
            <w:t>EN</w:t>
          </w:r>
        </w:p>
      </w:tc>
    </w:tr>
    <w:bookmarkEnd w:id="39"/>
  </w:tbl>
  <w:p w:rsidR="00EB2B4A" w:rsidRPr="005D5FD0" w:rsidRDefault="00EB2B4A" w:rsidP="005D5FD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4A" w:rsidRDefault="00EB2B4A">
      <w:pPr>
        <w:spacing w:before="0" w:after="0"/>
      </w:pPr>
      <w:r>
        <w:separator/>
      </w:r>
    </w:p>
  </w:footnote>
  <w:footnote w:type="continuationSeparator" w:id="0">
    <w:p w:rsidR="00EB2B4A" w:rsidRDefault="00EB2B4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D0" w:rsidRPr="005D5FD0" w:rsidRDefault="005D5FD0" w:rsidP="005D5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D0" w:rsidRPr="005D5FD0" w:rsidRDefault="005D5FD0" w:rsidP="005D5FD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D0" w:rsidRPr="005D5FD0" w:rsidRDefault="005D5FD0" w:rsidP="005D5FD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D5FD0" w:rsidRPr="007410E8" w:rsidTr="005D5FD0">
      <w:trPr>
        <w:jc w:val="center"/>
      </w:trPr>
      <w:tc>
        <w:tcPr>
          <w:tcW w:w="2500" w:type="pct"/>
          <w:shd w:val="clear" w:color="auto" w:fill="auto"/>
        </w:tcPr>
        <w:p w:rsidR="005D5FD0" w:rsidRPr="007410E8" w:rsidRDefault="005D5FD0" w:rsidP="0035025C">
          <w:pPr>
            <w:pStyle w:val="HeaderText"/>
            <w:rPr>
              <w:b/>
              <w:i/>
              <w:sz w:val="16"/>
              <w:u w:val="single"/>
            </w:rPr>
          </w:pPr>
          <w:bookmarkStart w:id="38" w:name="HEADER_PRMEET"/>
        </w:p>
      </w:tc>
      <w:tc>
        <w:tcPr>
          <w:tcW w:w="2500" w:type="pct"/>
          <w:shd w:val="clear" w:color="auto" w:fill="auto"/>
        </w:tcPr>
        <w:p w:rsidR="005D5FD0" w:rsidRPr="007410E8" w:rsidRDefault="005D5FD0" w:rsidP="005D5FD0">
          <w:pPr>
            <w:pStyle w:val="HeaderText"/>
            <w:jc w:val="right"/>
            <w:rPr>
              <w:sz w:val="16"/>
            </w:rPr>
          </w:pPr>
          <w:r w:rsidRPr="005D5FD0">
            <w:t>1 October 2015</w:t>
          </w:r>
        </w:p>
      </w:tc>
    </w:tr>
    <w:bookmarkEnd w:id="38"/>
  </w:tbl>
  <w:p w:rsidR="00EB2B4A" w:rsidRPr="005D5FD0" w:rsidRDefault="00EB2B4A" w:rsidP="005D5FD0">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D5FD0" w:rsidRPr="007410E8" w:rsidTr="005D5FD0">
      <w:trPr>
        <w:jc w:val="center"/>
      </w:trPr>
      <w:tc>
        <w:tcPr>
          <w:tcW w:w="2500" w:type="pct"/>
          <w:shd w:val="clear" w:color="auto" w:fill="auto"/>
        </w:tcPr>
        <w:p w:rsidR="005D5FD0" w:rsidRPr="007410E8" w:rsidRDefault="005D5FD0" w:rsidP="0035025C">
          <w:pPr>
            <w:pStyle w:val="HeaderText"/>
            <w:rPr>
              <w:b/>
              <w:i/>
              <w:sz w:val="16"/>
              <w:u w:val="single"/>
            </w:rPr>
          </w:pPr>
        </w:p>
      </w:tc>
      <w:tc>
        <w:tcPr>
          <w:tcW w:w="2500" w:type="pct"/>
          <w:shd w:val="clear" w:color="auto" w:fill="auto"/>
        </w:tcPr>
        <w:p w:rsidR="005D5FD0" w:rsidRPr="007410E8" w:rsidRDefault="005D5FD0" w:rsidP="005D5FD0">
          <w:pPr>
            <w:pStyle w:val="HeaderText"/>
            <w:jc w:val="right"/>
            <w:rPr>
              <w:sz w:val="16"/>
            </w:rPr>
          </w:pPr>
          <w:r w:rsidRPr="005D5FD0">
            <w:t>1 October 2015</w:t>
          </w:r>
        </w:p>
      </w:tc>
    </w:tr>
  </w:tbl>
  <w:p w:rsidR="00EB2B4A" w:rsidRPr="005D5FD0" w:rsidRDefault="00EB2B4A" w:rsidP="005D5FD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9"/>
    <w:lvlOverride w:ilvl="0">
      <w:startOverride w:val="1"/>
    </w:lvlOverride>
  </w:num>
  <w:num w:numId="2">
    <w:abstractNumId w:val="4"/>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d0242044-75aa-43b7-ab3d-100ae76ff9c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257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5&lt;/text&gt;_x000d__x000a_      &lt;text&gt;PR CO 4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Deputy Prime Minister, Minister for Economic Affairs, Internal Security and Defence, of Luxembourg&quot; name=&quot;Etienne Schneider&quot; text=&quot;Etienne Schneider, Deputy Prime Minister, Minister for Economic Affairs, Internal Security and Defence, of Luxembourg&quot; genderKeyBds=&quot;gend_01&quot; /&gt;_x000d__x000a_    &lt;/presidents&gt;_x000d__x000a_  &lt;/metadata&gt;_x000d__x000a_  &lt;metadata key=&quot;md_MeetingNumber&quot;&gt;_x000d__x000a_    &lt;text&gt;3410&lt;/text&gt;_x000d__x000a_  &lt;/metadata&gt;_x000d__x000a_  &lt;metadata key=&quot;md_CouncilConfiguration&quot;&gt;_x000d__x000a_    &lt;basicdatatype&gt;_x000d__x000a_      &lt;configuration key=&quot;cc_06&quot; text=&quot;Competitiveness (Internal Market, Industry, Research and Space)&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01&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4A25A1"/>
    <w:rsid w:val="00004D4C"/>
    <w:rsid w:val="00005C6C"/>
    <w:rsid w:val="00014478"/>
    <w:rsid w:val="000246D0"/>
    <w:rsid w:val="000356EA"/>
    <w:rsid w:val="00035E1C"/>
    <w:rsid w:val="000367E6"/>
    <w:rsid w:val="00043001"/>
    <w:rsid w:val="0007729C"/>
    <w:rsid w:val="00081FA0"/>
    <w:rsid w:val="000868D3"/>
    <w:rsid w:val="00097226"/>
    <w:rsid w:val="000A21A6"/>
    <w:rsid w:val="000A63B0"/>
    <w:rsid w:val="000A6C46"/>
    <w:rsid w:val="000C28B2"/>
    <w:rsid w:val="000E3530"/>
    <w:rsid w:val="00112293"/>
    <w:rsid w:val="00113251"/>
    <w:rsid w:val="00117B2F"/>
    <w:rsid w:val="00117E09"/>
    <w:rsid w:val="00123F94"/>
    <w:rsid w:val="001825EB"/>
    <w:rsid w:val="00197177"/>
    <w:rsid w:val="001B5655"/>
    <w:rsid w:val="001E5DEF"/>
    <w:rsid w:val="00207A0D"/>
    <w:rsid w:val="00210476"/>
    <w:rsid w:val="002552BC"/>
    <w:rsid w:val="00262487"/>
    <w:rsid w:val="002A698F"/>
    <w:rsid w:val="002F7068"/>
    <w:rsid w:val="00303247"/>
    <w:rsid w:val="00305C26"/>
    <w:rsid w:val="00322F20"/>
    <w:rsid w:val="003306F1"/>
    <w:rsid w:val="00337BE5"/>
    <w:rsid w:val="00341825"/>
    <w:rsid w:val="00347BF8"/>
    <w:rsid w:val="003530E7"/>
    <w:rsid w:val="00364FD7"/>
    <w:rsid w:val="00376B17"/>
    <w:rsid w:val="00386422"/>
    <w:rsid w:val="003946C8"/>
    <w:rsid w:val="003C407E"/>
    <w:rsid w:val="003C562E"/>
    <w:rsid w:val="003D036A"/>
    <w:rsid w:val="00460F8D"/>
    <w:rsid w:val="00474611"/>
    <w:rsid w:val="004A25A1"/>
    <w:rsid w:val="004B48AF"/>
    <w:rsid w:val="0053029B"/>
    <w:rsid w:val="00530F86"/>
    <w:rsid w:val="0053724C"/>
    <w:rsid w:val="00546259"/>
    <w:rsid w:val="00546CEA"/>
    <w:rsid w:val="00547BFF"/>
    <w:rsid w:val="0055046C"/>
    <w:rsid w:val="005510DD"/>
    <w:rsid w:val="005642AF"/>
    <w:rsid w:val="0057619A"/>
    <w:rsid w:val="005832BA"/>
    <w:rsid w:val="005842A9"/>
    <w:rsid w:val="005938F2"/>
    <w:rsid w:val="005957E4"/>
    <w:rsid w:val="00595D7C"/>
    <w:rsid w:val="005B446F"/>
    <w:rsid w:val="005B52EE"/>
    <w:rsid w:val="005C0C7B"/>
    <w:rsid w:val="005D5FD0"/>
    <w:rsid w:val="005E2386"/>
    <w:rsid w:val="005F2ED8"/>
    <w:rsid w:val="006227F5"/>
    <w:rsid w:val="00631D9E"/>
    <w:rsid w:val="0065139D"/>
    <w:rsid w:val="00661534"/>
    <w:rsid w:val="00666CB5"/>
    <w:rsid w:val="00675159"/>
    <w:rsid w:val="006A56D8"/>
    <w:rsid w:val="006A6266"/>
    <w:rsid w:val="006B0A6B"/>
    <w:rsid w:val="006D0891"/>
    <w:rsid w:val="006E2F9D"/>
    <w:rsid w:val="006E6EED"/>
    <w:rsid w:val="006F2E77"/>
    <w:rsid w:val="006F4E9F"/>
    <w:rsid w:val="006F71AF"/>
    <w:rsid w:val="00700647"/>
    <w:rsid w:val="00705BEF"/>
    <w:rsid w:val="007071E6"/>
    <w:rsid w:val="00711E93"/>
    <w:rsid w:val="00714A42"/>
    <w:rsid w:val="00720475"/>
    <w:rsid w:val="007549A1"/>
    <w:rsid w:val="007B7EAC"/>
    <w:rsid w:val="007C3D1D"/>
    <w:rsid w:val="007C7D04"/>
    <w:rsid w:val="007D3356"/>
    <w:rsid w:val="007D3E8B"/>
    <w:rsid w:val="008241C5"/>
    <w:rsid w:val="00833AAC"/>
    <w:rsid w:val="00835C7A"/>
    <w:rsid w:val="00875179"/>
    <w:rsid w:val="008774FD"/>
    <w:rsid w:val="00883578"/>
    <w:rsid w:val="00885D07"/>
    <w:rsid w:val="00895676"/>
    <w:rsid w:val="008A5C61"/>
    <w:rsid w:val="008B2D30"/>
    <w:rsid w:val="008D74E7"/>
    <w:rsid w:val="008E1DA4"/>
    <w:rsid w:val="008F3E2E"/>
    <w:rsid w:val="008F7D33"/>
    <w:rsid w:val="00916D7A"/>
    <w:rsid w:val="00926EAF"/>
    <w:rsid w:val="0093143B"/>
    <w:rsid w:val="00931EDF"/>
    <w:rsid w:val="00942842"/>
    <w:rsid w:val="00943670"/>
    <w:rsid w:val="009774E6"/>
    <w:rsid w:val="00991661"/>
    <w:rsid w:val="00992C21"/>
    <w:rsid w:val="00993E90"/>
    <w:rsid w:val="00994490"/>
    <w:rsid w:val="009945F7"/>
    <w:rsid w:val="009A20FF"/>
    <w:rsid w:val="009B7ED4"/>
    <w:rsid w:val="009E5BD0"/>
    <w:rsid w:val="009E5DE1"/>
    <w:rsid w:val="009F1B8A"/>
    <w:rsid w:val="009F69CC"/>
    <w:rsid w:val="00A223B5"/>
    <w:rsid w:val="00A33747"/>
    <w:rsid w:val="00A36655"/>
    <w:rsid w:val="00A44198"/>
    <w:rsid w:val="00A463B1"/>
    <w:rsid w:val="00A5334A"/>
    <w:rsid w:val="00A53EED"/>
    <w:rsid w:val="00A67613"/>
    <w:rsid w:val="00A75EC9"/>
    <w:rsid w:val="00A76023"/>
    <w:rsid w:val="00A76CDC"/>
    <w:rsid w:val="00AA3AA9"/>
    <w:rsid w:val="00AC2F63"/>
    <w:rsid w:val="00AC4483"/>
    <w:rsid w:val="00AD4F63"/>
    <w:rsid w:val="00AE53AB"/>
    <w:rsid w:val="00AF2931"/>
    <w:rsid w:val="00AF7402"/>
    <w:rsid w:val="00B03546"/>
    <w:rsid w:val="00B21BF9"/>
    <w:rsid w:val="00B2409F"/>
    <w:rsid w:val="00B25A5E"/>
    <w:rsid w:val="00B34272"/>
    <w:rsid w:val="00B40A9D"/>
    <w:rsid w:val="00B45A1C"/>
    <w:rsid w:val="00B466AE"/>
    <w:rsid w:val="00B57086"/>
    <w:rsid w:val="00B70754"/>
    <w:rsid w:val="00B7420C"/>
    <w:rsid w:val="00B83408"/>
    <w:rsid w:val="00B8517D"/>
    <w:rsid w:val="00B9525B"/>
    <w:rsid w:val="00BB5BA0"/>
    <w:rsid w:val="00BC1FB9"/>
    <w:rsid w:val="00BC6903"/>
    <w:rsid w:val="00BD4545"/>
    <w:rsid w:val="00BD54A3"/>
    <w:rsid w:val="00BE2CA6"/>
    <w:rsid w:val="00BF0E13"/>
    <w:rsid w:val="00C341F5"/>
    <w:rsid w:val="00C463E9"/>
    <w:rsid w:val="00C57AAC"/>
    <w:rsid w:val="00C640BC"/>
    <w:rsid w:val="00C64BF1"/>
    <w:rsid w:val="00C7114B"/>
    <w:rsid w:val="00C7258D"/>
    <w:rsid w:val="00CA0D26"/>
    <w:rsid w:val="00CA6CE5"/>
    <w:rsid w:val="00CD5634"/>
    <w:rsid w:val="00CE3096"/>
    <w:rsid w:val="00D25771"/>
    <w:rsid w:val="00D325A5"/>
    <w:rsid w:val="00D33366"/>
    <w:rsid w:val="00D406FB"/>
    <w:rsid w:val="00D45C7C"/>
    <w:rsid w:val="00D5059B"/>
    <w:rsid w:val="00D552E0"/>
    <w:rsid w:val="00D65B3F"/>
    <w:rsid w:val="00D82C56"/>
    <w:rsid w:val="00D838E7"/>
    <w:rsid w:val="00D8553A"/>
    <w:rsid w:val="00DD60AC"/>
    <w:rsid w:val="00DF4EA1"/>
    <w:rsid w:val="00E2054C"/>
    <w:rsid w:val="00E20750"/>
    <w:rsid w:val="00E220AA"/>
    <w:rsid w:val="00E2297F"/>
    <w:rsid w:val="00E25DAF"/>
    <w:rsid w:val="00E37C99"/>
    <w:rsid w:val="00E4083B"/>
    <w:rsid w:val="00E43284"/>
    <w:rsid w:val="00E51E1C"/>
    <w:rsid w:val="00E662AA"/>
    <w:rsid w:val="00E737DC"/>
    <w:rsid w:val="00E745C3"/>
    <w:rsid w:val="00EB2B4A"/>
    <w:rsid w:val="00EB323F"/>
    <w:rsid w:val="00EC67D3"/>
    <w:rsid w:val="00EF037C"/>
    <w:rsid w:val="00EF4D1E"/>
    <w:rsid w:val="00F6279D"/>
    <w:rsid w:val="00F90A10"/>
    <w:rsid w:val="00F939A9"/>
    <w:rsid w:val="00F978DB"/>
    <w:rsid w:val="00FA21D7"/>
    <w:rsid w:val="00FA6058"/>
    <w:rsid w:val="00FB79D0"/>
    <w:rsid w:val="00FC3DB6"/>
    <w:rsid w:val="00FC632C"/>
    <w:rsid w:val="00FC71B0"/>
    <w:rsid w:val="00FC7382"/>
    <w:rsid w:val="00FD3B1C"/>
    <w:rsid w:val="00FD42D1"/>
    <w:rsid w:val="00FE2E03"/>
    <w:rsid w:val="00FE5FD7"/>
    <w:rsid w:val="00FE630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A25A1"/>
    <w:pPr>
      <w:spacing w:before="0" w:after="440"/>
      <w:ind w:left="-1134" w:right="-1134"/>
    </w:pPr>
    <w:rPr>
      <w:sz w:val="2"/>
    </w:rPr>
  </w:style>
  <w:style w:type="character" w:customStyle="1" w:styleId="TechnicalBlockChar">
    <w:name w:val="Technical Block Char"/>
    <w:basedOn w:val="DefaultParagraphFont"/>
    <w:rsid w:val="004A25A1"/>
    <w:rPr>
      <w:sz w:val="24"/>
      <w:szCs w:val="24"/>
      <w:lang w:val="en-GB" w:eastAsia="en-US"/>
    </w:rPr>
  </w:style>
  <w:style w:type="character" w:customStyle="1" w:styleId="HeaderCouncilLargeChar">
    <w:name w:val="Header Council Large Char"/>
    <w:basedOn w:val="TechnicalBlockChar"/>
    <w:link w:val="HeaderCouncilLarge"/>
    <w:rsid w:val="004A25A1"/>
    <w:rPr>
      <w:sz w:val="2"/>
      <w:szCs w:val="24"/>
      <w:lang w:val="en-GB" w:eastAsia="en-US"/>
    </w:rPr>
  </w:style>
  <w:style w:type="paragraph" w:customStyle="1" w:styleId="FooterText">
    <w:name w:val="Footer Text"/>
    <w:basedOn w:val="Normal"/>
    <w:rsid w:val="004A25A1"/>
    <w:pPr>
      <w:spacing w:before="0" w:after="0"/>
    </w:pPr>
  </w:style>
  <w:style w:type="paragraph" w:customStyle="1" w:styleId="FooterAddressText">
    <w:name w:val="Footer Address Text"/>
    <w:basedOn w:val="FooterText"/>
    <w:qFormat/>
    <w:rsid w:val="004A25A1"/>
    <w:pPr>
      <w:jc w:val="center"/>
    </w:pPr>
    <w:rPr>
      <w:spacing w:val="10"/>
      <w:sz w:val="16"/>
      <w:szCs w:val="16"/>
    </w:rPr>
  </w:style>
  <w:style w:type="character" w:styleId="Hyperlink">
    <w:name w:val="Hyperlink"/>
    <w:basedOn w:val="DefaultParagraphFont"/>
    <w:uiPriority w:val="99"/>
    <w:unhideWhenUsed/>
    <w:qFormat/>
    <w:rsid w:val="004A25A1"/>
    <w:rPr>
      <w:color w:val="0000FF" w:themeColor="hyperlink"/>
      <w:u w:val="single"/>
    </w:rPr>
  </w:style>
  <w:style w:type="paragraph" w:customStyle="1" w:styleId="HeaderText">
    <w:name w:val="Header Text"/>
    <w:basedOn w:val="Normal"/>
    <w:rsid w:val="004A25A1"/>
    <w:pPr>
      <w:spacing w:before="0" w:after="0"/>
    </w:pPr>
  </w:style>
  <w:style w:type="paragraph" w:styleId="ListParagraph">
    <w:name w:val="List Paragraph"/>
    <w:basedOn w:val="Normal"/>
    <w:uiPriority w:val="34"/>
    <w:qFormat/>
    <w:rsid w:val="006B0A6B"/>
    <w:pPr>
      <w:spacing w:before="0" w:after="0" w:line="360" w:lineRule="auto"/>
      <w:ind w:left="720"/>
      <w:contextualSpacing/>
    </w:pPr>
    <w:rPr>
      <w:rFonts w:eastAsiaTheme="minorHAnsi" w:cstheme="minorBidi"/>
      <w:szCs w:val="22"/>
      <w:lang w:val="en-US"/>
    </w:rPr>
  </w:style>
  <w:style w:type="character" w:customStyle="1" w:styleId="Heading2Char">
    <w:name w:val="Heading 2 Char"/>
    <w:rsid w:val="0093143B"/>
    <w:rPr>
      <w:b/>
      <w:bCs/>
      <w:iCs/>
      <w:sz w:val="24"/>
      <w:szCs w:val="28"/>
      <w:lang w:val="en-GB" w:eastAsia="en-US"/>
    </w:rPr>
  </w:style>
  <w:style w:type="character" w:styleId="FollowedHyperlink">
    <w:name w:val="FollowedHyperlink"/>
    <w:basedOn w:val="DefaultParagraphFont"/>
    <w:uiPriority w:val="99"/>
    <w:semiHidden/>
    <w:unhideWhenUsed/>
    <w:rsid w:val="00BD4545"/>
    <w:rPr>
      <w:color w:val="800080" w:themeColor="followedHyperlink"/>
      <w:u w:val="single"/>
    </w:rPr>
  </w:style>
  <w:style w:type="paragraph" w:styleId="NormalWeb">
    <w:name w:val="Normal (Web)"/>
    <w:basedOn w:val="Normal"/>
    <w:uiPriority w:val="99"/>
    <w:semiHidden/>
    <w:unhideWhenUsed/>
    <w:rsid w:val="006F2E77"/>
    <w:pPr>
      <w:spacing w:before="100" w:beforeAutospacing="1" w:after="300"/>
    </w:pPr>
    <w:rPr>
      <w:lang w:eastAsia="en-GB"/>
    </w:rPr>
  </w:style>
  <w:style w:type="character" w:styleId="Strong">
    <w:name w:val="Strong"/>
    <w:basedOn w:val="DefaultParagraphFont"/>
    <w:uiPriority w:val="22"/>
    <w:qFormat/>
    <w:rsid w:val="006F2E77"/>
    <w:rPr>
      <w:b/>
      <w:bCs/>
    </w:rPr>
  </w:style>
  <w:style w:type="character" w:styleId="CommentReference">
    <w:name w:val="annotation reference"/>
    <w:basedOn w:val="DefaultParagraphFont"/>
    <w:uiPriority w:val="99"/>
    <w:semiHidden/>
    <w:unhideWhenUsed/>
    <w:rsid w:val="00386422"/>
    <w:rPr>
      <w:sz w:val="16"/>
      <w:szCs w:val="16"/>
    </w:rPr>
  </w:style>
  <w:style w:type="paragraph" w:styleId="CommentText">
    <w:name w:val="annotation text"/>
    <w:basedOn w:val="Normal"/>
    <w:link w:val="CommentTextChar"/>
    <w:uiPriority w:val="99"/>
    <w:semiHidden/>
    <w:unhideWhenUsed/>
    <w:rsid w:val="00386422"/>
    <w:rPr>
      <w:sz w:val="20"/>
      <w:szCs w:val="20"/>
    </w:rPr>
  </w:style>
  <w:style w:type="character" w:customStyle="1" w:styleId="CommentTextChar">
    <w:name w:val="Comment Text Char"/>
    <w:basedOn w:val="DefaultParagraphFont"/>
    <w:link w:val="CommentText"/>
    <w:uiPriority w:val="99"/>
    <w:semiHidden/>
    <w:rsid w:val="00386422"/>
    <w:rPr>
      <w:lang w:val="en-GB" w:eastAsia="en-US"/>
    </w:rPr>
  </w:style>
  <w:style w:type="paragraph" w:styleId="CommentSubject">
    <w:name w:val="annotation subject"/>
    <w:basedOn w:val="CommentText"/>
    <w:next w:val="CommentText"/>
    <w:link w:val="CommentSubjectChar"/>
    <w:uiPriority w:val="99"/>
    <w:semiHidden/>
    <w:unhideWhenUsed/>
    <w:rsid w:val="00386422"/>
    <w:rPr>
      <w:b/>
      <w:bCs/>
    </w:rPr>
  </w:style>
  <w:style w:type="character" w:customStyle="1" w:styleId="CommentSubjectChar">
    <w:name w:val="Comment Subject Char"/>
    <w:basedOn w:val="CommentTextChar"/>
    <w:link w:val="CommentSubject"/>
    <w:uiPriority w:val="99"/>
    <w:semiHidden/>
    <w:rsid w:val="00386422"/>
    <w:rPr>
      <w:b/>
      <w:bCs/>
      <w:lang w:val="en-GB" w:eastAsia="en-US"/>
    </w:rPr>
  </w:style>
  <w:style w:type="paragraph" w:styleId="BalloonText">
    <w:name w:val="Balloon Text"/>
    <w:basedOn w:val="Normal"/>
    <w:link w:val="BalloonTextChar"/>
    <w:uiPriority w:val="99"/>
    <w:semiHidden/>
    <w:unhideWhenUsed/>
    <w:rsid w:val="006A62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66"/>
    <w:rPr>
      <w:rFonts w:ascii="Tahoma" w:hAnsi="Tahoma" w:cs="Tahoma"/>
      <w:sz w:val="16"/>
      <w:szCs w:val="16"/>
      <w:lang w:val="en-GB" w:eastAsia="en-US"/>
    </w:rPr>
  </w:style>
  <w:style w:type="paragraph" w:customStyle="1" w:styleId="PointManual">
    <w:name w:val="Point Manual"/>
    <w:basedOn w:val="Normal"/>
    <w:rsid w:val="002552BC"/>
    <w:pPr>
      <w:spacing w:before="200" w:after="0"/>
      <w:ind w:left="567" w:hanging="567"/>
    </w:pPr>
    <w:rPr>
      <w:rFonts w:eastAsia="Calibri"/>
      <w:lang w:eastAsia="en-GB"/>
    </w:rPr>
  </w:style>
  <w:style w:type="paragraph" w:customStyle="1" w:styleId="CarcterCarcterCharCarcterCarcterCharCarcterCarcterCharCharCarcterCarcter">
    <w:name w:val="Carácter Carácter Char Carácter Carácter Char Carácter Carácter Char Char Carácter Carácter"/>
    <w:basedOn w:val="Normal"/>
    <w:rsid w:val="00714A42"/>
    <w:pPr>
      <w:spacing w:before="0" w:after="0"/>
    </w:pPr>
    <w:rPr>
      <w:lang w:val="pl-PL" w:eastAsia="pl-PL"/>
    </w:rPr>
  </w:style>
  <w:style w:type="paragraph" w:customStyle="1" w:styleId="Default">
    <w:name w:val="Default"/>
    <w:rsid w:val="00714A42"/>
    <w:pPr>
      <w:autoSpaceDE w:val="0"/>
      <w:autoSpaceDN w:val="0"/>
      <w:adjustRightInd w:val="0"/>
    </w:pPr>
    <w:rPr>
      <w:color w:val="000000"/>
      <w:sz w:val="24"/>
      <w:szCs w:val="24"/>
      <w:lang w:val="en-GB" w:eastAsia="en-GB"/>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E4083B"/>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A25A1"/>
    <w:pPr>
      <w:spacing w:before="0" w:after="440"/>
      <w:ind w:left="-1134" w:right="-1134"/>
    </w:pPr>
    <w:rPr>
      <w:sz w:val="2"/>
    </w:rPr>
  </w:style>
  <w:style w:type="character" w:customStyle="1" w:styleId="TechnicalBlockChar">
    <w:name w:val="Technical Block Char"/>
    <w:basedOn w:val="DefaultParagraphFont"/>
    <w:rsid w:val="004A25A1"/>
    <w:rPr>
      <w:sz w:val="24"/>
      <w:szCs w:val="24"/>
      <w:lang w:val="en-GB" w:eastAsia="en-US"/>
    </w:rPr>
  </w:style>
  <w:style w:type="character" w:customStyle="1" w:styleId="HeaderCouncilLargeChar">
    <w:name w:val="Header Council Large Char"/>
    <w:basedOn w:val="TechnicalBlockChar"/>
    <w:link w:val="HeaderCouncilLarge"/>
    <w:rsid w:val="004A25A1"/>
    <w:rPr>
      <w:sz w:val="2"/>
      <w:szCs w:val="24"/>
      <w:lang w:val="en-GB" w:eastAsia="en-US"/>
    </w:rPr>
  </w:style>
  <w:style w:type="paragraph" w:customStyle="1" w:styleId="FooterText">
    <w:name w:val="Footer Text"/>
    <w:basedOn w:val="Normal"/>
    <w:rsid w:val="004A25A1"/>
    <w:pPr>
      <w:spacing w:before="0" w:after="0"/>
    </w:pPr>
  </w:style>
  <w:style w:type="paragraph" w:customStyle="1" w:styleId="FooterAddressText">
    <w:name w:val="Footer Address Text"/>
    <w:basedOn w:val="FooterText"/>
    <w:qFormat/>
    <w:rsid w:val="004A25A1"/>
    <w:pPr>
      <w:jc w:val="center"/>
    </w:pPr>
    <w:rPr>
      <w:spacing w:val="10"/>
      <w:sz w:val="16"/>
      <w:szCs w:val="16"/>
    </w:rPr>
  </w:style>
  <w:style w:type="character" w:styleId="Hyperlink">
    <w:name w:val="Hyperlink"/>
    <w:basedOn w:val="DefaultParagraphFont"/>
    <w:uiPriority w:val="99"/>
    <w:unhideWhenUsed/>
    <w:qFormat/>
    <w:rsid w:val="004A25A1"/>
    <w:rPr>
      <w:color w:val="0000FF" w:themeColor="hyperlink"/>
      <w:u w:val="single"/>
    </w:rPr>
  </w:style>
  <w:style w:type="paragraph" w:customStyle="1" w:styleId="HeaderText">
    <w:name w:val="Header Text"/>
    <w:basedOn w:val="Normal"/>
    <w:rsid w:val="004A25A1"/>
    <w:pPr>
      <w:spacing w:before="0" w:after="0"/>
    </w:pPr>
  </w:style>
  <w:style w:type="paragraph" w:styleId="ListParagraph">
    <w:name w:val="List Paragraph"/>
    <w:basedOn w:val="Normal"/>
    <w:uiPriority w:val="34"/>
    <w:qFormat/>
    <w:rsid w:val="006B0A6B"/>
    <w:pPr>
      <w:spacing w:before="0" w:after="0" w:line="360" w:lineRule="auto"/>
      <w:ind w:left="720"/>
      <w:contextualSpacing/>
    </w:pPr>
    <w:rPr>
      <w:rFonts w:eastAsiaTheme="minorHAnsi" w:cstheme="minorBidi"/>
      <w:szCs w:val="22"/>
      <w:lang w:val="en-US"/>
    </w:rPr>
  </w:style>
  <w:style w:type="character" w:customStyle="1" w:styleId="Heading2Char">
    <w:name w:val="Heading 2 Char"/>
    <w:rsid w:val="0093143B"/>
    <w:rPr>
      <w:b/>
      <w:bCs/>
      <w:iCs/>
      <w:sz w:val="24"/>
      <w:szCs w:val="28"/>
      <w:lang w:val="en-GB" w:eastAsia="en-US"/>
    </w:rPr>
  </w:style>
  <w:style w:type="character" w:styleId="FollowedHyperlink">
    <w:name w:val="FollowedHyperlink"/>
    <w:basedOn w:val="DefaultParagraphFont"/>
    <w:uiPriority w:val="99"/>
    <w:semiHidden/>
    <w:unhideWhenUsed/>
    <w:rsid w:val="00BD4545"/>
    <w:rPr>
      <w:color w:val="800080" w:themeColor="followedHyperlink"/>
      <w:u w:val="single"/>
    </w:rPr>
  </w:style>
  <w:style w:type="paragraph" w:styleId="NormalWeb">
    <w:name w:val="Normal (Web)"/>
    <w:basedOn w:val="Normal"/>
    <w:uiPriority w:val="99"/>
    <w:semiHidden/>
    <w:unhideWhenUsed/>
    <w:rsid w:val="006F2E77"/>
    <w:pPr>
      <w:spacing w:before="100" w:beforeAutospacing="1" w:after="300"/>
    </w:pPr>
    <w:rPr>
      <w:lang w:eastAsia="en-GB"/>
    </w:rPr>
  </w:style>
  <w:style w:type="character" w:styleId="Strong">
    <w:name w:val="Strong"/>
    <w:basedOn w:val="DefaultParagraphFont"/>
    <w:uiPriority w:val="22"/>
    <w:qFormat/>
    <w:rsid w:val="006F2E77"/>
    <w:rPr>
      <w:b/>
      <w:bCs/>
    </w:rPr>
  </w:style>
  <w:style w:type="character" w:styleId="CommentReference">
    <w:name w:val="annotation reference"/>
    <w:basedOn w:val="DefaultParagraphFont"/>
    <w:uiPriority w:val="99"/>
    <w:semiHidden/>
    <w:unhideWhenUsed/>
    <w:rsid w:val="00386422"/>
    <w:rPr>
      <w:sz w:val="16"/>
      <w:szCs w:val="16"/>
    </w:rPr>
  </w:style>
  <w:style w:type="paragraph" w:styleId="CommentText">
    <w:name w:val="annotation text"/>
    <w:basedOn w:val="Normal"/>
    <w:link w:val="CommentTextChar"/>
    <w:uiPriority w:val="99"/>
    <w:semiHidden/>
    <w:unhideWhenUsed/>
    <w:rsid w:val="00386422"/>
    <w:rPr>
      <w:sz w:val="20"/>
      <w:szCs w:val="20"/>
    </w:rPr>
  </w:style>
  <w:style w:type="character" w:customStyle="1" w:styleId="CommentTextChar">
    <w:name w:val="Comment Text Char"/>
    <w:basedOn w:val="DefaultParagraphFont"/>
    <w:link w:val="CommentText"/>
    <w:uiPriority w:val="99"/>
    <w:semiHidden/>
    <w:rsid w:val="00386422"/>
    <w:rPr>
      <w:lang w:val="en-GB" w:eastAsia="en-US"/>
    </w:rPr>
  </w:style>
  <w:style w:type="paragraph" w:styleId="CommentSubject">
    <w:name w:val="annotation subject"/>
    <w:basedOn w:val="CommentText"/>
    <w:next w:val="CommentText"/>
    <w:link w:val="CommentSubjectChar"/>
    <w:uiPriority w:val="99"/>
    <w:semiHidden/>
    <w:unhideWhenUsed/>
    <w:rsid w:val="00386422"/>
    <w:rPr>
      <w:b/>
      <w:bCs/>
    </w:rPr>
  </w:style>
  <w:style w:type="character" w:customStyle="1" w:styleId="CommentSubjectChar">
    <w:name w:val="Comment Subject Char"/>
    <w:basedOn w:val="CommentTextChar"/>
    <w:link w:val="CommentSubject"/>
    <w:uiPriority w:val="99"/>
    <w:semiHidden/>
    <w:rsid w:val="00386422"/>
    <w:rPr>
      <w:b/>
      <w:bCs/>
      <w:lang w:val="en-GB" w:eastAsia="en-US"/>
    </w:rPr>
  </w:style>
  <w:style w:type="paragraph" w:styleId="BalloonText">
    <w:name w:val="Balloon Text"/>
    <w:basedOn w:val="Normal"/>
    <w:link w:val="BalloonTextChar"/>
    <w:uiPriority w:val="99"/>
    <w:semiHidden/>
    <w:unhideWhenUsed/>
    <w:rsid w:val="006A62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66"/>
    <w:rPr>
      <w:rFonts w:ascii="Tahoma" w:hAnsi="Tahoma" w:cs="Tahoma"/>
      <w:sz w:val="16"/>
      <w:szCs w:val="16"/>
      <w:lang w:val="en-GB" w:eastAsia="en-US"/>
    </w:rPr>
  </w:style>
  <w:style w:type="paragraph" w:customStyle="1" w:styleId="PointManual">
    <w:name w:val="Point Manual"/>
    <w:basedOn w:val="Normal"/>
    <w:rsid w:val="002552BC"/>
    <w:pPr>
      <w:spacing w:before="200" w:after="0"/>
      <w:ind w:left="567" w:hanging="567"/>
    </w:pPr>
    <w:rPr>
      <w:rFonts w:eastAsia="Calibri"/>
      <w:lang w:eastAsia="en-GB"/>
    </w:rPr>
  </w:style>
  <w:style w:type="paragraph" w:customStyle="1" w:styleId="CarcterCarcterCharCarcterCarcterCharCarcterCarcterCharCharCarcterCarcter">
    <w:name w:val="Carácter Carácter Char Carácter Carácter Char Carácter Carácter Char Char Carácter Carácter"/>
    <w:basedOn w:val="Normal"/>
    <w:rsid w:val="00714A42"/>
    <w:pPr>
      <w:spacing w:before="0" w:after="0"/>
    </w:pPr>
    <w:rPr>
      <w:lang w:val="pl-PL" w:eastAsia="pl-PL"/>
    </w:rPr>
  </w:style>
  <w:style w:type="paragraph" w:customStyle="1" w:styleId="Default">
    <w:name w:val="Default"/>
    <w:rsid w:val="00714A42"/>
    <w:pPr>
      <w:autoSpaceDE w:val="0"/>
      <w:autoSpaceDN w:val="0"/>
      <w:adjustRightInd w:val="0"/>
    </w:pPr>
    <w:rPr>
      <w:color w:val="000000"/>
      <w:sz w:val="24"/>
      <w:szCs w:val="24"/>
      <w:lang w:val="en-GB" w:eastAsia="en-GB"/>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E4083B"/>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4740">
      <w:bodyDiv w:val="1"/>
      <w:marLeft w:val="0"/>
      <w:marRight w:val="0"/>
      <w:marTop w:val="0"/>
      <w:marBottom w:val="0"/>
      <w:divBdr>
        <w:top w:val="none" w:sz="0" w:space="0" w:color="auto"/>
        <w:left w:val="none" w:sz="0" w:space="0" w:color="auto"/>
        <w:bottom w:val="none" w:sz="0" w:space="0" w:color="auto"/>
        <w:right w:val="none" w:sz="0" w:space="0" w:color="auto"/>
      </w:divBdr>
      <w:divsChild>
        <w:div w:id="1208377809">
          <w:marLeft w:val="0"/>
          <w:marRight w:val="0"/>
          <w:marTop w:val="0"/>
          <w:marBottom w:val="0"/>
          <w:divBdr>
            <w:top w:val="none" w:sz="0" w:space="0" w:color="auto"/>
            <w:left w:val="none" w:sz="0" w:space="0" w:color="auto"/>
            <w:bottom w:val="none" w:sz="0" w:space="0" w:color="auto"/>
            <w:right w:val="none" w:sz="0" w:space="0" w:color="auto"/>
          </w:divBdr>
          <w:divsChild>
            <w:div w:id="1672177243">
              <w:marLeft w:val="0"/>
              <w:marRight w:val="0"/>
              <w:marTop w:val="0"/>
              <w:marBottom w:val="0"/>
              <w:divBdr>
                <w:top w:val="none" w:sz="0" w:space="0" w:color="auto"/>
                <w:left w:val="none" w:sz="0" w:space="0" w:color="auto"/>
                <w:bottom w:val="none" w:sz="0" w:space="0" w:color="auto"/>
                <w:right w:val="none" w:sz="0" w:space="0" w:color="auto"/>
              </w:divBdr>
              <w:divsChild>
                <w:div w:id="964043120">
                  <w:marLeft w:val="0"/>
                  <w:marRight w:val="0"/>
                  <w:marTop w:val="0"/>
                  <w:marBottom w:val="0"/>
                  <w:divBdr>
                    <w:top w:val="none" w:sz="0" w:space="0" w:color="auto"/>
                    <w:left w:val="none" w:sz="0" w:space="0" w:color="auto"/>
                    <w:bottom w:val="none" w:sz="0" w:space="0" w:color="auto"/>
                    <w:right w:val="none" w:sz="0" w:space="0" w:color="auto"/>
                  </w:divBdr>
                  <w:divsChild>
                    <w:div w:id="1192844332">
                      <w:marLeft w:val="0"/>
                      <w:marRight w:val="0"/>
                      <w:marTop w:val="0"/>
                      <w:marBottom w:val="0"/>
                      <w:divBdr>
                        <w:top w:val="none" w:sz="0" w:space="0" w:color="auto"/>
                        <w:left w:val="none" w:sz="0" w:space="0" w:color="auto"/>
                        <w:bottom w:val="none" w:sz="0" w:space="0" w:color="auto"/>
                        <w:right w:val="none" w:sz="0" w:space="0" w:color="auto"/>
                      </w:divBdr>
                      <w:divsChild>
                        <w:div w:id="11352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84013">
      <w:bodyDiv w:val="1"/>
      <w:marLeft w:val="0"/>
      <w:marRight w:val="0"/>
      <w:marTop w:val="0"/>
      <w:marBottom w:val="0"/>
      <w:divBdr>
        <w:top w:val="none" w:sz="0" w:space="0" w:color="auto"/>
        <w:left w:val="none" w:sz="0" w:space="0" w:color="auto"/>
        <w:bottom w:val="none" w:sz="0" w:space="0" w:color="auto"/>
        <w:right w:val="none" w:sz="0" w:space="0" w:color="auto"/>
      </w:divBdr>
    </w:div>
    <w:div w:id="1156146654">
      <w:bodyDiv w:val="1"/>
      <w:marLeft w:val="0"/>
      <w:marRight w:val="0"/>
      <w:marTop w:val="0"/>
      <w:marBottom w:val="0"/>
      <w:divBdr>
        <w:top w:val="none" w:sz="0" w:space="0" w:color="auto"/>
        <w:left w:val="none" w:sz="0" w:space="0" w:color="auto"/>
        <w:bottom w:val="none" w:sz="0" w:space="0" w:color="auto"/>
        <w:right w:val="none" w:sz="0" w:space="0" w:color="auto"/>
      </w:divBdr>
    </w:div>
    <w:div w:id="15942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data.consilium.europa.eu/doc/document/ST-6590-2013-INIT/en/pdf" TargetMode="External"/><Relationship Id="rId26" Type="http://schemas.openxmlformats.org/officeDocument/2006/relationships/hyperlink" Target="http://data.consilium.europa.eu/doc/document/ST-10783-2015-INIT/en/pdf" TargetMode="External"/><Relationship Id="rId39" Type="http://schemas.openxmlformats.org/officeDocument/2006/relationships/hyperlink" Target="http://www.consilium.europa.eu/en/press/press-releases/2015/07/08-roaming-charges/" TargetMode="External"/><Relationship Id="rId21" Type="http://schemas.openxmlformats.org/officeDocument/2006/relationships/hyperlink" Target="http://data.consilium.europa.eu/doc/document/ST-12259-2015-INIT/en/pdf" TargetMode="External"/><Relationship Id="rId34" Type="http://schemas.openxmlformats.org/officeDocument/2006/relationships/hyperlink" Target="http://data.consilium.europa.eu/doc/document/ST-10735-2015-INIT/en/pdf" TargetMode="External"/><Relationship Id="rId42" Type="http://schemas.openxmlformats.org/officeDocument/2006/relationships/hyperlink" Target="http://www.consilium.europa.eu/en/press/press-releases/2015/10/01-seal-products/" TargetMode="External"/><Relationship Id="rId47" Type="http://schemas.openxmlformats.org/officeDocument/2006/relationships/hyperlink" Target="http://www.consilium.europa.eu/register/en/content/out/?typ=SET&amp;i=ADV&amp;RESULTSET=1&amp;DOC_ID=11023%2F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50" Type="http://schemas.openxmlformats.org/officeDocument/2006/relationships/hyperlink" Target="http://data.consilium.europa.eu/doc/document/ST-5662-2015-INIT/en/pdf" TargetMode="External"/><Relationship Id="rId55" Type="http://schemas.openxmlformats.org/officeDocument/2006/relationships/hyperlink" Target="https://www.energy-community.org/portal/page/portal/ENC_HOME/DOCS/3808265/EnC_fact_sheet.pdf"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u2015lu.eu/en/actualites/articles-actualite/2015/07/info-compet-schneider/" TargetMode="External"/><Relationship Id="rId20" Type="http://schemas.openxmlformats.org/officeDocument/2006/relationships/hyperlink" Target="http://www.epo.org/news-issues/news/2015/20151001.html" TargetMode="External"/><Relationship Id="rId29" Type="http://schemas.openxmlformats.org/officeDocument/2006/relationships/hyperlink" Target="http://www.consilium.europa.eu/en/press/press-releases/2015/10/01-wto-trade-facilitation/" TargetMode="External"/><Relationship Id="rId41" Type="http://schemas.openxmlformats.org/officeDocument/2006/relationships/hyperlink" Target="http://www.consilium.europa.eu/register/en/content/out/?&amp;typ=ENTRY&amp;i=ADV&amp;DOC_ID=ST-11505-2015-ADD-1" TargetMode="External"/><Relationship Id="rId54" Type="http://schemas.openxmlformats.org/officeDocument/2006/relationships/hyperlink" Target="http://data.consilium.europa.eu/doc/document/ST-5660-2015-INIT/en/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11065-2015-INIT/en/pdf" TargetMode="External"/><Relationship Id="rId32" Type="http://schemas.openxmlformats.org/officeDocument/2006/relationships/hyperlink" Target="http://data.consilium.europa.eu/doc/document/ST-10874-2015-INIT/en/pdf" TargetMode="External"/><Relationship Id="rId37" Type="http://schemas.openxmlformats.org/officeDocument/2006/relationships/hyperlink" Target="http://data.consilium.europa.eu/doc/document/ST-12279-2015-ADD-1-REV-1/en/pdf" TargetMode="External"/><Relationship Id="rId40" Type="http://schemas.openxmlformats.org/officeDocument/2006/relationships/hyperlink" Target="http://data.consilium.europa.eu/doc/document/PE-44-2015-INIT/en/pdf" TargetMode="External"/><Relationship Id="rId45" Type="http://schemas.openxmlformats.org/officeDocument/2006/relationships/hyperlink" Target="http://www.consilium.europa.eu/register/en/content/out/?typ=SET&amp;i=ADV&amp;RESULTSET=1&amp;DOC_ID=10888%2F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53" Type="http://schemas.openxmlformats.org/officeDocument/2006/relationships/hyperlink" Target="http://ec.europa.eu/research/iscp/index.cfm?pg=india" TargetMode="External"/><Relationship Id="rId58" Type="http://schemas.openxmlformats.org/officeDocument/2006/relationships/hyperlink" Target="http://data.consilium.europa.eu/doc/document/ST-11528-2015-INIT/en/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sa.int/ESA" TargetMode="External"/><Relationship Id="rId28" Type="http://schemas.openxmlformats.org/officeDocument/2006/relationships/hyperlink" Target="http://www.consilium.europa.eu/en/press/press-releases/2015/10/01-korea-free-trade/" TargetMode="External"/><Relationship Id="rId36" Type="http://schemas.openxmlformats.org/officeDocument/2006/relationships/hyperlink" Target="http://data.consilium.europa.eu/doc/document/ST-10788-2015-ADD-1/en/pdf" TargetMode="External"/><Relationship Id="rId49" Type="http://schemas.openxmlformats.org/officeDocument/2006/relationships/hyperlink" Target="http://ec.europa.eu/programmes/horizon2020/" TargetMode="External"/><Relationship Id="rId57" Type="http://schemas.openxmlformats.org/officeDocument/2006/relationships/hyperlink" Target="http://www.consilium.europa.eu/en/press/press-releases/2015/09/18-eesc-appointment-new-members/" TargetMode="External"/><Relationship Id="rId61"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tvnewsroom.consilium.europa.eu/event/competitiveness-council-october-2015/signing-ceremony90" TargetMode="External"/><Relationship Id="rId31" Type="http://schemas.openxmlformats.org/officeDocument/2006/relationships/hyperlink" Target="http://www.efta.int/" TargetMode="External"/><Relationship Id="rId44" Type="http://schemas.openxmlformats.org/officeDocument/2006/relationships/hyperlink" Target="http://www.consilium.europa.eu/register/en/content/out/?typ=SET&amp;i=ADV&amp;RESULTSET=1&amp;DOC_ID=11765%2F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52" Type="http://schemas.openxmlformats.org/officeDocument/2006/relationships/hyperlink" Target="http://data.consilium.europa.eu/doc/document/ST-5872-2015-INIT/en/pdf" TargetMode="External"/><Relationship Id="rId60"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legal-content/EN/TXT/PDF/?uri=CELEX:32013L0034&amp;from=EN" TargetMode="External"/><Relationship Id="rId27" Type="http://schemas.openxmlformats.org/officeDocument/2006/relationships/hyperlink" Target="http://data.consilium.europa.eu/doc/document/ST-10841-2015-INIT/en/pdf" TargetMode="External"/><Relationship Id="rId30" Type="http://schemas.openxmlformats.org/officeDocument/2006/relationships/hyperlink" Target="http://data.consilium.europa.eu/doc/document/ST-11882-2015-INIT/en/pdf" TargetMode="External"/><Relationship Id="rId35" Type="http://schemas.openxmlformats.org/officeDocument/2006/relationships/hyperlink" Target="http://data.consilium.europa.eu/doc/document/ST-10788-2015-INIT/en/pdf" TargetMode="External"/><Relationship Id="rId43" Type="http://schemas.openxmlformats.org/officeDocument/2006/relationships/hyperlink" Target="http://www.consilium.europa.eu/register/en/content/out/?typ=SET&amp;i=ADV&amp;RESULTSET=1&amp;DOC_ID=10889%2F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48" Type="http://schemas.openxmlformats.org/officeDocument/2006/relationships/hyperlink" Target="http://data.consilium.europa.eu/doc/document/ST-15369-2014-INIT/en/pdf" TargetMode="External"/><Relationship Id="rId56" Type="http://schemas.openxmlformats.org/officeDocument/2006/relationships/hyperlink" Target="http://data.consilium.europa.eu/doc/document/ST-10785-2015-INIT/en/pdf" TargetMode="External"/><Relationship Id="rId8" Type="http://schemas.openxmlformats.org/officeDocument/2006/relationships/endnotes" Target="endnotes.xml"/><Relationship Id="rId51" Type="http://schemas.openxmlformats.org/officeDocument/2006/relationships/hyperlink" Target="https://www.iter.or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data.consilium.europa.eu/doc/document/ST-11994-2015-INIT/en/pdf" TargetMode="External"/><Relationship Id="rId25" Type="http://schemas.openxmlformats.org/officeDocument/2006/relationships/hyperlink" Target="http://www.consilium.europa.eu/en/press/press-releases/2015/10/01-burundi-sanctions/" TargetMode="External"/><Relationship Id="rId33" Type="http://schemas.openxmlformats.org/officeDocument/2006/relationships/hyperlink" Target="http://eur-lex.europa.eu/legal-content/EN/TXT/PDF/?uri=CELEX:32008R0295&amp;from=EN" TargetMode="External"/><Relationship Id="rId38" Type="http://schemas.openxmlformats.org/officeDocument/2006/relationships/hyperlink" Target="http://www.consilium.europa.eu/en/press/press-releases/2015/10/01-roaming-charges/" TargetMode="External"/><Relationship Id="rId46" Type="http://schemas.openxmlformats.org/officeDocument/2006/relationships/hyperlink" Target="http://www.consilium.europa.eu/register/en/content/out/?typ=SET&amp;i=ADV&amp;RESULTSET=1&amp;DOC_ID=10884%2F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59"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79E5-DFBB-4B11-9330-680F12D4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11</TotalTime>
  <Pages>18</Pages>
  <Words>3468</Words>
  <Characters>27367</Characters>
  <Application>Microsoft Office Word</Application>
  <DocSecurity>0</DocSecurity>
  <Lines>526</Lines>
  <Paragraphs>317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KONTOGIANNI Elpida</cp:lastModifiedBy>
  <cp:revision>11</cp:revision>
  <cp:lastPrinted>2015-10-14T12:12:00Z</cp:lastPrinted>
  <dcterms:created xsi:type="dcterms:W3CDTF">2015-10-14T10:30:00Z</dcterms:created>
  <dcterms:modified xsi:type="dcterms:W3CDTF">2015-10-14T12:14:00Z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