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E2" w:rsidRPr="003A72A5" w:rsidRDefault="002221E9" w:rsidP="003A72A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0a47fc-1168-4b46-9cd0-8b549f96361d_1" style="width:568.5pt;height:477pt">
            <v:imagedata r:id="rId9" o:title=""/>
          </v:shape>
        </w:pict>
      </w:r>
      <w:bookmarkEnd w:id="0"/>
      <w:r w:rsidR="003A72A5">
        <w:fldChar w:fldCharType="begin"/>
      </w:r>
      <w:r w:rsidR="003A72A5">
        <w:instrText xml:space="preserve"> IF "_TF_" = "_TF_" "" "</w:instrText>
      </w:r>
      <w:r w:rsidR="003A72A5">
        <w:rPr>
          <w:rStyle w:val="FootnoteReference"/>
        </w:rPr>
        <w:footnoteReference w:id="1"/>
      </w:r>
      <w:r w:rsidR="003A72A5">
        <w:instrText xml:space="preserve">" \* MERGEFORMAT </w:instrText>
      </w:r>
      <w:r w:rsidR="003A72A5">
        <w:fldChar w:fldCharType="end"/>
      </w:r>
    </w:p>
    <w:p w:rsidR="00093828" w:rsidRDefault="00A74DE2" w:rsidP="00C67AD9">
      <w:pPr>
        <w:pStyle w:val="EntText"/>
        <w:spacing w:before="480"/>
      </w:pPr>
      <w:r w:rsidRPr="00DF511E">
        <w:t>Delegat</w:t>
      </w:r>
      <w:r>
        <w:t>ions will find attached the above menti</w:t>
      </w:r>
      <w:bookmarkStart w:id="1" w:name="_GoBack"/>
      <w:bookmarkEnd w:id="1"/>
      <w:r>
        <w:t xml:space="preserve">oned </w:t>
      </w:r>
      <w:r w:rsidR="00C67AD9">
        <w:t>o</w:t>
      </w:r>
      <w:r>
        <w:t>pinion</w:t>
      </w:r>
      <w:r w:rsidR="00FE7039">
        <w:t xml:space="preserve"> of the Polish Senate.</w:t>
      </w:r>
    </w:p>
    <w:p w:rsidR="00A74DE2" w:rsidRDefault="00A74DE2" w:rsidP="00A74DE2">
      <w:pPr>
        <w:pStyle w:val="Lignefinal"/>
      </w:pPr>
    </w:p>
    <w:p w:rsidR="00A74DE2" w:rsidRDefault="00A74DE2" w:rsidP="00AC6F99">
      <w:pPr>
        <w:pStyle w:val="EntText"/>
        <w:spacing w:before="480"/>
      </w:pPr>
    </w:p>
    <w:p w:rsidR="00093828" w:rsidRDefault="00093828" w:rsidP="00AC6F99">
      <w:pPr>
        <w:pStyle w:val="EntText"/>
        <w:spacing w:before="480"/>
        <w:sectPr w:rsidR="00093828" w:rsidSect="003A72A5">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624" w:right="1134" w:bottom="1134" w:left="1134" w:header="567" w:footer="567" w:gutter="0"/>
          <w:pgNumType w:start="0"/>
          <w:cols w:space="720"/>
          <w:titlePg/>
          <w:docGrid w:linePitch="326"/>
        </w:sectPr>
      </w:pPr>
    </w:p>
    <w:p w:rsidR="001C248D" w:rsidRDefault="001C248D" w:rsidP="001C248D">
      <w:pPr>
        <w:jc w:val="right"/>
        <w:rPr>
          <w:b/>
          <w:bCs/>
          <w:u w:val="single"/>
        </w:rPr>
      </w:pPr>
      <w:r w:rsidRPr="001C248D">
        <w:rPr>
          <w:b/>
          <w:bCs/>
          <w:u w:val="single"/>
        </w:rPr>
        <w:lastRenderedPageBreak/>
        <w:t>ANNEX</w:t>
      </w:r>
    </w:p>
    <w:p w:rsidR="001C248D" w:rsidRDefault="002221E9">
      <w:pPr>
        <w:pStyle w:val="d-orzel"/>
        <w:rPr>
          <w:sz w:val="26"/>
        </w:rPr>
      </w:pPr>
      <w:r>
        <w:rPr>
          <w:noProof/>
          <w:lang w:val="en-GB" w:eastAsia="en-GB"/>
        </w:rPr>
        <w:drawing>
          <wp:inline distT="0" distB="0" distL="0" distR="0" wp14:anchorId="3E588D79" wp14:editId="663837CB">
            <wp:extent cx="5943600" cy="800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009890"/>
                    </a:xfrm>
                    <a:prstGeom prst="rect">
                      <a:avLst/>
                    </a:prstGeom>
                  </pic:spPr>
                </pic:pic>
              </a:graphicData>
            </a:graphic>
          </wp:inline>
        </w:drawing>
      </w:r>
      <w:r w:rsidR="001C248D">
        <w:br w:type="page"/>
      </w:r>
      <w:r>
        <w:lastRenderedPageBreak/>
        <w:pict>
          <v:shape id="_x0000_i1026" type="#_x0000_t75" style="width:48pt;height:53.25pt" fillcolor="window">
            <v:imagedata r:id="rId17" o:title=""/>
          </v:shape>
        </w:pict>
      </w:r>
    </w:p>
    <w:p w:rsidR="001C248D" w:rsidRDefault="001C248D">
      <w:pPr>
        <w:pStyle w:val="d-orzel"/>
        <w:spacing w:before="240" w:after="60"/>
        <w:ind w:right="-1"/>
      </w:pPr>
      <w:r>
        <w:t>SENAT</w:t>
      </w:r>
    </w:p>
    <w:p w:rsidR="001C248D" w:rsidRDefault="001C248D">
      <w:pPr>
        <w:pStyle w:val="d-orzel"/>
        <w:spacing w:after="60"/>
      </w:pPr>
      <w:r>
        <w:t>RZECZYPOSPOLITEJ POLSKIEJ</w:t>
      </w:r>
    </w:p>
    <w:p w:rsidR="001C248D" w:rsidRDefault="001C248D">
      <w:pPr>
        <w:pStyle w:val="d-orzel"/>
        <w:spacing w:after="480"/>
        <w:rPr>
          <w:sz w:val="22"/>
        </w:rPr>
      </w:pPr>
      <w:r>
        <w:rPr>
          <w:sz w:val="22"/>
        </w:rPr>
        <w:t>VIII  KADENCJA</w:t>
      </w:r>
    </w:p>
    <w:p w:rsidR="001C248D" w:rsidRDefault="001C248D">
      <w:pPr>
        <w:pStyle w:val="d-linia1"/>
        <w:rPr>
          <w:sz w:val="16"/>
        </w:rPr>
      </w:pPr>
    </w:p>
    <w:p w:rsidR="001C248D" w:rsidRDefault="001C248D">
      <w:pPr>
        <w:pStyle w:val="d-linia2"/>
        <w:rPr>
          <w:b/>
        </w:rPr>
      </w:pPr>
      <w:r>
        <w:t xml:space="preserve">Warszawa, dnia </w:t>
      </w:r>
      <w:bookmarkStart w:id="3" w:name="data_druku"/>
      <w:bookmarkEnd w:id="3"/>
      <w:r>
        <w:t>29 września 2015 r.</w:t>
      </w:r>
      <w:r>
        <w:tab/>
      </w:r>
      <w:r>
        <w:rPr>
          <w:b/>
        </w:rPr>
        <w:t xml:space="preserve">Druk nr </w:t>
      </w:r>
      <w:bookmarkStart w:id="4" w:name="nrdruku"/>
      <w:bookmarkEnd w:id="4"/>
      <w:r>
        <w:rPr>
          <w:b/>
        </w:rPr>
        <w:t>E 53</w:t>
      </w:r>
    </w:p>
    <w:p w:rsidR="001C248D" w:rsidRDefault="001C248D">
      <w:pPr>
        <w:pStyle w:val="d-linia3"/>
        <w:rPr>
          <w:sz w:val="16"/>
        </w:rPr>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sro-18"/>
        <w:rPr>
          <w:caps/>
        </w:rPr>
      </w:pPr>
      <w:r>
        <w:rPr>
          <w:caps/>
        </w:rPr>
        <w:t>opinia</w:t>
      </w:r>
    </w:p>
    <w:p w:rsidR="001C248D" w:rsidRDefault="001C248D">
      <w:pPr>
        <w:pStyle w:val="d-ro-14"/>
        <w:rPr>
          <w:caps/>
        </w:rPr>
      </w:pPr>
      <w:r>
        <w:t xml:space="preserve">KOMISJI </w:t>
      </w:r>
      <w:r>
        <w:rPr>
          <w:caps/>
        </w:rPr>
        <w:t>Spraw Unii Europejskiej</w:t>
      </w:r>
    </w:p>
    <w:p w:rsidR="001C248D" w:rsidRDefault="001C248D">
      <w:pPr>
        <w:pStyle w:val="d-ro-B"/>
      </w:pPr>
      <w:bookmarkStart w:id="5" w:name="tyt_opinii"/>
      <w:bookmarkEnd w:id="5"/>
      <w:r>
        <w:t>Wniosek dotyczący rozporządzenia Parlamentu Europejskiego i Rady ustanawiającego kryzysowy mechanizm relokacji i zmieniającego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w:t>
      </w:r>
    </w:p>
    <w:p w:rsidR="001C248D" w:rsidRDefault="001C248D">
      <w:pPr>
        <w:pStyle w:val="druk-stanard"/>
        <w:jc w:val="both"/>
        <w:rPr>
          <w:rFonts w:ascii="TimesNewRoman,Bold" w:hAnsi="TimesNewRoman,Bold"/>
          <w:b/>
          <w:snapToGrid w:val="0"/>
        </w:rPr>
      </w:pPr>
    </w:p>
    <w:p w:rsidR="001C248D" w:rsidRDefault="001C248D">
      <w:pPr>
        <w:pStyle w:val="druk-stanard"/>
        <w:jc w:val="both"/>
        <w:rPr>
          <w:b/>
        </w:rPr>
      </w:pPr>
    </w:p>
    <w:p w:rsidR="001C248D" w:rsidRDefault="001C248D">
      <w:pPr>
        <w:pStyle w:val="d-skier"/>
        <w:ind w:left="567"/>
      </w:pPr>
      <w:r>
        <w:t xml:space="preserve">Marszałek Senatu skierował do komisji projekt aktu prawnego UE; projekt stanowiska RP w sprawie tego dokumentu został przekazany w dniu </w:t>
      </w:r>
      <w:bookmarkStart w:id="6" w:name="data_przek"/>
      <w:bookmarkEnd w:id="6"/>
      <w:r w:rsidRPr="00AF4775">
        <w:t>29 września 2015 r.</w:t>
      </w:r>
    </w:p>
    <w:p w:rsidR="001C248D" w:rsidRDefault="001C248D">
      <w:pPr>
        <w:pStyle w:val="d-poroz"/>
      </w:pPr>
      <w:r>
        <w:t xml:space="preserve">Komisja rozpatrzyła wniosek na posiedzeniu w dniu </w:t>
      </w:r>
      <w:bookmarkStart w:id="7" w:name="data_pos"/>
      <w:bookmarkEnd w:id="7"/>
      <w:r>
        <w:t xml:space="preserve">29 września 2015 r.  </w:t>
      </w:r>
    </w:p>
    <w:p w:rsidR="001C248D" w:rsidRDefault="001C248D">
      <w:pPr>
        <w:pStyle w:val="BodyText"/>
        <w:rPr>
          <w:b w:val="0"/>
        </w:rPr>
      </w:pPr>
    </w:p>
    <w:p w:rsidR="001C248D" w:rsidRDefault="001C248D">
      <w:pPr>
        <w:pStyle w:val="BodyText"/>
        <w:rPr>
          <w:b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7"/>
        <w:gridCol w:w="1890"/>
        <w:gridCol w:w="3125"/>
        <w:gridCol w:w="7"/>
      </w:tblGrid>
      <w:tr w:rsidR="001C248D">
        <w:trPr>
          <w:gridAfter w:val="1"/>
          <w:wAfter w:w="7" w:type="dxa"/>
          <w:cantSplit/>
          <w:trHeight w:val="578"/>
          <w:jc w:val="center"/>
        </w:trPr>
        <w:tc>
          <w:tcPr>
            <w:tcW w:w="1607" w:type="dxa"/>
            <w:vMerge w:val="restart"/>
            <w:tcBorders>
              <w:top w:val="single" w:sz="2" w:space="0" w:color="auto"/>
              <w:left w:val="single" w:sz="2" w:space="0" w:color="auto"/>
              <w:bottom w:val="single" w:sz="2" w:space="0" w:color="auto"/>
              <w:right w:val="single" w:sz="2" w:space="0" w:color="auto"/>
            </w:tcBorders>
            <w:vAlign w:val="center"/>
          </w:tcPr>
          <w:p w:rsidR="001C248D" w:rsidRDefault="001C248D">
            <w:pPr>
              <w:pStyle w:val="Heading7"/>
              <w:spacing w:before="60"/>
              <w:jc w:val="center"/>
              <w:rPr>
                <w:b/>
                <w:sz w:val="22"/>
              </w:rPr>
            </w:pPr>
            <w:r>
              <w:rPr>
                <w:b/>
                <w:sz w:val="22"/>
              </w:rPr>
              <w:t>Sygnatura dokumentu</w:t>
            </w:r>
          </w:p>
        </w:tc>
        <w:tc>
          <w:tcPr>
            <w:tcW w:w="1890" w:type="dxa"/>
            <w:tcBorders>
              <w:top w:val="single" w:sz="2" w:space="0" w:color="auto"/>
              <w:left w:val="nil"/>
              <w:bottom w:val="single" w:sz="2" w:space="0" w:color="auto"/>
              <w:right w:val="single" w:sz="2" w:space="0" w:color="auto"/>
            </w:tcBorders>
            <w:vAlign w:val="center"/>
          </w:tcPr>
          <w:p w:rsidR="001C248D" w:rsidRDefault="001C248D">
            <w:pPr>
              <w:pStyle w:val="Heading7"/>
              <w:spacing w:before="60"/>
              <w:jc w:val="center"/>
              <w:rPr>
                <w:sz w:val="22"/>
              </w:rPr>
            </w:pPr>
            <w:r>
              <w:rPr>
                <w:sz w:val="22"/>
              </w:rPr>
              <w:t>Komisja Europejska</w:t>
            </w:r>
          </w:p>
        </w:tc>
        <w:tc>
          <w:tcPr>
            <w:tcW w:w="3125" w:type="dxa"/>
            <w:tcBorders>
              <w:top w:val="single" w:sz="2" w:space="0" w:color="auto"/>
              <w:left w:val="nil"/>
              <w:bottom w:val="nil"/>
              <w:right w:val="single" w:sz="2" w:space="0" w:color="auto"/>
            </w:tcBorders>
            <w:vAlign w:val="center"/>
          </w:tcPr>
          <w:p w:rsidR="001C248D" w:rsidRPr="00AB6276" w:rsidRDefault="001C248D">
            <w:pPr>
              <w:pStyle w:val="Heading7"/>
              <w:spacing w:before="60"/>
              <w:jc w:val="center"/>
              <w:rPr>
                <w:sz w:val="22"/>
              </w:rPr>
            </w:pPr>
            <w:bookmarkStart w:id="8" w:name="sygcom"/>
            <w:bookmarkEnd w:id="8"/>
            <w:r>
              <w:rPr>
                <w:sz w:val="22"/>
              </w:rPr>
              <w:t>COM(2015) 450</w:t>
            </w:r>
          </w:p>
        </w:tc>
      </w:tr>
      <w:tr w:rsidR="001C248D">
        <w:trPr>
          <w:cantSplit/>
          <w:trHeight w:val="579"/>
          <w:jc w:val="center"/>
        </w:trPr>
        <w:tc>
          <w:tcPr>
            <w:tcW w:w="1607" w:type="dxa"/>
            <w:vMerge/>
            <w:tcBorders>
              <w:top w:val="single" w:sz="2" w:space="0" w:color="auto"/>
              <w:left w:val="single" w:sz="2" w:space="0" w:color="auto"/>
              <w:bottom w:val="single" w:sz="2" w:space="0" w:color="auto"/>
              <w:right w:val="single" w:sz="2" w:space="0" w:color="auto"/>
            </w:tcBorders>
            <w:vAlign w:val="center"/>
          </w:tcPr>
          <w:p w:rsidR="001C248D" w:rsidRDefault="001C248D">
            <w:pPr>
              <w:jc w:val="center"/>
              <w:rPr>
                <w:sz w:val="22"/>
              </w:rPr>
            </w:pPr>
          </w:p>
        </w:tc>
        <w:tc>
          <w:tcPr>
            <w:tcW w:w="1890" w:type="dxa"/>
            <w:tcBorders>
              <w:top w:val="nil"/>
              <w:left w:val="nil"/>
              <w:bottom w:val="single" w:sz="2" w:space="0" w:color="auto"/>
              <w:right w:val="single" w:sz="2" w:space="0" w:color="auto"/>
            </w:tcBorders>
            <w:vAlign w:val="center"/>
          </w:tcPr>
          <w:p w:rsidR="001C248D" w:rsidRDefault="001C248D">
            <w:pPr>
              <w:pStyle w:val="Heading7"/>
              <w:jc w:val="center"/>
              <w:rPr>
                <w:sz w:val="22"/>
              </w:rPr>
            </w:pPr>
            <w:r>
              <w:rPr>
                <w:sz w:val="22"/>
              </w:rPr>
              <w:t>Rada UE</w:t>
            </w:r>
          </w:p>
        </w:tc>
        <w:tc>
          <w:tcPr>
            <w:tcW w:w="3132" w:type="dxa"/>
            <w:gridSpan w:val="2"/>
            <w:tcBorders>
              <w:top w:val="single" w:sz="2" w:space="0" w:color="auto"/>
              <w:left w:val="nil"/>
              <w:bottom w:val="single" w:sz="2" w:space="0" w:color="auto"/>
              <w:right w:val="single" w:sz="2" w:space="0" w:color="auto"/>
            </w:tcBorders>
            <w:vAlign w:val="center"/>
          </w:tcPr>
          <w:p w:rsidR="001C248D" w:rsidRPr="00AB6276" w:rsidRDefault="001C248D">
            <w:pPr>
              <w:autoSpaceDE w:val="0"/>
              <w:autoSpaceDN w:val="0"/>
              <w:adjustRightInd w:val="0"/>
              <w:jc w:val="center"/>
              <w:rPr>
                <w:sz w:val="22"/>
              </w:rPr>
            </w:pPr>
            <w:r>
              <w:rPr>
                <w:sz w:val="22"/>
              </w:rPr>
              <w:t>-</w:t>
            </w:r>
          </w:p>
        </w:tc>
      </w:tr>
    </w:tbl>
    <w:p w:rsidR="001C248D" w:rsidRDefault="001C248D">
      <w:pPr>
        <w:pStyle w:val="druk-stanard"/>
      </w:pPr>
    </w:p>
    <w:p w:rsidR="001C248D" w:rsidRDefault="001C248D">
      <w:pPr>
        <w:pStyle w:val="druk-stanard"/>
      </w:pPr>
    </w:p>
    <w:p w:rsidR="001C248D" w:rsidRDefault="001C248D">
      <w:pPr>
        <w:pStyle w:val="druk-stanard"/>
      </w:pPr>
      <w:r>
        <w:tab/>
      </w:r>
      <w:r>
        <w:tab/>
      </w:r>
      <w:r>
        <w:tab/>
      </w:r>
      <w:r>
        <w:tab/>
      </w:r>
      <w:r>
        <w:tab/>
      </w:r>
      <w:r>
        <w:tab/>
      </w:r>
      <w:r>
        <w:tab/>
        <w:t xml:space="preserve">            </w:t>
      </w:r>
    </w:p>
    <w:p w:rsidR="001C248D" w:rsidRDefault="001C248D">
      <w:pPr>
        <w:pStyle w:val="d-podpis"/>
      </w:pPr>
      <w:r>
        <w:tab/>
      </w:r>
      <w:r>
        <w:tab/>
        <w:t>(-)</w:t>
      </w:r>
      <w:bookmarkStart w:id="9" w:name="sygrue"/>
      <w:bookmarkEnd w:id="9"/>
      <w:r>
        <w:t xml:space="preserve">  </w:t>
      </w:r>
      <w:bookmarkStart w:id="10" w:name="lider"/>
      <w:bookmarkEnd w:id="10"/>
      <w:r>
        <w:t>Edmund Wittbrodt</w:t>
      </w:r>
    </w:p>
    <w:p w:rsidR="001C248D" w:rsidRDefault="001C248D">
      <w:pPr>
        <w:pStyle w:val="d-podpis"/>
      </w:pPr>
      <w:r>
        <w:tab/>
      </w:r>
      <w:r>
        <w:tab/>
        <w:t>Przewodniczący Komisji</w:t>
      </w:r>
    </w:p>
    <w:p w:rsidR="001C248D" w:rsidRDefault="001C248D">
      <w:pPr>
        <w:pStyle w:val="d-podpis"/>
      </w:pPr>
      <w:r>
        <w:tab/>
      </w:r>
      <w:r>
        <w:tab/>
        <w:t>Spraw Unii Europejskiej</w:t>
      </w:r>
    </w:p>
    <w:p w:rsidR="001C248D" w:rsidRDefault="001C248D">
      <w:pPr>
        <w:pStyle w:val="d-podpis"/>
      </w:pPr>
      <w:r>
        <w:tab/>
      </w:r>
      <w:r>
        <w:tab/>
      </w:r>
    </w:p>
    <w:p w:rsidR="001C248D" w:rsidRDefault="001C248D">
      <w:pPr>
        <w:pStyle w:val="druk-stanard"/>
      </w:pPr>
    </w:p>
    <w:p w:rsidR="001C248D" w:rsidRDefault="001C248D">
      <w:pPr>
        <w:pStyle w:val="druk-stanard"/>
        <w:sectPr w:rsidR="001C248D" w:rsidSect="003A72A5">
          <w:headerReference w:type="even" r:id="rId18"/>
          <w:headerReference w:type="default" r:id="rId19"/>
          <w:footnotePr>
            <w:numRestart w:val="eachPage"/>
          </w:footnotePr>
          <w:endnotePr>
            <w:numFmt w:val="decimal"/>
          </w:endnotePr>
          <w:pgSz w:w="11907" w:h="16840" w:code="9"/>
          <w:pgMar w:top="1134" w:right="1134" w:bottom="1134" w:left="1134" w:header="567" w:footer="567" w:gutter="0"/>
          <w:cols w:space="720"/>
          <w:docGrid w:linePitch="326"/>
        </w:sectPr>
      </w:pPr>
    </w:p>
    <w:p w:rsidR="001C248D" w:rsidRDefault="001C248D"/>
    <w:p w:rsidR="001C248D" w:rsidRPr="001C248D" w:rsidRDefault="001C248D" w:rsidP="001C248D">
      <w:pPr>
        <w:jc w:val="center"/>
        <w:rPr>
          <w:b/>
          <w:bCs/>
        </w:rPr>
      </w:pPr>
      <w:r w:rsidRPr="001C248D">
        <w:rPr>
          <w:b/>
          <w:bCs/>
        </w:rPr>
        <w:t>Opinia</w:t>
      </w:r>
    </w:p>
    <w:p w:rsidR="001C248D" w:rsidRPr="00FE7039" w:rsidRDefault="001C248D" w:rsidP="001C248D">
      <w:pPr>
        <w:jc w:val="center"/>
        <w:rPr>
          <w:b/>
          <w:bCs/>
          <w:lang w:val="pl-PL"/>
        </w:rPr>
      </w:pPr>
      <w:r w:rsidRPr="00FE7039">
        <w:rPr>
          <w:b/>
          <w:bCs/>
          <w:lang w:val="pl-PL"/>
        </w:rPr>
        <w:t>Komisji Spraw Unii Europejskiej Senatu RP</w:t>
      </w:r>
    </w:p>
    <w:p w:rsidR="001C248D" w:rsidRPr="00FE7039" w:rsidRDefault="001C248D" w:rsidP="001C248D">
      <w:pPr>
        <w:jc w:val="center"/>
        <w:rPr>
          <w:b/>
          <w:bCs/>
          <w:lang w:val="pl-PL"/>
        </w:rPr>
      </w:pPr>
      <w:r w:rsidRPr="00FE7039">
        <w:rPr>
          <w:b/>
          <w:bCs/>
          <w:lang w:val="pl-PL"/>
        </w:rPr>
        <w:t>dotycząca projektu rozporządzenia Parlamentu Europejskiego i Rady ustanawiającego kryzysowy mechanizm relokacji i zmieniającego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w:t>
      </w:r>
    </w:p>
    <w:p w:rsidR="001C248D" w:rsidRDefault="001C248D" w:rsidP="009863FB">
      <w:pPr>
        <w:pStyle w:val="BodyTextIndent"/>
        <w:ind w:firstLine="0"/>
        <w:jc w:val="center"/>
        <w:rPr>
          <w:b/>
        </w:rPr>
      </w:pPr>
    </w:p>
    <w:p w:rsidR="001C248D" w:rsidRDefault="001C248D" w:rsidP="009863FB">
      <w:pPr>
        <w:pStyle w:val="BodyTextIndent"/>
        <w:ind w:firstLine="0"/>
        <w:jc w:val="center"/>
        <w:rPr>
          <w:b/>
        </w:rPr>
      </w:pPr>
      <w:r w:rsidRPr="009863FB">
        <w:rPr>
          <w:b/>
        </w:rPr>
        <w:t>COM(2015) 450</w:t>
      </w:r>
    </w:p>
    <w:p w:rsidR="001C248D" w:rsidRDefault="001C248D" w:rsidP="009863FB">
      <w:pPr>
        <w:pStyle w:val="BodyTextIndent"/>
        <w:ind w:firstLine="0"/>
        <w:jc w:val="center"/>
        <w:rPr>
          <w:b/>
        </w:rPr>
      </w:pPr>
    </w:p>
    <w:p w:rsidR="001C248D" w:rsidRPr="00860E1E" w:rsidRDefault="001C248D" w:rsidP="009863FB">
      <w:pPr>
        <w:pStyle w:val="BodyTextIndent"/>
        <w:ind w:firstLine="0"/>
        <w:jc w:val="center"/>
        <w:rPr>
          <w:b/>
          <w:color w:val="000000"/>
        </w:rPr>
      </w:pPr>
      <w:r w:rsidRPr="00860E1E">
        <w:rPr>
          <w:b/>
          <w:color w:val="000000"/>
        </w:rPr>
        <w:t>przyjęta na posiedzeniu w dniu</w:t>
      </w:r>
      <w:r>
        <w:rPr>
          <w:b/>
          <w:color w:val="000000"/>
        </w:rPr>
        <w:t xml:space="preserve"> 29 września 2015 r.</w:t>
      </w:r>
    </w:p>
    <w:p w:rsidR="001C248D" w:rsidRDefault="001C248D">
      <w:pPr>
        <w:pStyle w:val="druk-stanard"/>
        <w:rPr>
          <w:color w:val="000080"/>
        </w:rPr>
      </w:pPr>
    </w:p>
    <w:p w:rsidR="001C248D" w:rsidRDefault="001C248D">
      <w:pPr>
        <w:pStyle w:val="druk-stanard"/>
        <w:rPr>
          <w:color w:val="000080"/>
        </w:rPr>
      </w:pPr>
    </w:p>
    <w:p w:rsidR="001C248D" w:rsidRPr="00AF4775" w:rsidRDefault="001C248D" w:rsidP="001C248D">
      <w:pPr>
        <w:pStyle w:val="ListParagraph"/>
        <w:numPr>
          <w:ilvl w:val="0"/>
          <w:numId w:val="30"/>
        </w:numPr>
        <w:jc w:val="both"/>
        <w:rPr>
          <w:rFonts w:ascii="Times New Roman" w:hAnsi="Times New Roman"/>
          <w:sz w:val="24"/>
          <w:szCs w:val="24"/>
        </w:rPr>
      </w:pPr>
      <w:r w:rsidRPr="00AF4775">
        <w:rPr>
          <w:rFonts w:ascii="Times New Roman" w:hAnsi="Times New Roman"/>
          <w:sz w:val="24"/>
          <w:szCs w:val="24"/>
        </w:rPr>
        <w:t xml:space="preserve">Komisja Spraw Unii Europejskiej Senatu RP ocenia sytuację dotycząca kryzysu migracyjnego jako bardzo poważną i podziela opinię Komisji Europejskiej </w:t>
      </w:r>
      <w:r>
        <w:rPr>
          <w:rFonts w:ascii="Times New Roman" w:hAnsi="Times New Roman"/>
          <w:sz w:val="24"/>
          <w:szCs w:val="24"/>
        </w:rPr>
        <w:br/>
        <w:t xml:space="preserve">o </w:t>
      </w:r>
      <w:r w:rsidRPr="00AF4775">
        <w:rPr>
          <w:rFonts w:ascii="Times New Roman" w:hAnsi="Times New Roman"/>
          <w:sz w:val="24"/>
          <w:szCs w:val="24"/>
        </w:rPr>
        <w:t xml:space="preserve">konieczności wspólnego rozwiązania tego problemu przez państwa członkowskie Unii Europejskiej. </w:t>
      </w:r>
    </w:p>
    <w:p w:rsidR="001C248D" w:rsidRPr="00AF4775" w:rsidRDefault="001C248D" w:rsidP="00AF4775">
      <w:pPr>
        <w:pStyle w:val="ListParagraph"/>
        <w:ind w:left="0"/>
        <w:jc w:val="both"/>
        <w:rPr>
          <w:rFonts w:ascii="Times New Roman" w:hAnsi="Times New Roman"/>
          <w:sz w:val="24"/>
          <w:szCs w:val="24"/>
        </w:rPr>
      </w:pPr>
    </w:p>
    <w:p w:rsidR="001C248D" w:rsidRPr="00AF4775" w:rsidRDefault="001C248D" w:rsidP="001C248D">
      <w:pPr>
        <w:pStyle w:val="ListParagraph"/>
        <w:numPr>
          <w:ilvl w:val="0"/>
          <w:numId w:val="30"/>
        </w:numPr>
        <w:jc w:val="both"/>
        <w:rPr>
          <w:rFonts w:ascii="Times New Roman" w:hAnsi="Times New Roman"/>
          <w:sz w:val="24"/>
          <w:szCs w:val="24"/>
        </w:rPr>
      </w:pPr>
      <w:r w:rsidRPr="00AF4775">
        <w:rPr>
          <w:rFonts w:ascii="Times New Roman" w:hAnsi="Times New Roman"/>
          <w:sz w:val="24"/>
          <w:szCs w:val="24"/>
        </w:rPr>
        <w:t xml:space="preserve">Komisja Spraw Unii Europejskiej Senatu RP jest jednak zdania, że zaproponowana przez Komisję Europejską podstawa prawna – art. 78 ust 2 lit. e TFUE upoważniająca  UE do przyjęcia wspólnych zasad uznawania państwa za właściwe do przeprowadzenia procedury azylowej jest niewłaściwa do przyjęcia stałego mechanizmu relokacji migrantów pomiędzy państwa członkowskie. Traktat przewiduje w tym celu </w:t>
      </w:r>
      <w:r>
        <w:rPr>
          <w:rFonts w:ascii="Times New Roman" w:hAnsi="Times New Roman"/>
          <w:sz w:val="24"/>
          <w:szCs w:val="24"/>
        </w:rPr>
        <w:br/>
      </w:r>
      <w:r w:rsidRPr="00AF4775">
        <w:rPr>
          <w:rFonts w:ascii="Times New Roman" w:hAnsi="Times New Roman"/>
          <w:sz w:val="24"/>
          <w:szCs w:val="24"/>
        </w:rPr>
        <w:t xml:space="preserve">art. 78 ust 3, wymagający każdorazowej zgody Rady UE. </w:t>
      </w:r>
    </w:p>
    <w:p w:rsidR="001C248D" w:rsidRDefault="001C248D">
      <w:pPr>
        <w:pStyle w:val="druk-stanard"/>
        <w:rPr>
          <w:color w:val="000080"/>
        </w:rPr>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Default="001C248D">
      <w:pPr>
        <w:pStyle w:val="druk-stanard"/>
      </w:pPr>
    </w:p>
    <w:p w:rsidR="001C248D" w:rsidRPr="00FE7039" w:rsidRDefault="001C248D">
      <w:pPr>
        <w:pStyle w:val="d-tocz1"/>
        <w:rPr>
          <w:lang w:val="pt-PT"/>
        </w:rPr>
      </w:pPr>
      <w:r w:rsidRPr="00FE7039">
        <w:rPr>
          <w:lang w:val="pt-PT"/>
        </w:rPr>
        <w:t>..........................................................................................................................................................</w:t>
      </w:r>
    </w:p>
    <w:p w:rsidR="001C248D" w:rsidRPr="00FE7039" w:rsidRDefault="001C248D">
      <w:pPr>
        <w:pStyle w:val="d-tocz2"/>
        <w:rPr>
          <w:color w:val="000000"/>
          <w:lang w:val="pt-PT"/>
        </w:rPr>
      </w:pPr>
      <w:r w:rsidRPr="00FE7039">
        <w:rPr>
          <w:color w:val="000000"/>
          <w:lang w:val="pt-PT"/>
        </w:rPr>
        <w:t>T ł o c z o n o   z   p o l e c e n i a   M a r s z a ł k a   S e n a t u</w:t>
      </w:r>
    </w:p>
    <w:p w:rsidR="001C248D" w:rsidRPr="00FE7039" w:rsidRDefault="001C248D">
      <w:pPr>
        <w:pStyle w:val="druk-stanard"/>
        <w:rPr>
          <w:color w:val="000000"/>
          <w:lang w:val="en-GB"/>
        </w:rPr>
      </w:pPr>
      <w:r w:rsidRPr="00FE7039">
        <w:rPr>
          <w:color w:val="000000"/>
          <w:lang w:val="en-GB"/>
        </w:rPr>
        <w:t>..........................................................................................................................................................</w:t>
      </w:r>
    </w:p>
    <w:p w:rsidR="0022711B" w:rsidRPr="00166126" w:rsidRDefault="0022711B" w:rsidP="00805813">
      <w:pPr>
        <w:jc w:val="right"/>
        <w:rPr>
          <w:lang w:val="en-US"/>
        </w:rPr>
      </w:pPr>
    </w:p>
    <w:sectPr w:rsidR="0022711B" w:rsidRPr="00166126" w:rsidSect="003A72A5">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1B" w:rsidRDefault="0022711B">
      <w:r>
        <w:separator/>
      </w:r>
    </w:p>
  </w:endnote>
  <w:endnote w:type="continuationSeparator" w:id="0">
    <w:p w:rsidR="0022711B" w:rsidRDefault="0022711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E2" w:rsidRPr="003A72A5" w:rsidRDefault="00A74DE2" w:rsidP="003A7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A72A5" w:rsidRPr="00D94637" w:rsidTr="003A72A5">
      <w:trPr>
        <w:jc w:val="center"/>
      </w:trPr>
      <w:tc>
        <w:tcPr>
          <w:tcW w:w="5000" w:type="pct"/>
          <w:gridSpan w:val="7"/>
          <w:shd w:val="clear" w:color="auto" w:fill="auto"/>
          <w:tcMar>
            <w:top w:w="57" w:type="dxa"/>
          </w:tcMar>
        </w:tcPr>
        <w:p w:rsidR="003A72A5" w:rsidRPr="00D94637" w:rsidRDefault="003A72A5" w:rsidP="00D94637">
          <w:pPr>
            <w:pStyle w:val="FooterText"/>
            <w:pBdr>
              <w:top w:val="single" w:sz="4" w:space="1" w:color="auto"/>
            </w:pBdr>
            <w:spacing w:before="200"/>
            <w:rPr>
              <w:sz w:val="2"/>
              <w:szCs w:val="2"/>
            </w:rPr>
          </w:pPr>
          <w:bookmarkStart w:id="2" w:name="FOOTER_STANDARD"/>
        </w:p>
      </w:tc>
    </w:tr>
    <w:tr w:rsidR="003A72A5" w:rsidRPr="00B310DC" w:rsidTr="003A72A5">
      <w:trPr>
        <w:jc w:val="center"/>
      </w:trPr>
      <w:tc>
        <w:tcPr>
          <w:tcW w:w="2500" w:type="pct"/>
          <w:gridSpan w:val="2"/>
          <w:shd w:val="clear" w:color="auto" w:fill="auto"/>
          <w:tcMar>
            <w:top w:w="0" w:type="dxa"/>
          </w:tcMar>
        </w:tcPr>
        <w:p w:rsidR="003A72A5" w:rsidRPr="00AD7BF2" w:rsidRDefault="003A72A5" w:rsidP="004F54B2">
          <w:pPr>
            <w:pStyle w:val="FooterText"/>
          </w:pPr>
          <w:r>
            <w:t>12725/15</w:t>
          </w:r>
          <w:r w:rsidRPr="002511D8">
            <w:t xml:space="preserve"> </w:t>
          </w:r>
        </w:p>
      </w:tc>
      <w:tc>
        <w:tcPr>
          <w:tcW w:w="625" w:type="pct"/>
          <w:shd w:val="clear" w:color="auto" w:fill="auto"/>
          <w:tcMar>
            <w:top w:w="0" w:type="dxa"/>
          </w:tcMar>
        </w:tcPr>
        <w:p w:rsidR="003A72A5" w:rsidRPr="00AD7BF2" w:rsidRDefault="003A72A5" w:rsidP="00D94637">
          <w:pPr>
            <w:pStyle w:val="FooterText"/>
            <w:jc w:val="center"/>
          </w:pPr>
        </w:p>
      </w:tc>
      <w:tc>
        <w:tcPr>
          <w:tcW w:w="1287" w:type="pct"/>
          <w:gridSpan w:val="3"/>
          <w:shd w:val="clear" w:color="auto" w:fill="auto"/>
          <w:tcMar>
            <w:top w:w="0" w:type="dxa"/>
          </w:tcMar>
        </w:tcPr>
        <w:p w:rsidR="003A72A5" w:rsidRPr="002511D8" w:rsidRDefault="003A72A5" w:rsidP="00D94637">
          <w:pPr>
            <w:pStyle w:val="FooterText"/>
            <w:jc w:val="center"/>
          </w:pPr>
          <w:r>
            <w:t>ZH/pf</w:t>
          </w:r>
        </w:p>
      </w:tc>
      <w:tc>
        <w:tcPr>
          <w:tcW w:w="588" w:type="pct"/>
          <w:shd w:val="clear" w:color="auto" w:fill="auto"/>
          <w:tcMar>
            <w:top w:w="0" w:type="dxa"/>
          </w:tcMar>
        </w:tcPr>
        <w:p w:rsidR="003A72A5" w:rsidRPr="00B310DC" w:rsidRDefault="003A72A5" w:rsidP="00D94637">
          <w:pPr>
            <w:pStyle w:val="FooterText"/>
            <w:jc w:val="right"/>
          </w:pPr>
          <w:r>
            <w:fldChar w:fldCharType="begin"/>
          </w:r>
          <w:r>
            <w:instrText xml:space="preserve"> PAGE  \* MERGEFORMAT </w:instrText>
          </w:r>
          <w:r>
            <w:fldChar w:fldCharType="separate"/>
          </w:r>
          <w:r w:rsidR="002221E9">
            <w:rPr>
              <w:noProof/>
            </w:rPr>
            <w:t>1</w:t>
          </w:r>
          <w:r>
            <w:fldChar w:fldCharType="end"/>
          </w:r>
        </w:p>
      </w:tc>
    </w:tr>
    <w:tr w:rsidR="003A72A5" w:rsidRPr="00D94637" w:rsidTr="003A72A5">
      <w:trPr>
        <w:jc w:val="center"/>
      </w:trPr>
      <w:tc>
        <w:tcPr>
          <w:tcW w:w="1774" w:type="pct"/>
          <w:shd w:val="clear" w:color="auto" w:fill="auto"/>
        </w:tcPr>
        <w:p w:rsidR="003A72A5" w:rsidRPr="00AD7BF2" w:rsidRDefault="003A72A5" w:rsidP="00D94637">
          <w:pPr>
            <w:pStyle w:val="FooterText"/>
            <w:spacing w:before="40"/>
          </w:pPr>
        </w:p>
      </w:tc>
      <w:tc>
        <w:tcPr>
          <w:tcW w:w="1455" w:type="pct"/>
          <w:gridSpan w:val="3"/>
          <w:shd w:val="clear" w:color="auto" w:fill="auto"/>
        </w:tcPr>
        <w:p w:rsidR="003A72A5" w:rsidRPr="00AD7BF2" w:rsidRDefault="003A72A5" w:rsidP="00D204D6">
          <w:pPr>
            <w:pStyle w:val="FooterText"/>
            <w:spacing w:before="40"/>
            <w:jc w:val="center"/>
          </w:pPr>
          <w:r>
            <w:t>DGD 1B</w:t>
          </w:r>
        </w:p>
      </w:tc>
      <w:tc>
        <w:tcPr>
          <w:tcW w:w="1147" w:type="pct"/>
          <w:shd w:val="clear" w:color="auto" w:fill="auto"/>
        </w:tcPr>
        <w:p w:rsidR="003A72A5" w:rsidRPr="00D94637" w:rsidRDefault="003A72A5" w:rsidP="00D94637">
          <w:pPr>
            <w:pStyle w:val="FooterText"/>
            <w:jc w:val="right"/>
            <w:rPr>
              <w:b/>
              <w:position w:val="-4"/>
              <w:sz w:val="36"/>
            </w:rPr>
          </w:pPr>
        </w:p>
      </w:tc>
      <w:tc>
        <w:tcPr>
          <w:tcW w:w="625" w:type="pct"/>
          <w:gridSpan w:val="2"/>
          <w:shd w:val="clear" w:color="auto" w:fill="auto"/>
        </w:tcPr>
        <w:p w:rsidR="003A72A5" w:rsidRPr="00D94637" w:rsidRDefault="003A72A5" w:rsidP="00D94637">
          <w:pPr>
            <w:pStyle w:val="FooterText"/>
            <w:jc w:val="right"/>
            <w:rPr>
              <w:sz w:val="16"/>
            </w:rPr>
          </w:pPr>
          <w:r>
            <w:rPr>
              <w:b/>
              <w:position w:val="-4"/>
              <w:sz w:val="36"/>
            </w:rPr>
            <w:t>EN/PL</w:t>
          </w:r>
        </w:p>
      </w:tc>
    </w:tr>
    <w:bookmarkEnd w:id="2"/>
  </w:tbl>
  <w:p w:rsidR="00AC6F99" w:rsidRPr="003A72A5" w:rsidRDefault="00AC6F99" w:rsidP="003A72A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3A72A5" w:rsidRPr="00D94637" w:rsidTr="003A72A5">
      <w:trPr>
        <w:jc w:val="center"/>
      </w:trPr>
      <w:tc>
        <w:tcPr>
          <w:tcW w:w="5000" w:type="pct"/>
          <w:gridSpan w:val="7"/>
          <w:shd w:val="clear" w:color="auto" w:fill="auto"/>
          <w:tcMar>
            <w:top w:w="57" w:type="dxa"/>
          </w:tcMar>
        </w:tcPr>
        <w:p w:rsidR="003A72A5" w:rsidRPr="00D94637" w:rsidRDefault="003A72A5" w:rsidP="00D94637">
          <w:pPr>
            <w:pStyle w:val="FooterText"/>
            <w:pBdr>
              <w:top w:val="single" w:sz="4" w:space="1" w:color="auto"/>
            </w:pBdr>
            <w:spacing w:before="200"/>
            <w:rPr>
              <w:sz w:val="2"/>
              <w:szCs w:val="2"/>
            </w:rPr>
          </w:pPr>
        </w:p>
      </w:tc>
    </w:tr>
    <w:tr w:rsidR="003A72A5" w:rsidRPr="00B310DC" w:rsidTr="003A72A5">
      <w:trPr>
        <w:jc w:val="center"/>
      </w:trPr>
      <w:tc>
        <w:tcPr>
          <w:tcW w:w="2500" w:type="pct"/>
          <w:gridSpan w:val="2"/>
          <w:shd w:val="clear" w:color="auto" w:fill="auto"/>
          <w:tcMar>
            <w:top w:w="0" w:type="dxa"/>
          </w:tcMar>
        </w:tcPr>
        <w:p w:rsidR="003A72A5" w:rsidRPr="00AD7BF2" w:rsidRDefault="003A72A5" w:rsidP="004F54B2">
          <w:pPr>
            <w:pStyle w:val="FooterText"/>
          </w:pPr>
          <w:r>
            <w:t>12725/15</w:t>
          </w:r>
          <w:r w:rsidRPr="002511D8">
            <w:t xml:space="preserve"> </w:t>
          </w:r>
        </w:p>
      </w:tc>
      <w:tc>
        <w:tcPr>
          <w:tcW w:w="625" w:type="pct"/>
          <w:shd w:val="clear" w:color="auto" w:fill="auto"/>
          <w:tcMar>
            <w:top w:w="0" w:type="dxa"/>
          </w:tcMar>
        </w:tcPr>
        <w:p w:rsidR="003A72A5" w:rsidRPr="00AD7BF2" w:rsidRDefault="003A72A5" w:rsidP="00D94637">
          <w:pPr>
            <w:pStyle w:val="FooterText"/>
            <w:jc w:val="center"/>
          </w:pPr>
        </w:p>
      </w:tc>
      <w:tc>
        <w:tcPr>
          <w:tcW w:w="1287" w:type="pct"/>
          <w:gridSpan w:val="3"/>
          <w:shd w:val="clear" w:color="auto" w:fill="auto"/>
          <w:tcMar>
            <w:top w:w="0" w:type="dxa"/>
          </w:tcMar>
        </w:tcPr>
        <w:p w:rsidR="003A72A5" w:rsidRPr="002511D8" w:rsidRDefault="003A72A5" w:rsidP="00D94637">
          <w:pPr>
            <w:pStyle w:val="FooterText"/>
            <w:jc w:val="center"/>
          </w:pPr>
          <w:r>
            <w:t>ZH/pf</w:t>
          </w:r>
        </w:p>
      </w:tc>
      <w:tc>
        <w:tcPr>
          <w:tcW w:w="588" w:type="pct"/>
          <w:shd w:val="clear" w:color="auto" w:fill="auto"/>
          <w:tcMar>
            <w:top w:w="0" w:type="dxa"/>
          </w:tcMar>
        </w:tcPr>
        <w:p w:rsidR="003A72A5" w:rsidRPr="00B310DC" w:rsidRDefault="003A72A5" w:rsidP="00D94637">
          <w:pPr>
            <w:pStyle w:val="FooterText"/>
            <w:jc w:val="right"/>
          </w:pPr>
        </w:p>
      </w:tc>
    </w:tr>
    <w:tr w:rsidR="003A72A5" w:rsidRPr="00D94637" w:rsidTr="003A72A5">
      <w:trPr>
        <w:jc w:val="center"/>
      </w:trPr>
      <w:tc>
        <w:tcPr>
          <w:tcW w:w="1774" w:type="pct"/>
          <w:shd w:val="clear" w:color="auto" w:fill="auto"/>
        </w:tcPr>
        <w:p w:rsidR="003A72A5" w:rsidRPr="00AD7BF2" w:rsidRDefault="003A72A5" w:rsidP="00D94637">
          <w:pPr>
            <w:pStyle w:val="FooterText"/>
            <w:spacing w:before="40"/>
          </w:pPr>
        </w:p>
      </w:tc>
      <w:tc>
        <w:tcPr>
          <w:tcW w:w="1455" w:type="pct"/>
          <w:gridSpan w:val="3"/>
          <w:shd w:val="clear" w:color="auto" w:fill="auto"/>
        </w:tcPr>
        <w:p w:rsidR="003A72A5" w:rsidRPr="00AD7BF2" w:rsidRDefault="003A72A5" w:rsidP="00D204D6">
          <w:pPr>
            <w:pStyle w:val="FooterText"/>
            <w:spacing w:before="40"/>
            <w:jc w:val="center"/>
          </w:pPr>
          <w:r>
            <w:t>DGD 1B</w:t>
          </w:r>
        </w:p>
      </w:tc>
      <w:tc>
        <w:tcPr>
          <w:tcW w:w="1147" w:type="pct"/>
          <w:shd w:val="clear" w:color="auto" w:fill="auto"/>
        </w:tcPr>
        <w:p w:rsidR="003A72A5" w:rsidRPr="00D94637" w:rsidRDefault="003A72A5" w:rsidP="00D94637">
          <w:pPr>
            <w:pStyle w:val="FooterText"/>
            <w:jc w:val="right"/>
            <w:rPr>
              <w:b/>
              <w:position w:val="-4"/>
              <w:sz w:val="36"/>
            </w:rPr>
          </w:pPr>
        </w:p>
      </w:tc>
      <w:tc>
        <w:tcPr>
          <w:tcW w:w="625" w:type="pct"/>
          <w:gridSpan w:val="2"/>
          <w:shd w:val="clear" w:color="auto" w:fill="auto"/>
        </w:tcPr>
        <w:p w:rsidR="003A72A5" w:rsidRPr="00D94637" w:rsidRDefault="003A72A5" w:rsidP="00D94637">
          <w:pPr>
            <w:pStyle w:val="FooterText"/>
            <w:jc w:val="right"/>
            <w:rPr>
              <w:sz w:val="16"/>
            </w:rPr>
          </w:pPr>
          <w:r>
            <w:rPr>
              <w:b/>
              <w:position w:val="-4"/>
              <w:sz w:val="36"/>
            </w:rPr>
            <w:t>EN/PL</w:t>
          </w:r>
        </w:p>
      </w:tc>
    </w:tr>
  </w:tbl>
  <w:p w:rsidR="00AC6F99" w:rsidRPr="003A72A5" w:rsidRDefault="00AC6F99" w:rsidP="003A72A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1B" w:rsidRDefault="0022711B">
      <w:pPr>
        <w:pStyle w:val="FootnoteText"/>
      </w:pPr>
      <w:r>
        <w:separator/>
      </w:r>
    </w:p>
  </w:footnote>
  <w:footnote w:type="continuationSeparator" w:id="0">
    <w:p w:rsidR="0022711B" w:rsidRDefault="0022711B">
      <w:pPr>
        <w:pStyle w:val="FootnoteText"/>
      </w:pPr>
      <w:r>
        <w:separator/>
      </w:r>
    </w:p>
  </w:footnote>
  <w:footnote w:id="1">
    <w:p w:rsidR="003A72A5" w:rsidRDefault="003A72A5">
      <w:pPr>
        <w:pStyle w:val="FootnoteText"/>
      </w:pPr>
      <w:r>
        <w:rPr>
          <w:rStyle w:val="FootnoteReference"/>
        </w:rPr>
        <w:footnoteRef/>
      </w:r>
      <w:r>
        <w:tab/>
      </w:r>
      <w:r w:rsidRPr="003A72A5">
        <w:t xml:space="preserve">Translation(s) of the opinion may be available on the </w:t>
      </w:r>
      <w:proofErr w:type="spellStart"/>
      <w:r w:rsidRPr="003A72A5">
        <w:t>Interparliamentary</w:t>
      </w:r>
      <w:proofErr w:type="spellEnd"/>
      <w:r w:rsidRPr="003A72A5">
        <w:t xml:space="preserve"> EU Information Exchange website (IPEX) at the following address: </w:t>
      </w:r>
      <w:hyperlink r:id="rId1" w:history="1">
        <w:r w:rsidRPr="0092796C">
          <w:rPr>
            <w:rStyle w:val="Hyperlink"/>
          </w:rPr>
          <w:t>http://www.ipex.eu/IPEXL-WEB/search.do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E2" w:rsidRPr="003A72A5" w:rsidRDefault="00A74DE2" w:rsidP="003A7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E2" w:rsidRPr="003A72A5" w:rsidRDefault="00A74DE2" w:rsidP="003A72A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E2" w:rsidRPr="003A72A5" w:rsidRDefault="00A74DE2" w:rsidP="003A72A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3A72A5" w:rsidRDefault="001C248D" w:rsidP="003A72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3A72A5" w:rsidRDefault="001C248D" w:rsidP="003A7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58633C"/>
    <w:lvl w:ilvl="0">
      <w:start w:val="1"/>
      <w:numFmt w:val="decimal"/>
      <w:lvlText w:val="%1."/>
      <w:lvlJc w:val="left"/>
      <w:pPr>
        <w:tabs>
          <w:tab w:val="num" w:pos="1492"/>
        </w:tabs>
        <w:ind w:left="1492" w:hanging="360"/>
      </w:pPr>
    </w:lvl>
  </w:abstractNum>
  <w:abstractNum w:abstractNumId="1">
    <w:nsid w:val="FFFFFF7D"/>
    <w:multiLevelType w:val="singleLevel"/>
    <w:tmpl w:val="E016501C"/>
    <w:lvl w:ilvl="0">
      <w:start w:val="1"/>
      <w:numFmt w:val="decimal"/>
      <w:lvlText w:val="%1."/>
      <w:lvlJc w:val="left"/>
      <w:pPr>
        <w:tabs>
          <w:tab w:val="num" w:pos="1209"/>
        </w:tabs>
        <w:ind w:left="1209" w:hanging="360"/>
      </w:pPr>
    </w:lvl>
  </w:abstractNum>
  <w:abstractNum w:abstractNumId="2">
    <w:nsid w:val="FFFFFF7E"/>
    <w:multiLevelType w:val="singleLevel"/>
    <w:tmpl w:val="3AEA82E4"/>
    <w:lvl w:ilvl="0">
      <w:start w:val="1"/>
      <w:numFmt w:val="decimal"/>
      <w:lvlText w:val="%1."/>
      <w:lvlJc w:val="left"/>
      <w:pPr>
        <w:tabs>
          <w:tab w:val="num" w:pos="926"/>
        </w:tabs>
        <w:ind w:left="926" w:hanging="360"/>
      </w:pPr>
    </w:lvl>
  </w:abstractNum>
  <w:abstractNum w:abstractNumId="3">
    <w:nsid w:val="FFFFFF7F"/>
    <w:multiLevelType w:val="singleLevel"/>
    <w:tmpl w:val="479454CA"/>
    <w:lvl w:ilvl="0">
      <w:start w:val="1"/>
      <w:numFmt w:val="decimal"/>
      <w:lvlText w:val="%1."/>
      <w:lvlJc w:val="left"/>
      <w:pPr>
        <w:tabs>
          <w:tab w:val="num" w:pos="643"/>
        </w:tabs>
        <w:ind w:left="643" w:hanging="360"/>
      </w:pPr>
    </w:lvl>
  </w:abstractNum>
  <w:abstractNum w:abstractNumId="4">
    <w:nsid w:val="FFFFFF80"/>
    <w:multiLevelType w:val="singleLevel"/>
    <w:tmpl w:val="18A497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29E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EE9C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FA54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6E1F0"/>
    <w:lvl w:ilvl="0">
      <w:start w:val="1"/>
      <w:numFmt w:val="decimal"/>
      <w:lvlText w:val="%1."/>
      <w:lvlJc w:val="left"/>
      <w:pPr>
        <w:tabs>
          <w:tab w:val="num" w:pos="360"/>
        </w:tabs>
        <w:ind w:left="360" w:hanging="360"/>
      </w:pPr>
    </w:lvl>
  </w:abstractNum>
  <w:abstractNum w:abstractNumId="9">
    <w:nsid w:val="FFFFFF89"/>
    <w:multiLevelType w:val="singleLevel"/>
    <w:tmpl w:val="5D527922"/>
    <w:lvl w:ilvl="0">
      <w:start w:val="1"/>
      <w:numFmt w:val="bullet"/>
      <w:lvlText w:val=""/>
      <w:lvlJc w:val="left"/>
      <w:pPr>
        <w:tabs>
          <w:tab w:val="num" w:pos="360"/>
        </w:tabs>
        <w:ind w:left="360" w:hanging="360"/>
      </w:pPr>
      <w:rPr>
        <w:rFonts w:ascii="Symbol" w:hAnsi="Symbol" w:hint="default"/>
      </w:rPr>
    </w:lvl>
  </w:abstractNum>
  <w:abstractNum w:abstractNumId="1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nsid w:val="15CF6958"/>
    <w:multiLevelType w:val="singleLevel"/>
    <w:tmpl w:val="9F10BEC0"/>
    <w:lvl w:ilvl="0">
      <w:start w:val="9"/>
      <w:numFmt w:val="bullet"/>
      <w:lvlText w:val="-"/>
      <w:lvlJc w:val="left"/>
      <w:pPr>
        <w:tabs>
          <w:tab w:val="num" w:pos="360"/>
        </w:tabs>
        <w:ind w:left="360" w:hanging="360"/>
      </w:pPr>
      <w:rPr>
        <w:rFonts w:hint="default"/>
      </w:rPr>
    </w:lvl>
  </w:abstractNum>
  <w:abstractNum w:abstractNumId="12">
    <w:nsid w:val="162111DC"/>
    <w:multiLevelType w:val="singleLevel"/>
    <w:tmpl w:val="0E927894"/>
    <w:lvl w:ilvl="0">
      <w:start w:val="1"/>
      <w:numFmt w:val="bullet"/>
      <w:lvlText w:val="-"/>
      <w:lvlJc w:val="left"/>
      <w:pPr>
        <w:tabs>
          <w:tab w:val="num" w:pos="1211"/>
        </w:tabs>
        <w:ind w:left="1211" w:hanging="360"/>
      </w:pPr>
      <w:rPr>
        <w:rFonts w:hint="default"/>
      </w:rPr>
    </w:lvl>
  </w:abstractNum>
  <w:abstractNum w:abstractNumId="13">
    <w:nsid w:val="1C8378F0"/>
    <w:multiLevelType w:val="hybridMultilevel"/>
    <w:tmpl w:val="38348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84525"/>
    <w:multiLevelType w:val="singleLevel"/>
    <w:tmpl w:val="6792BDB4"/>
    <w:lvl w:ilvl="0">
      <w:start w:val="1"/>
      <w:numFmt w:val="decimal"/>
      <w:lvlText w:val="%1)"/>
      <w:lvlJc w:val="left"/>
      <w:pPr>
        <w:tabs>
          <w:tab w:val="num" w:pos="397"/>
        </w:tabs>
        <w:ind w:left="397" w:hanging="39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50C41B4"/>
    <w:multiLevelType w:val="hybridMultilevel"/>
    <w:tmpl w:val="AF886954"/>
    <w:lvl w:ilvl="0" w:tplc="118EE558">
      <w:start w:val="2"/>
      <w:numFmt w:val="bullet"/>
      <w:lvlText w:val="-"/>
      <w:lvlJc w:val="left"/>
      <w:pPr>
        <w:tabs>
          <w:tab w:val="num" w:pos="1601"/>
        </w:tabs>
        <w:ind w:left="1601" w:hanging="360"/>
      </w:pPr>
      <w:rPr>
        <w:rFonts w:ascii="Candara" w:eastAsia="Times New Roman" w:hAnsi="Candara" w:cs="Times New Roman" w:hint="default"/>
      </w:rPr>
    </w:lvl>
    <w:lvl w:ilvl="1" w:tplc="04150003" w:tentative="1">
      <w:start w:val="1"/>
      <w:numFmt w:val="bullet"/>
      <w:lvlText w:val="o"/>
      <w:lvlJc w:val="left"/>
      <w:pPr>
        <w:tabs>
          <w:tab w:val="num" w:pos="2636"/>
        </w:tabs>
        <w:ind w:left="2636" w:hanging="360"/>
      </w:pPr>
      <w:rPr>
        <w:rFonts w:ascii="Courier New" w:hAnsi="Courier New" w:cs="Courier New" w:hint="default"/>
      </w:rPr>
    </w:lvl>
    <w:lvl w:ilvl="2" w:tplc="04150005" w:tentative="1">
      <w:start w:val="1"/>
      <w:numFmt w:val="bullet"/>
      <w:lvlText w:val=""/>
      <w:lvlJc w:val="left"/>
      <w:pPr>
        <w:tabs>
          <w:tab w:val="num" w:pos="3356"/>
        </w:tabs>
        <w:ind w:left="3356" w:hanging="360"/>
      </w:pPr>
      <w:rPr>
        <w:rFonts w:ascii="Wingdings" w:hAnsi="Wingdings" w:hint="default"/>
      </w:rPr>
    </w:lvl>
    <w:lvl w:ilvl="3" w:tplc="04150001" w:tentative="1">
      <w:start w:val="1"/>
      <w:numFmt w:val="bullet"/>
      <w:lvlText w:val=""/>
      <w:lvlJc w:val="left"/>
      <w:pPr>
        <w:tabs>
          <w:tab w:val="num" w:pos="4076"/>
        </w:tabs>
        <w:ind w:left="4076" w:hanging="360"/>
      </w:pPr>
      <w:rPr>
        <w:rFonts w:ascii="Symbol" w:hAnsi="Symbol" w:hint="default"/>
      </w:rPr>
    </w:lvl>
    <w:lvl w:ilvl="4" w:tplc="04150003" w:tentative="1">
      <w:start w:val="1"/>
      <w:numFmt w:val="bullet"/>
      <w:lvlText w:val="o"/>
      <w:lvlJc w:val="left"/>
      <w:pPr>
        <w:tabs>
          <w:tab w:val="num" w:pos="4796"/>
        </w:tabs>
        <w:ind w:left="4796" w:hanging="360"/>
      </w:pPr>
      <w:rPr>
        <w:rFonts w:ascii="Courier New" w:hAnsi="Courier New" w:cs="Courier New" w:hint="default"/>
      </w:rPr>
    </w:lvl>
    <w:lvl w:ilvl="5" w:tplc="04150005" w:tentative="1">
      <w:start w:val="1"/>
      <w:numFmt w:val="bullet"/>
      <w:lvlText w:val=""/>
      <w:lvlJc w:val="left"/>
      <w:pPr>
        <w:tabs>
          <w:tab w:val="num" w:pos="5516"/>
        </w:tabs>
        <w:ind w:left="5516" w:hanging="360"/>
      </w:pPr>
      <w:rPr>
        <w:rFonts w:ascii="Wingdings" w:hAnsi="Wingdings" w:hint="default"/>
      </w:rPr>
    </w:lvl>
    <w:lvl w:ilvl="6" w:tplc="04150001" w:tentative="1">
      <w:start w:val="1"/>
      <w:numFmt w:val="bullet"/>
      <w:lvlText w:val=""/>
      <w:lvlJc w:val="left"/>
      <w:pPr>
        <w:tabs>
          <w:tab w:val="num" w:pos="6236"/>
        </w:tabs>
        <w:ind w:left="6236" w:hanging="360"/>
      </w:pPr>
      <w:rPr>
        <w:rFonts w:ascii="Symbol" w:hAnsi="Symbol" w:hint="default"/>
      </w:rPr>
    </w:lvl>
    <w:lvl w:ilvl="7" w:tplc="04150003" w:tentative="1">
      <w:start w:val="1"/>
      <w:numFmt w:val="bullet"/>
      <w:lvlText w:val="o"/>
      <w:lvlJc w:val="left"/>
      <w:pPr>
        <w:tabs>
          <w:tab w:val="num" w:pos="6956"/>
        </w:tabs>
        <w:ind w:left="6956" w:hanging="360"/>
      </w:pPr>
      <w:rPr>
        <w:rFonts w:ascii="Courier New" w:hAnsi="Courier New" w:cs="Courier New" w:hint="default"/>
      </w:rPr>
    </w:lvl>
    <w:lvl w:ilvl="8" w:tplc="04150005" w:tentative="1">
      <w:start w:val="1"/>
      <w:numFmt w:val="bullet"/>
      <w:lvlText w:val=""/>
      <w:lvlJc w:val="left"/>
      <w:pPr>
        <w:tabs>
          <w:tab w:val="num" w:pos="7676"/>
        </w:tabs>
        <w:ind w:left="7676" w:hanging="360"/>
      </w:pPr>
      <w:rPr>
        <w:rFonts w:ascii="Wingdings" w:hAnsi="Wingdings" w:hint="default"/>
      </w:r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D866491"/>
    <w:multiLevelType w:val="singleLevel"/>
    <w:tmpl w:val="9F10BEC0"/>
    <w:lvl w:ilvl="0">
      <w:start w:val="9"/>
      <w:numFmt w:val="bullet"/>
      <w:lvlText w:val="-"/>
      <w:lvlJc w:val="left"/>
      <w:pPr>
        <w:tabs>
          <w:tab w:val="num" w:pos="360"/>
        </w:tabs>
        <w:ind w:left="360" w:hanging="360"/>
      </w:pPr>
      <w:rPr>
        <w:rFonts w:hint="default"/>
      </w:rPr>
    </w:lvl>
  </w:abstractNum>
  <w:abstractNum w:abstractNumId="25">
    <w:nsid w:val="63A757D5"/>
    <w:multiLevelType w:val="singleLevel"/>
    <w:tmpl w:val="92B6EFF2"/>
    <w:lvl w:ilvl="0">
      <w:start w:val="1"/>
      <w:numFmt w:val="lowerLetter"/>
      <w:lvlText w:val="%1)"/>
      <w:lvlJc w:val="left"/>
      <w:pPr>
        <w:tabs>
          <w:tab w:val="num" w:pos="786"/>
        </w:tabs>
        <w:ind w:left="786" w:hanging="360"/>
      </w:pPr>
      <w:rPr>
        <w:rFonts w:hint="default"/>
      </w:rPr>
    </w:lvl>
  </w:abstractNum>
  <w:abstractNum w:abstractNumId="26">
    <w:nsid w:val="6D291A39"/>
    <w:multiLevelType w:val="singleLevel"/>
    <w:tmpl w:val="7B76F776"/>
    <w:lvl w:ilvl="0">
      <w:start w:val="1"/>
      <w:numFmt w:val="upperRoman"/>
      <w:lvlText w:val="%1."/>
      <w:lvlJc w:val="left"/>
      <w:pPr>
        <w:tabs>
          <w:tab w:val="num" w:pos="720"/>
        </w:tabs>
        <w:ind w:left="720" w:hanging="720"/>
      </w:pPr>
    </w:lvl>
  </w:abstractNum>
  <w:abstractNum w:abstractNumId="27">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8">
    <w:nsid w:val="6E8B166B"/>
    <w:multiLevelType w:val="hybridMultilevel"/>
    <w:tmpl w:val="ED125AF2"/>
    <w:lvl w:ilvl="0" w:tplc="9ACAB45E">
      <w:start w:val="1"/>
      <w:numFmt w:val="bullet"/>
      <w:lvlText w:val="-"/>
      <w:lvlJc w:val="left"/>
      <w:pPr>
        <w:ind w:left="3010" w:hanging="360"/>
      </w:pPr>
      <w:rPr>
        <w:rFonts w:ascii="Times New Roman" w:eastAsia="Times New Roman" w:hAnsi="Times New Roman" w:cs="Times New Roman" w:hint="default"/>
      </w:rPr>
    </w:lvl>
    <w:lvl w:ilvl="1" w:tplc="04150003" w:tentative="1">
      <w:start w:val="1"/>
      <w:numFmt w:val="bullet"/>
      <w:lvlText w:val="o"/>
      <w:lvlJc w:val="left"/>
      <w:pPr>
        <w:ind w:left="3730" w:hanging="360"/>
      </w:pPr>
      <w:rPr>
        <w:rFonts w:ascii="Courier New" w:hAnsi="Courier New" w:cs="Courier New" w:hint="default"/>
      </w:rPr>
    </w:lvl>
    <w:lvl w:ilvl="2" w:tplc="04150005" w:tentative="1">
      <w:start w:val="1"/>
      <w:numFmt w:val="bullet"/>
      <w:lvlText w:val=""/>
      <w:lvlJc w:val="left"/>
      <w:pPr>
        <w:ind w:left="4450" w:hanging="360"/>
      </w:pPr>
      <w:rPr>
        <w:rFonts w:ascii="Wingdings" w:hAnsi="Wingdings" w:hint="default"/>
      </w:rPr>
    </w:lvl>
    <w:lvl w:ilvl="3" w:tplc="04150001" w:tentative="1">
      <w:start w:val="1"/>
      <w:numFmt w:val="bullet"/>
      <w:lvlText w:val=""/>
      <w:lvlJc w:val="left"/>
      <w:pPr>
        <w:ind w:left="5170" w:hanging="360"/>
      </w:pPr>
      <w:rPr>
        <w:rFonts w:ascii="Symbol" w:hAnsi="Symbol" w:hint="default"/>
      </w:rPr>
    </w:lvl>
    <w:lvl w:ilvl="4" w:tplc="04150003" w:tentative="1">
      <w:start w:val="1"/>
      <w:numFmt w:val="bullet"/>
      <w:lvlText w:val="o"/>
      <w:lvlJc w:val="left"/>
      <w:pPr>
        <w:ind w:left="5890" w:hanging="360"/>
      </w:pPr>
      <w:rPr>
        <w:rFonts w:ascii="Courier New" w:hAnsi="Courier New" w:cs="Courier New" w:hint="default"/>
      </w:rPr>
    </w:lvl>
    <w:lvl w:ilvl="5" w:tplc="04150005" w:tentative="1">
      <w:start w:val="1"/>
      <w:numFmt w:val="bullet"/>
      <w:lvlText w:val=""/>
      <w:lvlJc w:val="left"/>
      <w:pPr>
        <w:ind w:left="6610" w:hanging="360"/>
      </w:pPr>
      <w:rPr>
        <w:rFonts w:ascii="Wingdings" w:hAnsi="Wingdings" w:hint="default"/>
      </w:rPr>
    </w:lvl>
    <w:lvl w:ilvl="6" w:tplc="04150001" w:tentative="1">
      <w:start w:val="1"/>
      <w:numFmt w:val="bullet"/>
      <w:lvlText w:val=""/>
      <w:lvlJc w:val="left"/>
      <w:pPr>
        <w:ind w:left="7330" w:hanging="360"/>
      </w:pPr>
      <w:rPr>
        <w:rFonts w:ascii="Symbol" w:hAnsi="Symbol" w:hint="default"/>
      </w:rPr>
    </w:lvl>
    <w:lvl w:ilvl="7" w:tplc="04150003" w:tentative="1">
      <w:start w:val="1"/>
      <w:numFmt w:val="bullet"/>
      <w:lvlText w:val="o"/>
      <w:lvlJc w:val="left"/>
      <w:pPr>
        <w:ind w:left="8050" w:hanging="360"/>
      </w:pPr>
      <w:rPr>
        <w:rFonts w:ascii="Courier New" w:hAnsi="Courier New" w:cs="Courier New" w:hint="default"/>
      </w:rPr>
    </w:lvl>
    <w:lvl w:ilvl="8" w:tplc="04150005" w:tentative="1">
      <w:start w:val="1"/>
      <w:numFmt w:val="bullet"/>
      <w:lvlText w:val=""/>
      <w:lvlJc w:val="left"/>
      <w:pPr>
        <w:ind w:left="8770" w:hanging="360"/>
      </w:pPr>
      <w:rPr>
        <w:rFonts w:ascii="Wingdings" w:hAnsi="Wingdings" w:hint="default"/>
      </w:rPr>
    </w:lvl>
  </w:abstractNum>
  <w:abstractNum w:abstractNumId="29">
    <w:nsid w:val="6EBA2790"/>
    <w:multiLevelType w:val="singleLevel"/>
    <w:tmpl w:val="03E60494"/>
    <w:lvl w:ilvl="0">
      <w:numFmt w:val="bullet"/>
      <w:lvlText w:val="-"/>
      <w:lvlJc w:val="left"/>
      <w:pPr>
        <w:tabs>
          <w:tab w:val="num" w:pos="360"/>
        </w:tabs>
        <w:ind w:left="360" w:hanging="360"/>
      </w:pPr>
      <w:rPr>
        <w:rFonts w:hint="default"/>
      </w:rPr>
    </w:lvl>
  </w:abstractNum>
  <w:abstractNum w:abstractNumId="30">
    <w:nsid w:val="76600E1C"/>
    <w:multiLevelType w:val="singleLevel"/>
    <w:tmpl w:val="917A9C24"/>
    <w:lvl w:ilvl="0">
      <w:start w:val="1"/>
      <w:numFmt w:val="decimal"/>
      <w:lvlText w:val="%1)"/>
      <w:lvlJc w:val="left"/>
      <w:pPr>
        <w:tabs>
          <w:tab w:val="num" w:pos="360"/>
        </w:tabs>
        <w:ind w:left="360" w:hanging="360"/>
      </w:pPr>
      <w:rPr>
        <w:rFonts w:hint="default"/>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8"/>
  </w:num>
  <w:num w:numId="2">
    <w:abstractNumId w:val="21"/>
  </w:num>
  <w:num w:numId="3">
    <w:abstractNumId w:val="31"/>
  </w:num>
  <w:num w:numId="4">
    <w:abstractNumId w:val="15"/>
  </w:num>
  <w:num w:numId="5">
    <w:abstractNumId w:val="23"/>
  </w:num>
  <w:num w:numId="6">
    <w:abstractNumId w:val="20"/>
  </w:num>
  <w:num w:numId="7">
    <w:abstractNumId w:val="22"/>
  </w:num>
  <w:num w:numId="8">
    <w:abstractNumId w:val="27"/>
  </w:num>
  <w:num w:numId="9">
    <w:abstractNumId w:val="17"/>
  </w:num>
  <w:num w:numId="10">
    <w:abstractNumId w:val="10"/>
  </w:num>
  <w:num w:numId="11">
    <w:abstractNumId w:val="16"/>
  </w:num>
  <w:num w:numId="12">
    <w:abstractNumId w:val="16"/>
  </w:num>
  <w:num w:numId="13">
    <w:abstractNumId w:val="16"/>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4"/>
  </w:num>
  <w:num w:numId="27">
    <w:abstractNumId w:val="12"/>
  </w:num>
  <w:num w:numId="28">
    <w:abstractNumId w:val="26"/>
  </w:num>
  <w:num w:numId="29">
    <w:abstractNumId w:val="29"/>
  </w:num>
  <w:num w:numId="30">
    <w:abstractNumId w:val="13"/>
  </w:num>
  <w:num w:numId="31">
    <w:abstractNumId w:val="14"/>
  </w:num>
  <w:num w:numId="32">
    <w:abstractNumId w:val="19"/>
  </w:num>
  <w:num w:numId="33">
    <w:abstractNumId w:val="28"/>
  </w:num>
  <w:num w:numId="34">
    <w:abstractNumId w:val="30"/>
  </w:num>
  <w:num w:numId="35">
    <w:abstractNumId w:val="2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Page"/>
    <w:footnote w:id="-1"/>
    <w:footnote w:id="0"/>
  </w:footnotePr>
  <w:endnotePr>
    <w:numFmt w:val="decimal"/>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Council" w:val="true"/>
    <w:docVar w:name="CoverPageOnWordDoc" w:val="true"/>
    <w:docVar w:name="DocuWriteMetaData" w:val="&lt;metadataset docuwriteversion=&quot;3.6.7&quot; technicalblockguid=&quot;160a47fc-1168-4b46-9cd0-8b549f96361d&quot;&gt;_x000d__x000a_  &lt;metadata key=&quot;md_DocumentLanguages&quot;&gt;_x000d__x000a_    &lt;basicdatatypelist&gt;_x000d__x000a_      &lt;language key=&quot;EN&quot; text=&quot;EN&quot; /&gt;_x000d__x000a_      &lt;language key=&quot;PL&quot; text=&quot;PL&quot; /&gt;_x000d__x000a_    &lt;/basicdatatypelist&gt;_x000d__x000a_  &lt;/metadata&gt;_x000d__x000a_  &lt;metadata key=&quot;md_OriginalLanguages&quot;&gt;_x000d__x000a_    &lt;basicdatatypelist&gt;_x000d__x000a_      &lt;language key=&quot;EN&quot; text=&quot;EN&quot; /&gt;_x000d__x000a_      &lt;language key=&quot;PL&quot; text=&quot;PL&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06&lt;/text&gt;_x000d__x000a_  &lt;/metadata&gt;_x000d__x000a_  &lt;metadata key=&quot;md_Prefix&quot;&gt;_x000d__x000a_    &lt;text&gt;&lt;/text&gt;_x000d__x000a_  &lt;/metadata&gt;_x000d__x000a_  &lt;metadata key=&quot;md_DocumentNumber&quot;&gt;_x000d__x000a_    &lt;text&gt;1272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SIM 105&lt;/text&gt;_x000d__x000a_      &lt;text&gt;CODEC 1300&lt;/text&gt;_x000d__x000a_      &lt;text&gt;INST 346&lt;/text&gt;_x000d__x000a_      &lt;text&gt;PARLNAT 10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208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Polish Senate&quot;&gt;&amp;lt;FlowDocument PagePadding=&quot;5,0,5,0&quot; AllowDrop=&quot;True&quot; xmlns=&quot;http://schemas.microsoft.com/winfx/2006/xaml/presentation&quot;&amp;gt;&amp;lt;Paragraph&amp;gt;Polish Senate&amp;lt;/Paragraph&amp;gt;&amp;lt;/FlowDocument&amp;gt;&lt;/xaml&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15-10-05&lt;/text&gt;_x000d__x000a_  &lt;/metadata&gt;_x000d__x000a_  &lt;metadata key=&quot;md_FreeDate&quot;&gt;_x000d__x000a_    &lt;textlist /&gt;_x000d__x000a_  &lt;/metadata&gt;_x000d__x000a_  &lt;metadata key=&quot;md_PrecedingDocuments&quot;&gt;_x000d__x000a_    &lt;textlist&gt;_x000d__x000a_      &lt;text&gt;ST 11843/15, COM (2015) 450&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doc. ST 11843/15 ASIM 79 CODEC 1167 - COM (2015) 450 ]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amp;lt;/Run&amp;gt;&amp;lt;/Paragraph&amp;gt;&amp;lt;Paragraph FontFamily=&quot;Georgia&quot; FontSize=&quot;16&quot;&amp;gt;&amp;lt;Run FontFamily=&quot;Arial Unicode MS&quot; xml:lang=&quot;en-gb&quot; xml:space=&quot;preserve&quot;&amp;gt;[doc. &amp;lt;/Run&amp;gt;&amp;lt;Run FontFamily=&quot;Arial Unicode MS&quot; xml:space=&quot;preserve&quot;&amp;gt;ST 11843/15 ASIM 79 CODEC 1167 &amp;lt;/Run&amp;gt;&amp;lt;Run FontFamily=&quot;Arial Unicode MS&quot; xml:lang=&quot;en-gb&quot; xml:space=&quot;preserve&quot;&amp;gt;- &amp;lt;/Run&amp;gt;&amp;lt;Run FontFamily=&quot;Arial Unicode MS&quot; xml:space=&quot;preserve&quot;&amp;gt;COM (2015) 450 &amp;lt;/Run&amp;gt;&amp;lt;Run FontFamily=&quot;Arial Unicode MS&quot; xml:lang=&quot;en-gb&quot;&amp;gt;]&amp;lt;/Run&amp;gt;&amp;lt;/Paragraph&amp;gt;&amp;lt;Paragraph Margin=&quot;0,Auto,Auto,Auto&quot; FontFamily=&quot;Georgia&quot; FontSize=&quot;16&quot;&amp;gt;&amp;lt;Run FontFamily=&quot;Arial Unicode MS&quot; xml:lang=&quot;en-gb&quot; xml:space=&quot;preserve&quot;&amp;gt;- &amp;lt;/Run&amp;gt;&amp;lt;Run FontFamily=&quot;Arial Unicode MS&quot;&amp;gt;Opinion&amp;lt;/Run&amp;gt;&amp;lt;Hyperlink NavigateUri=&quot;{x:Null}&quot; Style=&quot;{x:Null}&quot; Name=&quot;Footnote1&quot; Tag=&quot;{}{fn}Translation(s) of the opinion may be available on the Interparliamentary EU Information Exchange website (IPEX) at the following address: http://www.ipex.eu/IPEXL-WEB/search.do{/fn}&quot; ToolTip=&quot;Translation(s) of the opinion may be available on the Interparliamentary EU Information Exchange website (IPEX) at the following address: http://www.ipex.eu/IPEXL-WEB/search.do&quot;&amp;gt;&amp;lt;Hyperlink.TextDecorations&amp;gt;&amp;lt;TextDecorationCollection /&amp;gt;&amp;lt;/Hyperlink.TextDecorations&amp;gt;&amp;lt;Run BaselineAlignment=&quot;Superscript&quot;&amp;gt;1&amp;lt;/Run&amp;gt;&amp;lt;/Hyperlink&amp;gt;&amp;lt;Run FontFamily=&quot;Arial Unicode MS&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D 1B&lt;/text&gt;_x000d__x000a_  &lt;/metadata&gt;_x000d__x000a_  &lt;metadata key=&quot;md_Initials&quot;&gt;_x000d__x000a_    &lt;text&gt;ZH/p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22711B"/>
    <w:rsid w:val="00007A54"/>
    <w:rsid w:val="000449B4"/>
    <w:rsid w:val="0005086A"/>
    <w:rsid w:val="00054C4B"/>
    <w:rsid w:val="00067F31"/>
    <w:rsid w:val="00075910"/>
    <w:rsid w:val="00083FBC"/>
    <w:rsid w:val="000867FF"/>
    <w:rsid w:val="00092472"/>
    <w:rsid w:val="00093828"/>
    <w:rsid w:val="0009569C"/>
    <w:rsid w:val="000A3826"/>
    <w:rsid w:val="000D2B33"/>
    <w:rsid w:val="000E1C75"/>
    <w:rsid w:val="0012665C"/>
    <w:rsid w:val="00136658"/>
    <w:rsid w:val="0014406C"/>
    <w:rsid w:val="00156CB3"/>
    <w:rsid w:val="00164E11"/>
    <w:rsid w:val="00166126"/>
    <w:rsid w:val="00171F08"/>
    <w:rsid w:val="0017477F"/>
    <w:rsid w:val="00174E40"/>
    <w:rsid w:val="00174EC6"/>
    <w:rsid w:val="001915AA"/>
    <w:rsid w:val="001C248D"/>
    <w:rsid w:val="001D60D8"/>
    <w:rsid w:val="001F59C5"/>
    <w:rsid w:val="001F7964"/>
    <w:rsid w:val="0020127F"/>
    <w:rsid w:val="00204F63"/>
    <w:rsid w:val="00220AE0"/>
    <w:rsid w:val="0022170F"/>
    <w:rsid w:val="002221E9"/>
    <w:rsid w:val="0022250D"/>
    <w:rsid w:val="0022711B"/>
    <w:rsid w:val="00234D95"/>
    <w:rsid w:val="0024283F"/>
    <w:rsid w:val="0025703C"/>
    <w:rsid w:val="00282319"/>
    <w:rsid w:val="002A000E"/>
    <w:rsid w:val="002B28C5"/>
    <w:rsid w:val="002C2564"/>
    <w:rsid w:val="002D0849"/>
    <w:rsid w:val="002D1EFE"/>
    <w:rsid w:val="002D5B64"/>
    <w:rsid w:val="002E46F1"/>
    <w:rsid w:val="002F1116"/>
    <w:rsid w:val="00304C1B"/>
    <w:rsid w:val="00304DEB"/>
    <w:rsid w:val="00316D9A"/>
    <w:rsid w:val="00323DF1"/>
    <w:rsid w:val="003317EC"/>
    <w:rsid w:val="00335A55"/>
    <w:rsid w:val="00365A1E"/>
    <w:rsid w:val="00376FF1"/>
    <w:rsid w:val="003812B9"/>
    <w:rsid w:val="0039090B"/>
    <w:rsid w:val="00392040"/>
    <w:rsid w:val="003A72A5"/>
    <w:rsid w:val="003B4BBB"/>
    <w:rsid w:val="003D12D6"/>
    <w:rsid w:val="003D5361"/>
    <w:rsid w:val="003E4766"/>
    <w:rsid w:val="003F010B"/>
    <w:rsid w:val="003F7522"/>
    <w:rsid w:val="00410588"/>
    <w:rsid w:val="00426C28"/>
    <w:rsid w:val="00434BDE"/>
    <w:rsid w:val="00445F2C"/>
    <w:rsid w:val="00446EA1"/>
    <w:rsid w:val="00462C5A"/>
    <w:rsid w:val="00462CBB"/>
    <w:rsid w:val="00465B83"/>
    <w:rsid w:val="00490932"/>
    <w:rsid w:val="00491ACF"/>
    <w:rsid w:val="004D202F"/>
    <w:rsid w:val="004E09B5"/>
    <w:rsid w:val="004E30A8"/>
    <w:rsid w:val="004F1F3A"/>
    <w:rsid w:val="005115B2"/>
    <w:rsid w:val="005176C6"/>
    <w:rsid w:val="00517AFA"/>
    <w:rsid w:val="0053148A"/>
    <w:rsid w:val="005555EB"/>
    <w:rsid w:val="00573235"/>
    <w:rsid w:val="00591446"/>
    <w:rsid w:val="005C1DE3"/>
    <w:rsid w:val="005C4936"/>
    <w:rsid w:val="005D11D1"/>
    <w:rsid w:val="005D3C88"/>
    <w:rsid w:val="005F45C3"/>
    <w:rsid w:val="005F793E"/>
    <w:rsid w:val="00604699"/>
    <w:rsid w:val="00615C14"/>
    <w:rsid w:val="006164E1"/>
    <w:rsid w:val="00624C6D"/>
    <w:rsid w:val="00627335"/>
    <w:rsid w:val="0065291B"/>
    <w:rsid w:val="006609FB"/>
    <w:rsid w:val="00681EB1"/>
    <w:rsid w:val="0069311C"/>
    <w:rsid w:val="006937B9"/>
    <w:rsid w:val="006A0D97"/>
    <w:rsid w:val="006B3FE1"/>
    <w:rsid w:val="006C6C26"/>
    <w:rsid w:val="006D2C19"/>
    <w:rsid w:val="006E5355"/>
    <w:rsid w:val="006F22F6"/>
    <w:rsid w:val="006F3E3F"/>
    <w:rsid w:val="0075359F"/>
    <w:rsid w:val="00754CB7"/>
    <w:rsid w:val="007651B0"/>
    <w:rsid w:val="007654CE"/>
    <w:rsid w:val="0076794C"/>
    <w:rsid w:val="00775244"/>
    <w:rsid w:val="0077561E"/>
    <w:rsid w:val="00781D05"/>
    <w:rsid w:val="007838EE"/>
    <w:rsid w:val="007B0D74"/>
    <w:rsid w:val="007B6E58"/>
    <w:rsid w:val="007D0248"/>
    <w:rsid w:val="007F38E2"/>
    <w:rsid w:val="007F7819"/>
    <w:rsid w:val="00805813"/>
    <w:rsid w:val="0081789E"/>
    <w:rsid w:val="00820D9C"/>
    <w:rsid w:val="0083043C"/>
    <w:rsid w:val="00853B46"/>
    <w:rsid w:val="0088319A"/>
    <w:rsid w:val="008B3E59"/>
    <w:rsid w:val="008D04D2"/>
    <w:rsid w:val="008D3B70"/>
    <w:rsid w:val="008D3F5F"/>
    <w:rsid w:val="008E6CE1"/>
    <w:rsid w:val="008F0F94"/>
    <w:rsid w:val="00901A25"/>
    <w:rsid w:val="00907A87"/>
    <w:rsid w:val="009135EF"/>
    <w:rsid w:val="00925BB6"/>
    <w:rsid w:val="0092796C"/>
    <w:rsid w:val="00950B14"/>
    <w:rsid w:val="00966B04"/>
    <w:rsid w:val="009700CD"/>
    <w:rsid w:val="009846A3"/>
    <w:rsid w:val="00995506"/>
    <w:rsid w:val="009A1D2C"/>
    <w:rsid w:val="009D15C2"/>
    <w:rsid w:val="009E7878"/>
    <w:rsid w:val="009F0FE5"/>
    <w:rsid w:val="00A12F9B"/>
    <w:rsid w:val="00A3456F"/>
    <w:rsid w:val="00A55EB4"/>
    <w:rsid w:val="00A56CF2"/>
    <w:rsid w:val="00A74DE2"/>
    <w:rsid w:val="00A83A74"/>
    <w:rsid w:val="00A8452C"/>
    <w:rsid w:val="00A9225C"/>
    <w:rsid w:val="00A9613B"/>
    <w:rsid w:val="00AA3A04"/>
    <w:rsid w:val="00AC6F99"/>
    <w:rsid w:val="00AD020C"/>
    <w:rsid w:val="00AE6D64"/>
    <w:rsid w:val="00B01529"/>
    <w:rsid w:val="00B104EA"/>
    <w:rsid w:val="00B112C8"/>
    <w:rsid w:val="00B40E1C"/>
    <w:rsid w:val="00B55A5E"/>
    <w:rsid w:val="00B722DD"/>
    <w:rsid w:val="00B845E7"/>
    <w:rsid w:val="00B9096D"/>
    <w:rsid w:val="00B97461"/>
    <w:rsid w:val="00BC3FE8"/>
    <w:rsid w:val="00BE0095"/>
    <w:rsid w:val="00BE0D86"/>
    <w:rsid w:val="00BE7C2A"/>
    <w:rsid w:val="00BF1051"/>
    <w:rsid w:val="00C22400"/>
    <w:rsid w:val="00C351CC"/>
    <w:rsid w:val="00C4415B"/>
    <w:rsid w:val="00C502FD"/>
    <w:rsid w:val="00C548E9"/>
    <w:rsid w:val="00C55246"/>
    <w:rsid w:val="00C66DC8"/>
    <w:rsid w:val="00C67AD9"/>
    <w:rsid w:val="00C82663"/>
    <w:rsid w:val="00C83670"/>
    <w:rsid w:val="00C86DDC"/>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852EB"/>
    <w:rsid w:val="00D954D7"/>
    <w:rsid w:val="00D96E50"/>
    <w:rsid w:val="00D97143"/>
    <w:rsid w:val="00DA36BB"/>
    <w:rsid w:val="00DC015F"/>
    <w:rsid w:val="00DC0246"/>
    <w:rsid w:val="00DD54E0"/>
    <w:rsid w:val="00DE1D55"/>
    <w:rsid w:val="00DE42A7"/>
    <w:rsid w:val="00DF2DF3"/>
    <w:rsid w:val="00E0581F"/>
    <w:rsid w:val="00E3428E"/>
    <w:rsid w:val="00E40BDE"/>
    <w:rsid w:val="00E43EC1"/>
    <w:rsid w:val="00E45613"/>
    <w:rsid w:val="00E5556D"/>
    <w:rsid w:val="00E56089"/>
    <w:rsid w:val="00EB3FB2"/>
    <w:rsid w:val="00EC0A2A"/>
    <w:rsid w:val="00EE00BA"/>
    <w:rsid w:val="00EE6E72"/>
    <w:rsid w:val="00EF1C84"/>
    <w:rsid w:val="00F030A6"/>
    <w:rsid w:val="00F1732C"/>
    <w:rsid w:val="00F42ECF"/>
    <w:rsid w:val="00F64303"/>
    <w:rsid w:val="00F75257"/>
    <w:rsid w:val="00F91457"/>
    <w:rsid w:val="00FA264E"/>
    <w:rsid w:val="00FB16BD"/>
    <w:rsid w:val="00FE7039"/>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pex.eu/IPEXL-WEB/search.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C803-F581-4B9F-8B8D-6D0C4C9C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452</Words>
  <Characters>2380</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RUBIN Sylvia</dc:creator>
  <cp:lastModifiedBy>FILIPKOVA Petra</cp:lastModifiedBy>
  <cp:revision>5</cp:revision>
  <cp:lastPrinted>2015-10-06T09:33:00Z</cp:lastPrinted>
  <dcterms:created xsi:type="dcterms:W3CDTF">2015-10-06T10:19:00Z</dcterms:created>
  <dcterms:modified xsi:type="dcterms:W3CDTF">2015-10-06T14:37:00Z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