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273126" w:rsidRDefault="007B1D98" w:rsidP="00273126">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d5a7832-ed2f-4ba4-b365-62c259fe5678_0" style="width:568.5pt;height:396pt">
            <v:imagedata r:id="rId9" o:title=""/>
          </v:shape>
        </w:pict>
      </w:r>
      <w:bookmarkEnd w:id="0"/>
    </w:p>
    <w:p w:rsidR="00204F56" w:rsidRDefault="00204F56" w:rsidP="00F407AF">
      <w:pPr>
        <w:rPr>
          <w:lang w:val="fr-BE"/>
        </w:rPr>
        <w:sectPr w:rsidR="00204F56" w:rsidSect="00273126">
          <w:footerReference w:type="default" r:id="rId10"/>
          <w:footerReference w:type="first" r:id="rId11"/>
          <w:footnotePr>
            <w:numRestart w:val="eachPage"/>
          </w:footnotePr>
          <w:pgSz w:w="11907" w:h="16840" w:code="9"/>
          <w:pgMar w:top="624" w:right="1134" w:bottom="1134" w:left="1134" w:header="567" w:footer="567" w:gutter="0"/>
          <w:pgNumType w:start="0"/>
          <w:cols w:space="708"/>
          <w:titlePg/>
          <w:docGrid w:linePitch="360"/>
        </w:sectPr>
      </w:pPr>
    </w:p>
    <w:p w:rsidR="00EE7F32" w:rsidRPr="00543B6E" w:rsidRDefault="00EE7F32" w:rsidP="00BB7AB7">
      <w:pPr>
        <w:pStyle w:val="Typedudocument"/>
        <w:rPr>
          <w:lang w:val="fr-BE"/>
        </w:rPr>
      </w:pPr>
      <w:r w:rsidRPr="00543B6E">
        <w:rPr>
          <w:lang w:val="fr-BE"/>
        </w:rPr>
        <w:lastRenderedPageBreak/>
        <w:t xml:space="preserve">RÈGLEMENT </w:t>
      </w:r>
      <w:r w:rsidR="00F407AF">
        <w:rPr>
          <w:lang w:val="fr-BE"/>
        </w:rPr>
        <w:t>(UE) 2015/…</w:t>
      </w:r>
      <w:r w:rsidR="00F407AF">
        <w:rPr>
          <w:lang w:val="fr-BE"/>
        </w:rPr>
        <w:br/>
      </w:r>
      <w:r w:rsidRPr="00543B6E">
        <w:rPr>
          <w:lang w:val="fr-BE"/>
        </w:rPr>
        <w:t>DU PARLEMENT EUROPÉEN ET DU CONSEIL</w:t>
      </w:r>
    </w:p>
    <w:p w:rsidR="00BB7AB7" w:rsidRPr="00204F56" w:rsidRDefault="00BB7AB7" w:rsidP="00BB7AB7">
      <w:pPr>
        <w:pStyle w:val="Datedadoption"/>
        <w:rPr>
          <w:lang w:val="fr-BE"/>
        </w:rPr>
      </w:pPr>
      <w:r w:rsidRPr="00204F56">
        <w:rPr>
          <w:lang w:val="fr-BE"/>
        </w:rPr>
        <w:t>du</w:t>
      </w:r>
      <w:r w:rsidR="00E023B5" w:rsidRPr="00204F56">
        <w:rPr>
          <w:lang w:val="fr-BE"/>
        </w:rPr>
        <w:t xml:space="preserve"> …</w:t>
      </w:r>
    </w:p>
    <w:p w:rsidR="00EE7F32" w:rsidRPr="00204F56" w:rsidRDefault="00EE7F32" w:rsidP="00F407AF">
      <w:pPr>
        <w:pStyle w:val="Titreobjet"/>
        <w:rPr>
          <w:lang w:val="fr-BE"/>
        </w:rPr>
      </w:pPr>
      <w:r w:rsidRPr="00204F56">
        <w:rPr>
          <w:lang w:val="fr-BE"/>
        </w:rPr>
        <w:t xml:space="preserve">établissant des mesures relatives à </w:t>
      </w:r>
      <w:r w:rsidR="006606B4" w:rsidRPr="00204F56">
        <w:rPr>
          <w:lang w:val="fr-BE"/>
        </w:rPr>
        <w:t xml:space="preserve">l'accès à </w:t>
      </w:r>
      <w:r w:rsidR="006E1BE1" w:rsidRPr="00204F56">
        <w:rPr>
          <w:lang w:val="fr-BE"/>
        </w:rPr>
        <w:t xml:space="preserve">un </w:t>
      </w:r>
      <w:r w:rsidR="00F407AF">
        <w:rPr>
          <w:lang w:val="fr-BE"/>
        </w:rPr>
        <w:t>internet ouvert</w:t>
      </w:r>
      <w:r w:rsidR="00F407AF">
        <w:rPr>
          <w:lang w:val="fr-BE"/>
        </w:rPr>
        <w:br/>
      </w:r>
      <w:r w:rsidRPr="00204F56">
        <w:rPr>
          <w:lang w:val="fr-BE"/>
        </w:rPr>
        <w:t xml:space="preserve">et modifiant </w:t>
      </w:r>
      <w:r w:rsidR="008F5231" w:rsidRPr="00204F56">
        <w:rPr>
          <w:lang w:val="fr-BE"/>
        </w:rPr>
        <w:t>la directive 2002</w:t>
      </w:r>
      <w:r w:rsidR="00F407AF">
        <w:rPr>
          <w:lang w:val="fr-BE"/>
        </w:rPr>
        <w:t xml:space="preserve">/22/CE </w:t>
      </w:r>
      <w:r w:rsidR="00A700E4" w:rsidRPr="00204F56">
        <w:rPr>
          <w:lang w:val="fr-BE"/>
        </w:rPr>
        <w:t>concernant</w:t>
      </w:r>
      <w:r w:rsidR="00F407AF">
        <w:rPr>
          <w:lang w:val="fr-BE"/>
        </w:rPr>
        <w:t xml:space="preserve"> le service universel</w:t>
      </w:r>
      <w:r w:rsidR="00F407AF">
        <w:rPr>
          <w:lang w:val="fr-BE"/>
        </w:rPr>
        <w:br/>
      </w:r>
      <w:r w:rsidR="008F5231" w:rsidRPr="00204F56">
        <w:rPr>
          <w:lang w:val="fr-BE"/>
        </w:rPr>
        <w:t>et les droits de</w:t>
      </w:r>
      <w:r w:rsidR="00A700E4" w:rsidRPr="00204F56">
        <w:rPr>
          <w:lang w:val="fr-BE"/>
        </w:rPr>
        <w:t>s</w:t>
      </w:r>
      <w:r w:rsidR="008F5231" w:rsidRPr="00204F56">
        <w:rPr>
          <w:lang w:val="fr-BE"/>
        </w:rPr>
        <w:t xml:space="preserve"> utilisateur</w:t>
      </w:r>
      <w:r w:rsidR="00A700E4" w:rsidRPr="00204F56">
        <w:rPr>
          <w:lang w:val="fr-BE"/>
        </w:rPr>
        <w:t>s</w:t>
      </w:r>
      <w:r w:rsidR="008F5231" w:rsidRPr="00204F56">
        <w:rPr>
          <w:lang w:val="fr-BE"/>
        </w:rPr>
        <w:t xml:space="preserve"> </w:t>
      </w:r>
      <w:r w:rsidR="00A700E4" w:rsidRPr="00204F56">
        <w:rPr>
          <w:lang w:val="fr-BE"/>
        </w:rPr>
        <w:t>au regard des</w:t>
      </w:r>
      <w:r w:rsidR="00F407AF">
        <w:rPr>
          <w:lang w:val="fr-BE"/>
        </w:rPr>
        <w:t xml:space="preserve"> réseaux</w:t>
      </w:r>
      <w:r w:rsidR="00F407AF">
        <w:rPr>
          <w:lang w:val="fr-BE"/>
        </w:rPr>
        <w:br/>
      </w:r>
      <w:r w:rsidR="00A700E4" w:rsidRPr="00204F56">
        <w:rPr>
          <w:lang w:val="fr-BE"/>
        </w:rPr>
        <w:t>et services de communications électroniques</w:t>
      </w:r>
      <w:r w:rsidR="00F407AF">
        <w:rPr>
          <w:lang w:val="fr-BE"/>
        </w:rPr>
        <w:t xml:space="preserve"> </w:t>
      </w:r>
      <w:r w:rsidR="008F5231" w:rsidRPr="00204F56">
        <w:rPr>
          <w:lang w:val="fr-BE"/>
        </w:rPr>
        <w:t xml:space="preserve">et </w:t>
      </w:r>
      <w:r w:rsidRPr="00204F56">
        <w:rPr>
          <w:lang w:val="fr-BE"/>
        </w:rPr>
        <w:t>le</w:t>
      </w:r>
      <w:r w:rsidR="00F407AF">
        <w:rPr>
          <w:lang w:val="fr-BE"/>
        </w:rPr>
        <w:t xml:space="preserve"> règlement (UE) n° 531/2012</w:t>
      </w:r>
      <w:r w:rsidR="00F407AF">
        <w:rPr>
          <w:lang w:val="fr-BE"/>
        </w:rPr>
        <w:br/>
      </w:r>
      <w:r w:rsidRPr="00204F56">
        <w:rPr>
          <w:lang w:val="fr-BE"/>
        </w:rPr>
        <w:t>concernant l'itinérance sur les réseaux publics de communications mobiles</w:t>
      </w:r>
      <w:r w:rsidR="00F407AF">
        <w:rPr>
          <w:lang w:val="fr-BE"/>
        </w:rPr>
        <w:br/>
      </w:r>
      <w:r w:rsidRPr="00204F56">
        <w:rPr>
          <w:lang w:val="fr-BE"/>
        </w:rPr>
        <w:t>à l'intérieur de l'Union</w:t>
      </w:r>
    </w:p>
    <w:p w:rsidR="00EE7F32" w:rsidRPr="00543B6E" w:rsidRDefault="00EE7F32" w:rsidP="00204F56">
      <w:pPr>
        <w:pStyle w:val="Sous-titreobjet"/>
        <w:rPr>
          <w:bCs/>
          <w:noProof/>
          <w:lang w:val="fr-BE"/>
        </w:rPr>
      </w:pPr>
      <w:r w:rsidRPr="00543B6E">
        <w:rPr>
          <w:lang w:val="fr-BE"/>
        </w:rPr>
        <w:t>(Texte présentant de l'intérêt pour l'EEE)</w:t>
      </w:r>
    </w:p>
    <w:p w:rsidR="00EE7F32" w:rsidRPr="00CF3546" w:rsidRDefault="00EE7F32" w:rsidP="00BB7AB7">
      <w:pPr>
        <w:pStyle w:val="Institutionquiagit"/>
        <w:rPr>
          <w:lang w:val="fr-BE"/>
        </w:rPr>
      </w:pPr>
      <w:r w:rsidRPr="00CF3546">
        <w:rPr>
          <w:lang w:val="fr-BE"/>
        </w:rPr>
        <w:t>LE PARLEMENT EUROPÉEN ET LE CONSEIL DE L'UNION EUROPÉENNE,</w:t>
      </w:r>
    </w:p>
    <w:p w:rsidR="00EE7F32" w:rsidRPr="00F407AF" w:rsidRDefault="00EE7F32" w:rsidP="00F407AF">
      <w:pPr>
        <w:rPr>
          <w:lang w:val="fr-BE"/>
        </w:rPr>
      </w:pPr>
      <w:r w:rsidRPr="00F407AF">
        <w:rPr>
          <w:lang w:val="fr-BE"/>
        </w:rPr>
        <w:t>vu le traité sur le fonctionnement de l'Union européenne, et notamment son article 114,</w:t>
      </w:r>
    </w:p>
    <w:p w:rsidR="00EE7F32" w:rsidRPr="00F407AF" w:rsidRDefault="00EE7F32" w:rsidP="00F407AF">
      <w:pPr>
        <w:rPr>
          <w:lang w:val="fr-BE"/>
        </w:rPr>
      </w:pPr>
      <w:r w:rsidRPr="00F407AF">
        <w:rPr>
          <w:lang w:val="fr-BE"/>
        </w:rPr>
        <w:t>vu la proposition de la Commission européenne,</w:t>
      </w:r>
    </w:p>
    <w:p w:rsidR="00EE7F32" w:rsidRPr="00F407AF" w:rsidRDefault="00F407AF" w:rsidP="00F407AF">
      <w:pPr>
        <w:rPr>
          <w:lang w:val="fr-BE"/>
        </w:rPr>
      </w:pPr>
      <w:r w:rsidRPr="00F407AF">
        <w:rPr>
          <w:lang w:val="fr-BE"/>
        </w:rPr>
        <w:br w:type="page"/>
      </w:r>
      <w:r w:rsidR="00EE7F32" w:rsidRPr="00F407AF">
        <w:rPr>
          <w:lang w:val="fr-BE"/>
        </w:rPr>
        <w:lastRenderedPageBreak/>
        <w:t>après transmission du projet d'acte législatif aux parlements nationaux,</w:t>
      </w:r>
    </w:p>
    <w:p w:rsidR="00EE7F32" w:rsidRPr="00F407AF" w:rsidRDefault="00EE7F32" w:rsidP="007768E7">
      <w:pPr>
        <w:rPr>
          <w:lang w:val="fr-BE"/>
        </w:rPr>
      </w:pPr>
      <w:r w:rsidRPr="00F407AF">
        <w:rPr>
          <w:lang w:val="fr-BE"/>
        </w:rPr>
        <w:t>vu l'avis du Comité économique et social européen</w:t>
      </w:r>
      <w:r w:rsidRPr="007768E7">
        <w:rPr>
          <w:rStyle w:val="FootnoteReference"/>
        </w:rPr>
        <w:footnoteReference w:id="1"/>
      </w:r>
      <w:r w:rsidRPr="00F407AF">
        <w:rPr>
          <w:lang w:val="fr-BE"/>
        </w:rPr>
        <w:t>,</w:t>
      </w:r>
    </w:p>
    <w:p w:rsidR="00EE7F32" w:rsidRPr="00F407AF" w:rsidRDefault="00EE7F32" w:rsidP="007768E7">
      <w:pPr>
        <w:rPr>
          <w:lang w:val="fr-BE"/>
        </w:rPr>
      </w:pPr>
      <w:r w:rsidRPr="00F407AF">
        <w:rPr>
          <w:lang w:val="fr-BE"/>
        </w:rPr>
        <w:t>vu l'avis du Comité des régions</w:t>
      </w:r>
      <w:r w:rsidRPr="007768E7">
        <w:rPr>
          <w:rStyle w:val="FootnoteReference"/>
        </w:rPr>
        <w:footnoteReference w:id="2"/>
      </w:r>
      <w:r w:rsidRPr="00F407AF">
        <w:rPr>
          <w:lang w:val="fr-BE"/>
        </w:rPr>
        <w:t>,</w:t>
      </w:r>
    </w:p>
    <w:p w:rsidR="00EE7F32" w:rsidRPr="00F407AF" w:rsidRDefault="00EE7F32" w:rsidP="007768E7">
      <w:pPr>
        <w:rPr>
          <w:lang w:val="fr-BE"/>
        </w:rPr>
      </w:pPr>
      <w:r w:rsidRPr="00F407AF">
        <w:rPr>
          <w:lang w:val="fr-BE"/>
        </w:rPr>
        <w:t>statuant conformément à la procédure législative ordinaire</w:t>
      </w:r>
      <w:r w:rsidR="006606B4" w:rsidRPr="007768E7">
        <w:rPr>
          <w:rStyle w:val="FootnoteReference"/>
        </w:rPr>
        <w:footnoteReference w:id="3"/>
      </w:r>
      <w:r w:rsidRPr="00F407AF">
        <w:rPr>
          <w:lang w:val="fr-BE"/>
        </w:rPr>
        <w:t>,</w:t>
      </w:r>
    </w:p>
    <w:p w:rsidR="00EE7F32" w:rsidRPr="00F407AF" w:rsidRDefault="00F407AF" w:rsidP="00F407AF">
      <w:pPr>
        <w:rPr>
          <w:lang w:val="fr-BE"/>
        </w:rPr>
      </w:pPr>
      <w:r w:rsidRPr="00F407AF">
        <w:rPr>
          <w:lang w:val="fr-BE"/>
        </w:rPr>
        <w:br w:type="page"/>
      </w:r>
      <w:r w:rsidR="00EE7F32" w:rsidRPr="00F407AF">
        <w:rPr>
          <w:lang w:val="fr-BE"/>
        </w:rPr>
        <w:lastRenderedPageBreak/>
        <w:t>considérant ce qui suit:</w:t>
      </w:r>
    </w:p>
    <w:p w:rsidR="00EE7F32" w:rsidRPr="00F407AF" w:rsidRDefault="00EE7F32" w:rsidP="00F407AF">
      <w:pPr>
        <w:pStyle w:val="ManualConsidrant"/>
        <w:rPr>
          <w:lang w:val="fr-BE"/>
        </w:rPr>
      </w:pPr>
      <w:r w:rsidRPr="00F407AF">
        <w:rPr>
          <w:lang w:val="fr-BE"/>
        </w:rPr>
        <w:t>(1)</w:t>
      </w:r>
      <w:r w:rsidRPr="00F407AF">
        <w:rPr>
          <w:lang w:val="fr-BE"/>
        </w:rPr>
        <w:tab/>
        <w:t xml:space="preserve">Le présent règlement vise à établir des règles communes destinées à garantir un traitement égal et non discriminatoire du trafic dans le cadre de la fourniture de services d'accès à l'internet et </w:t>
      </w:r>
      <w:r w:rsidR="00005A50" w:rsidRPr="00F407AF">
        <w:rPr>
          <w:lang w:val="fr-BE"/>
        </w:rPr>
        <w:t>les</w:t>
      </w:r>
      <w:r w:rsidRPr="00F407AF">
        <w:rPr>
          <w:lang w:val="fr-BE"/>
        </w:rPr>
        <w:t xml:space="preserve"> droits </w:t>
      </w:r>
      <w:r w:rsidR="00C07C0F" w:rsidRPr="00F407AF">
        <w:rPr>
          <w:lang w:val="fr-BE"/>
        </w:rPr>
        <w:t xml:space="preserve">correspondants </w:t>
      </w:r>
      <w:r w:rsidRPr="00F407AF">
        <w:rPr>
          <w:lang w:val="fr-BE"/>
        </w:rPr>
        <w:t xml:space="preserve">des utilisateurs finals. </w:t>
      </w:r>
      <w:r w:rsidR="00472CD8" w:rsidRPr="00F407AF">
        <w:rPr>
          <w:lang w:val="fr-BE"/>
        </w:rPr>
        <w:t>Il</w:t>
      </w:r>
      <w:r w:rsidRPr="00F407AF">
        <w:rPr>
          <w:lang w:val="fr-BE"/>
        </w:rPr>
        <w:t xml:space="preserve"> vise à protéger les utilisateurs fina</w:t>
      </w:r>
      <w:r w:rsidR="00005A50" w:rsidRPr="00F407AF">
        <w:rPr>
          <w:lang w:val="fr-BE"/>
        </w:rPr>
        <w:t>ls</w:t>
      </w:r>
      <w:r w:rsidRPr="00F407AF">
        <w:rPr>
          <w:lang w:val="fr-BE"/>
        </w:rPr>
        <w:t xml:space="preserve"> </w:t>
      </w:r>
      <w:r w:rsidR="00472CD8" w:rsidRPr="00F407AF">
        <w:rPr>
          <w:lang w:val="fr-BE"/>
        </w:rPr>
        <w:t>et</w:t>
      </w:r>
      <w:r w:rsidRPr="00F407AF">
        <w:rPr>
          <w:lang w:val="fr-BE"/>
        </w:rPr>
        <w:t xml:space="preserve"> à garantir</w:t>
      </w:r>
      <w:r w:rsidR="009779EA" w:rsidRPr="00F407AF">
        <w:rPr>
          <w:lang w:val="fr-BE"/>
        </w:rPr>
        <w:t>, en même temps,</w:t>
      </w:r>
      <w:r w:rsidRPr="00F407AF">
        <w:rPr>
          <w:lang w:val="fr-BE"/>
        </w:rPr>
        <w:t xml:space="preserve"> la continuité du fonctionnement de l'écosystème de l'internet en tant que moteur de l'innovation. Des réformes dans le domaine de l'itinérance devraient inspirer </w:t>
      </w:r>
      <w:r w:rsidR="00DB4E2C" w:rsidRPr="00F407AF">
        <w:rPr>
          <w:lang w:val="fr-BE"/>
        </w:rPr>
        <w:t xml:space="preserve">confiance </w:t>
      </w:r>
      <w:r w:rsidRPr="00F407AF">
        <w:rPr>
          <w:lang w:val="fr-BE"/>
        </w:rPr>
        <w:t xml:space="preserve">aux utilisateurs finals </w:t>
      </w:r>
      <w:r w:rsidR="00DB4E2C" w:rsidRPr="00F407AF">
        <w:rPr>
          <w:lang w:val="fr-BE"/>
        </w:rPr>
        <w:t>pour qu</w:t>
      </w:r>
      <w:r w:rsidR="00F407AF">
        <w:rPr>
          <w:lang w:val="fr-BE"/>
        </w:rPr>
        <w:t>'</w:t>
      </w:r>
      <w:r w:rsidR="00DB4E2C" w:rsidRPr="00F407AF">
        <w:rPr>
          <w:lang w:val="fr-BE"/>
        </w:rPr>
        <w:t>ils</w:t>
      </w:r>
      <w:r w:rsidRPr="00F407AF">
        <w:rPr>
          <w:lang w:val="fr-BE"/>
        </w:rPr>
        <w:t xml:space="preserve"> reste</w:t>
      </w:r>
      <w:r w:rsidR="00DB4E2C" w:rsidRPr="00F407AF">
        <w:rPr>
          <w:lang w:val="fr-BE"/>
        </w:rPr>
        <w:t>nt</w:t>
      </w:r>
      <w:r w:rsidRPr="00F407AF">
        <w:rPr>
          <w:lang w:val="fr-BE"/>
        </w:rPr>
        <w:t xml:space="preserve"> connectés lors de leurs déplacements </w:t>
      </w:r>
      <w:r w:rsidR="00472CD8" w:rsidRPr="00F407AF">
        <w:rPr>
          <w:lang w:val="fr-BE"/>
        </w:rPr>
        <w:t xml:space="preserve">au sein </w:t>
      </w:r>
      <w:r w:rsidRPr="00F407AF">
        <w:rPr>
          <w:lang w:val="fr-BE"/>
        </w:rPr>
        <w:t>d</w:t>
      </w:r>
      <w:r w:rsidR="00472CD8" w:rsidRPr="00F407AF">
        <w:rPr>
          <w:lang w:val="fr-BE"/>
        </w:rPr>
        <w:t>e</w:t>
      </w:r>
      <w:r w:rsidRPr="00F407AF">
        <w:rPr>
          <w:lang w:val="fr-BE"/>
        </w:rPr>
        <w:t xml:space="preserve"> l'Union et, à terme, jouer un rôle de catalyseur dans la convergence des prix et d'autres conditions dans l'Union.</w:t>
      </w:r>
    </w:p>
    <w:p w:rsidR="00EE7F32" w:rsidRPr="00F407AF" w:rsidRDefault="00EE7F32" w:rsidP="00F407AF">
      <w:pPr>
        <w:pStyle w:val="ManualConsidrant"/>
        <w:rPr>
          <w:lang w:val="fr-BE"/>
        </w:rPr>
      </w:pPr>
      <w:r w:rsidRPr="00F407AF">
        <w:rPr>
          <w:lang w:val="fr-BE"/>
        </w:rPr>
        <w:t>(2)</w:t>
      </w:r>
      <w:r w:rsidRPr="00F407AF">
        <w:rPr>
          <w:lang w:val="fr-BE"/>
        </w:rPr>
        <w:tab/>
        <w:t xml:space="preserve">Les mesures prévues par le présent règlement </w:t>
      </w:r>
      <w:r w:rsidR="00DB4E2C" w:rsidRPr="00F407AF">
        <w:rPr>
          <w:lang w:val="fr-BE"/>
        </w:rPr>
        <w:t>respectent le</w:t>
      </w:r>
      <w:r w:rsidRPr="00F407AF">
        <w:rPr>
          <w:lang w:val="fr-BE"/>
        </w:rPr>
        <w:t xml:space="preserve"> principe de la neutralité technologique, c'est-à-dire qu'elles n'imposent ni ne favorisent l'utilisation d'aucun type particulier de technologie.</w:t>
      </w:r>
    </w:p>
    <w:p w:rsidR="00EE7F32" w:rsidRPr="00F407AF" w:rsidRDefault="00EE7F32" w:rsidP="00F407AF">
      <w:pPr>
        <w:pStyle w:val="ManualConsidrant"/>
        <w:rPr>
          <w:lang w:val="fr-BE"/>
        </w:rPr>
      </w:pPr>
      <w:r w:rsidRPr="00F407AF">
        <w:rPr>
          <w:lang w:val="fr-BE"/>
        </w:rPr>
        <w:t>(3)</w:t>
      </w:r>
      <w:r w:rsidRPr="00F407AF">
        <w:rPr>
          <w:lang w:val="fr-BE"/>
        </w:rPr>
        <w:tab/>
        <w:t>Au cours des dernières décennies, l'internet est devenu une plateforme ouverte d'innovation facile d'accès pour les utilisateurs finals, les fournisseurs de contenus</w:t>
      </w:r>
      <w:r w:rsidR="009B76CE" w:rsidRPr="00F407AF">
        <w:rPr>
          <w:lang w:val="fr-BE"/>
        </w:rPr>
        <w:t xml:space="preserve">, d'applications et de services </w:t>
      </w:r>
      <w:r w:rsidRPr="00F407AF">
        <w:rPr>
          <w:lang w:val="fr-BE"/>
        </w:rPr>
        <w:t xml:space="preserve">et </w:t>
      </w:r>
      <w:r w:rsidR="00DB4E2C" w:rsidRPr="00F407AF">
        <w:rPr>
          <w:lang w:val="fr-BE"/>
        </w:rPr>
        <w:t xml:space="preserve">les fournisseurs </w:t>
      </w:r>
      <w:r w:rsidR="009B76CE" w:rsidRPr="00F407AF">
        <w:rPr>
          <w:lang w:val="fr-BE"/>
        </w:rPr>
        <w:t>de services d'accès à l'internet</w:t>
      </w:r>
      <w:r w:rsidRPr="00F407AF">
        <w:rPr>
          <w:lang w:val="fr-BE"/>
        </w:rPr>
        <w:t xml:space="preserve">. Le cadre réglementaire existant vise à favoriser la capacité des utilisateurs finals à accéder aux informations de leur choix et à les diffuser, ou à utiliser les applications et les services de leur choix. Néanmoins, </w:t>
      </w:r>
      <w:r w:rsidR="00C07C0F" w:rsidRPr="00F407AF">
        <w:rPr>
          <w:lang w:val="fr-BE"/>
        </w:rPr>
        <w:t>d</w:t>
      </w:r>
      <w:r w:rsidRPr="00F407AF">
        <w:rPr>
          <w:lang w:val="fr-BE"/>
        </w:rPr>
        <w:t xml:space="preserve">es pratiques de gestion du trafic qui bloquent ou ralentissent </w:t>
      </w:r>
      <w:r w:rsidR="002275EE" w:rsidRPr="00F407AF">
        <w:rPr>
          <w:lang w:val="fr-BE"/>
        </w:rPr>
        <w:t xml:space="preserve">des </w:t>
      </w:r>
      <w:r w:rsidRPr="00F407AF">
        <w:rPr>
          <w:lang w:val="fr-BE"/>
        </w:rPr>
        <w:t xml:space="preserve">applications </w:t>
      </w:r>
      <w:r w:rsidR="006606B4" w:rsidRPr="00F407AF">
        <w:rPr>
          <w:lang w:val="fr-BE"/>
        </w:rPr>
        <w:t xml:space="preserve">ou </w:t>
      </w:r>
      <w:r w:rsidR="002275EE" w:rsidRPr="00F407AF">
        <w:rPr>
          <w:lang w:val="fr-BE"/>
        </w:rPr>
        <w:t xml:space="preserve">des </w:t>
      </w:r>
      <w:r w:rsidR="006606B4" w:rsidRPr="00F407AF">
        <w:rPr>
          <w:lang w:val="fr-BE"/>
        </w:rPr>
        <w:t xml:space="preserve">services </w:t>
      </w:r>
      <w:r w:rsidR="002275EE" w:rsidRPr="00F407AF">
        <w:rPr>
          <w:lang w:val="fr-BE"/>
        </w:rPr>
        <w:t xml:space="preserve">spécifiques </w:t>
      </w:r>
      <w:r w:rsidRPr="00F407AF">
        <w:rPr>
          <w:lang w:val="fr-BE"/>
        </w:rPr>
        <w:t xml:space="preserve">ont une incidence sur un nombre important d'utilisateurs finals. Au vu de ces évolutions, il est nécessaire d'adopter, au niveau de l'Union, des règles communes pour garantir </w:t>
      </w:r>
      <w:r w:rsidR="00265639" w:rsidRPr="00F407AF">
        <w:rPr>
          <w:lang w:val="fr-BE"/>
        </w:rPr>
        <w:t xml:space="preserve">le caractère ouvert </w:t>
      </w:r>
      <w:r w:rsidRPr="00F407AF">
        <w:rPr>
          <w:lang w:val="fr-BE"/>
        </w:rPr>
        <w:t xml:space="preserve">de l'internet et éviter une fragmentation du marché </w:t>
      </w:r>
      <w:r w:rsidR="009B76CE" w:rsidRPr="00F407AF">
        <w:rPr>
          <w:lang w:val="fr-BE"/>
        </w:rPr>
        <w:t xml:space="preserve">intérieur </w:t>
      </w:r>
      <w:r w:rsidRPr="00F407AF">
        <w:rPr>
          <w:lang w:val="fr-BE"/>
        </w:rPr>
        <w:t>due aux mesures prises individuellement par les États membres.</w:t>
      </w:r>
    </w:p>
    <w:p w:rsidR="00EE7F32" w:rsidRPr="00612DD0" w:rsidRDefault="00F407AF" w:rsidP="00F407AF">
      <w:pPr>
        <w:pStyle w:val="ManualConsidrant"/>
        <w:rPr>
          <w:lang w:val="fr-BE"/>
        </w:rPr>
      </w:pPr>
      <w:r>
        <w:rPr>
          <w:lang w:val="fr-BE"/>
        </w:rPr>
        <w:br w:type="page"/>
      </w:r>
      <w:r w:rsidR="002E568E" w:rsidRPr="00543B6E">
        <w:rPr>
          <w:lang w:val="fr-BE"/>
        </w:rPr>
        <w:lastRenderedPageBreak/>
        <w:t>(4)</w:t>
      </w:r>
      <w:r w:rsidR="002E568E" w:rsidRPr="00543B6E">
        <w:rPr>
          <w:lang w:val="fr-BE"/>
        </w:rPr>
        <w:tab/>
        <w:t xml:space="preserve">Un service d'accès à l'internet fournit un accès à l'internet et, en principe, à tous ses points terminaux, quelle que soit la technologie de réseau et les équipements terminaux utilisés par les utilisateurs finals. Toutefois, pour des raisons échappant au contrôle des fournisseurs de services d'accès à l'internet, il se peut que certains points terminaux connectés à l'internet ne soient pas toujours accessibles. </w:t>
      </w:r>
      <w:r w:rsidR="002E568E" w:rsidRPr="00204F56">
        <w:rPr>
          <w:lang w:val="fr-BE"/>
        </w:rPr>
        <w:t>En conséquence, de tels fournisseurs devraient être réputés avoir satisfait à leurs obligations de fourniture d</w:t>
      </w:r>
      <w:r>
        <w:rPr>
          <w:lang w:val="fr-BE"/>
        </w:rPr>
        <w:t>'</w:t>
      </w:r>
      <w:r w:rsidR="009C7FE0" w:rsidRPr="00204F56">
        <w:rPr>
          <w:lang w:val="fr-BE"/>
        </w:rPr>
        <w:t>un</w:t>
      </w:r>
      <w:r w:rsidR="002E568E" w:rsidRPr="00204F56">
        <w:rPr>
          <w:lang w:val="fr-BE"/>
        </w:rPr>
        <w:t xml:space="preserve"> service d'accès à l'internet au sens du présent règlement lorsque ce service fournit une connectivité </w:t>
      </w:r>
      <w:r w:rsidR="00373D8D" w:rsidRPr="00204F56">
        <w:rPr>
          <w:lang w:val="fr-BE"/>
        </w:rPr>
        <w:t xml:space="preserve">entre la quasi-totalité </w:t>
      </w:r>
      <w:r w:rsidR="00373D8D">
        <w:rPr>
          <w:lang w:val="fr-BE"/>
        </w:rPr>
        <w:t>d</w:t>
      </w:r>
      <w:r w:rsidR="002E568E" w:rsidRPr="00204F56">
        <w:rPr>
          <w:lang w:val="fr-BE"/>
        </w:rPr>
        <w:t xml:space="preserve">es points terminaux connectés à l'internet. </w:t>
      </w:r>
      <w:r w:rsidR="002E568E" w:rsidRPr="00612DD0">
        <w:rPr>
          <w:lang w:val="fr-BE"/>
        </w:rPr>
        <w:t>Il convient donc que les fournisseurs de services d'accès à l'internet ne limitent pas la connectivité aux points terminaux accessibles connectés à l'in</w:t>
      </w:r>
      <w:r w:rsidR="00612DD0">
        <w:rPr>
          <w:lang w:val="fr-BE"/>
        </w:rPr>
        <w:t>ternet.</w:t>
      </w:r>
    </w:p>
    <w:p w:rsidR="00EE7F32" w:rsidRPr="00543B6E" w:rsidRDefault="00EE7F32" w:rsidP="00F407AF">
      <w:pPr>
        <w:pStyle w:val="ManualConsidrant"/>
        <w:rPr>
          <w:lang w:val="fr-BE"/>
        </w:rPr>
      </w:pPr>
      <w:r w:rsidRPr="00543B6E">
        <w:rPr>
          <w:lang w:val="fr-BE"/>
        </w:rPr>
        <w:t>(5)</w:t>
      </w:r>
      <w:r w:rsidRPr="00543B6E">
        <w:rPr>
          <w:lang w:val="fr-BE"/>
        </w:rPr>
        <w:tab/>
      </w:r>
      <w:r w:rsidR="0085077B" w:rsidRPr="00543B6E">
        <w:rPr>
          <w:lang w:val="fr-BE"/>
        </w:rPr>
        <w:t xml:space="preserve">Pour accéder à </w:t>
      </w:r>
      <w:r w:rsidR="00FF376E" w:rsidRPr="00543B6E">
        <w:rPr>
          <w:lang w:val="fr-BE"/>
        </w:rPr>
        <w:t>l'</w:t>
      </w:r>
      <w:r w:rsidR="0085077B" w:rsidRPr="00543B6E">
        <w:rPr>
          <w:lang w:val="fr-BE"/>
        </w:rPr>
        <w:t>internet, l</w:t>
      </w:r>
      <w:r w:rsidRPr="00543B6E">
        <w:rPr>
          <w:lang w:val="fr-BE"/>
        </w:rPr>
        <w:t xml:space="preserve">es utilisateurs finals devraient être libres de choisir entre différents types d'équipements terminaux </w:t>
      </w:r>
      <w:r w:rsidRPr="00543B6E">
        <w:rPr>
          <w:noProof/>
          <w:lang w:val="fr-BE"/>
        </w:rPr>
        <w:t>tels qu'ils sont</w:t>
      </w:r>
      <w:r w:rsidR="00204F56">
        <w:rPr>
          <w:lang w:val="fr-BE"/>
        </w:rPr>
        <w:t xml:space="preserve"> définis dans la directive </w:t>
      </w:r>
      <w:r w:rsidRPr="00543B6E">
        <w:rPr>
          <w:lang w:val="fr-BE"/>
        </w:rPr>
        <w:t xml:space="preserve">2008/63/CE </w:t>
      </w:r>
      <w:r w:rsidR="0085077B" w:rsidRPr="00543B6E">
        <w:rPr>
          <w:lang w:val="fr-BE"/>
        </w:rPr>
        <w:t>de la Commission</w:t>
      </w:r>
      <w:r w:rsidR="00E760B3">
        <w:rPr>
          <w:rStyle w:val="FootnoteReference"/>
        </w:rPr>
        <w:footnoteReference w:id="4"/>
      </w:r>
      <w:r w:rsidRPr="00543B6E">
        <w:rPr>
          <w:lang w:val="fr-BE"/>
        </w:rPr>
        <w:t>. Les fournisseurs de services d'accès à l'internet ne devraient pas imposer de restrictions à l'utilisation des équipements terminaux connectés au réseau en plus de celles imposées par les producteurs ou les distributeurs d'équipements terminaux conformément au droit de l'Union.</w:t>
      </w:r>
    </w:p>
    <w:p w:rsidR="002E568E" w:rsidRPr="00543B6E" w:rsidRDefault="002E568E" w:rsidP="00F407AF">
      <w:pPr>
        <w:pStyle w:val="ManualConsidrant"/>
        <w:rPr>
          <w:lang w:val="fr-BE"/>
        </w:rPr>
      </w:pPr>
      <w:r w:rsidRPr="00543B6E">
        <w:rPr>
          <w:lang w:val="fr-BE"/>
        </w:rPr>
        <w:t>(6)</w:t>
      </w:r>
      <w:r w:rsidRPr="00543B6E">
        <w:rPr>
          <w:lang w:val="fr-BE"/>
        </w:rPr>
        <w:tab/>
        <w:t xml:space="preserve">Les utilisateurs finals devraient avoir le droit d'accéder aux informations et aux contenus et de les diffuser, et d'utiliser et de fournir les applications et les services sans discrimination, par l'intermédiaire de leur service d'accès à l'internet. L'exercice de ce droit devrait être sans préjudice du droit de l'Union ou du droit national qui est conforme au droit de l'Union, en ce qui concerne la légalité des contenus, des applications ou des services. Le présent règlement ne vise pas à réglementer la légalité des contenus, des applications ou des services, </w:t>
      </w:r>
      <w:r w:rsidR="002275EE" w:rsidRPr="00543B6E">
        <w:rPr>
          <w:lang w:val="fr-BE"/>
        </w:rPr>
        <w:t>pas plus qu</w:t>
      </w:r>
      <w:r w:rsidR="00F407AF">
        <w:rPr>
          <w:lang w:val="fr-BE"/>
        </w:rPr>
        <w:t>'</w:t>
      </w:r>
      <w:r w:rsidR="002275EE" w:rsidRPr="00543B6E">
        <w:rPr>
          <w:lang w:val="fr-BE"/>
        </w:rPr>
        <w:t>il ne cherche à réglementer</w:t>
      </w:r>
      <w:r w:rsidRPr="00543B6E">
        <w:rPr>
          <w:lang w:val="fr-BE"/>
        </w:rPr>
        <w:t xml:space="preserve"> les procédures, exigences et garanties y afférentes. Ces questions continuent donc de relever du droit de l'Union, ou du droit national qui est conforme au droit de l'Union.</w:t>
      </w:r>
    </w:p>
    <w:p w:rsidR="00EE7F32" w:rsidRPr="00543B6E" w:rsidRDefault="00F407AF" w:rsidP="00F407AF">
      <w:pPr>
        <w:pStyle w:val="ManualConsidrant"/>
        <w:rPr>
          <w:lang w:val="fr-BE"/>
        </w:rPr>
      </w:pPr>
      <w:r>
        <w:rPr>
          <w:lang w:val="fr-BE"/>
        </w:rPr>
        <w:br w:type="page"/>
      </w:r>
      <w:r>
        <w:rPr>
          <w:lang w:val="fr-BE"/>
        </w:rPr>
        <w:lastRenderedPageBreak/>
        <w:t>(</w:t>
      </w:r>
      <w:r w:rsidR="00EE7F32" w:rsidRPr="00543B6E">
        <w:rPr>
          <w:lang w:val="fr-BE"/>
        </w:rPr>
        <w:t>7)</w:t>
      </w:r>
      <w:r w:rsidR="00EE7F32" w:rsidRPr="00543B6E">
        <w:rPr>
          <w:lang w:val="fr-BE"/>
        </w:rPr>
        <w:tab/>
        <w:t xml:space="preserve">Afin d'exercer leurs droits </w:t>
      </w:r>
      <w:r w:rsidR="00C41720" w:rsidRPr="00543B6E">
        <w:rPr>
          <w:lang w:val="fr-BE"/>
        </w:rPr>
        <w:t xml:space="preserve">d'accéder aux informations et aux contenus et de les diffuser, </w:t>
      </w:r>
      <w:r w:rsidR="00F617FE" w:rsidRPr="00543B6E">
        <w:rPr>
          <w:lang w:val="fr-BE"/>
        </w:rPr>
        <w:t xml:space="preserve">et </w:t>
      </w:r>
      <w:r w:rsidR="00C41720" w:rsidRPr="00543B6E">
        <w:rPr>
          <w:lang w:val="fr-BE"/>
        </w:rPr>
        <w:t>d'utiliser et de fou</w:t>
      </w:r>
      <w:r w:rsidR="00C41720" w:rsidRPr="00543B6E">
        <w:rPr>
          <w:noProof/>
          <w:color w:val="000000"/>
          <w:lang w:val="fr-BE"/>
        </w:rPr>
        <w:t>r</w:t>
      </w:r>
      <w:r w:rsidR="00C41720" w:rsidRPr="00543B6E">
        <w:rPr>
          <w:lang w:val="fr-BE"/>
        </w:rPr>
        <w:t xml:space="preserve">nir </w:t>
      </w:r>
      <w:r w:rsidR="00E760B3" w:rsidRPr="00543B6E">
        <w:rPr>
          <w:lang w:val="fr-BE"/>
        </w:rPr>
        <w:t>d</w:t>
      </w:r>
      <w:r w:rsidR="00C41720" w:rsidRPr="00543B6E">
        <w:rPr>
          <w:lang w:val="fr-BE"/>
        </w:rPr>
        <w:t xml:space="preserve">es applications et </w:t>
      </w:r>
      <w:r w:rsidR="00E760B3" w:rsidRPr="00543B6E">
        <w:rPr>
          <w:lang w:val="fr-BE"/>
        </w:rPr>
        <w:t>d</w:t>
      </w:r>
      <w:r w:rsidR="00C41720" w:rsidRPr="00543B6E">
        <w:rPr>
          <w:lang w:val="fr-BE"/>
        </w:rPr>
        <w:t>es services</w:t>
      </w:r>
      <w:r w:rsidR="000C197A" w:rsidRPr="00543B6E">
        <w:rPr>
          <w:lang w:val="fr-BE"/>
        </w:rPr>
        <w:t xml:space="preserve"> de leur choix</w:t>
      </w:r>
      <w:r w:rsidR="00EE7F32" w:rsidRPr="00543B6E">
        <w:rPr>
          <w:lang w:val="fr-BE"/>
        </w:rPr>
        <w:t>, les utilisateurs finals devraient être libres de convenir avec les fournisseurs de services d'accès à l'internet des tarifs du service d'accès à l'internet pour des volumes de données et des débits déterminés. Ces accords, ainsi que les pratiques commerciales des fournisseurs de services d'accès à l'internet, ne devraient pas limiter l'exercice de</w:t>
      </w:r>
      <w:r w:rsidR="005448FE" w:rsidRPr="00543B6E">
        <w:rPr>
          <w:lang w:val="fr-BE"/>
        </w:rPr>
        <w:t xml:space="preserve"> ce</w:t>
      </w:r>
      <w:r w:rsidR="00EE7F32" w:rsidRPr="00543B6E">
        <w:rPr>
          <w:lang w:val="fr-BE"/>
        </w:rPr>
        <w:t xml:space="preserve">s droits, ni, par conséquent, permettre de contourner les dispositions du présent règlement en matière de garantie </w:t>
      </w:r>
      <w:r w:rsidR="00A37140" w:rsidRPr="00543B6E">
        <w:rPr>
          <w:lang w:val="fr-BE"/>
        </w:rPr>
        <w:t>d</w:t>
      </w:r>
      <w:r>
        <w:rPr>
          <w:lang w:val="fr-BE"/>
        </w:rPr>
        <w:t>'</w:t>
      </w:r>
      <w:r w:rsidR="00EE7F32" w:rsidRPr="00543B6E">
        <w:rPr>
          <w:lang w:val="fr-BE"/>
        </w:rPr>
        <w:t xml:space="preserve">accès à </w:t>
      </w:r>
      <w:r w:rsidR="00886000" w:rsidRPr="00543B6E">
        <w:rPr>
          <w:lang w:val="fr-BE"/>
        </w:rPr>
        <w:t xml:space="preserve">un </w:t>
      </w:r>
      <w:r w:rsidR="00EE7F32" w:rsidRPr="00543B6E">
        <w:rPr>
          <w:lang w:val="fr-BE"/>
        </w:rPr>
        <w:t>internet</w:t>
      </w:r>
      <w:r w:rsidR="00DF6043" w:rsidRPr="00543B6E">
        <w:rPr>
          <w:lang w:val="fr-BE"/>
        </w:rPr>
        <w:t xml:space="preserve"> ouvert</w:t>
      </w:r>
      <w:r w:rsidR="00EE7F32" w:rsidRPr="00543B6E">
        <w:rPr>
          <w:lang w:val="fr-BE"/>
        </w:rPr>
        <w:t xml:space="preserve">. Les autorités réglementaires nationales </w:t>
      </w:r>
      <w:r w:rsidR="00E760E7" w:rsidRPr="00543B6E">
        <w:rPr>
          <w:lang w:val="fr-BE"/>
        </w:rPr>
        <w:t xml:space="preserve">et les autres autorités compétentes </w:t>
      </w:r>
      <w:r w:rsidR="00EE7F32" w:rsidRPr="00543B6E">
        <w:rPr>
          <w:lang w:val="fr-BE"/>
        </w:rPr>
        <w:t>devraient être habilitées à prendre des mesures à l'encontre d'accords ou de pratiques commerciales qui, en raison de leur ampleur, donnent lieu à des situations où le choix des utilisateurs finals est largement réduit dans les faits. À cette fin, il convient</w:t>
      </w:r>
      <w:r w:rsidR="00E760B3" w:rsidRPr="00543B6E">
        <w:rPr>
          <w:lang w:val="fr-BE"/>
        </w:rPr>
        <w:t>,</w:t>
      </w:r>
      <w:r w:rsidR="00EE7F32" w:rsidRPr="00543B6E">
        <w:rPr>
          <w:lang w:val="fr-BE"/>
        </w:rPr>
        <w:t xml:space="preserve"> </w:t>
      </w:r>
      <w:r w:rsidR="00EE7F32" w:rsidRPr="00543B6E">
        <w:rPr>
          <w:noProof/>
          <w:lang w:val="fr-BE"/>
        </w:rPr>
        <w:t>entre autres</w:t>
      </w:r>
      <w:r w:rsidR="00E760B3" w:rsidRPr="00543B6E">
        <w:rPr>
          <w:noProof/>
          <w:lang w:val="fr-BE"/>
        </w:rPr>
        <w:t>,</w:t>
      </w:r>
      <w:r w:rsidR="00EE7F32" w:rsidRPr="00543B6E">
        <w:rPr>
          <w:lang w:val="fr-BE"/>
        </w:rPr>
        <w:t xml:space="preserve"> de tenir compte, dans le cadre de l'évaluation des accords et des pratiques commerciales, des positions respectives sur le marché de</w:t>
      </w:r>
      <w:r w:rsidR="00845C48" w:rsidRPr="00543B6E">
        <w:rPr>
          <w:lang w:val="fr-BE"/>
        </w:rPr>
        <w:t xml:space="preserve"> ces</w:t>
      </w:r>
      <w:r w:rsidR="00EE7F32" w:rsidRPr="00543B6E">
        <w:rPr>
          <w:lang w:val="fr-BE"/>
        </w:rPr>
        <w:t xml:space="preserve"> fournisseurs de services d'accès à l'internet ainsi que des</w:t>
      </w:r>
      <w:r w:rsidR="00845C48" w:rsidRPr="00543B6E">
        <w:rPr>
          <w:lang w:val="fr-BE"/>
        </w:rPr>
        <w:t xml:space="preserve"> fournisseurs de</w:t>
      </w:r>
      <w:r w:rsidR="00EE7F32" w:rsidRPr="00543B6E">
        <w:rPr>
          <w:lang w:val="fr-BE"/>
        </w:rPr>
        <w:t xml:space="preserve"> contenus,</w:t>
      </w:r>
      <w:r w:rsidR="00845C48" w:rsidRPr="00543B6E">
        <w:rPr>
          <w:lang w:val="fr-BE"/>
        </w:rPr>
        <w:t xml:space="preserve"> d</w:t>
      </w:r>
      <w:r w:rsidR="00A17CC4" w:rsidRPr="00543B6E">
        <w:rPr>
          <w:lang w:val="fr-BE"/>
        </w:rPr>
        <w:t>'</w:t>
      </w:r>
      <w:r w:rsidR="00845C48" w:rsidRPr="00543B6E">
        <w:rPr>
          <w:lang w:val="fr-BE"/>
        </w:rPr>
        <w:t>applications et</w:t>
      </w:r>
      <w:r w:rsidR="00EE7F32" w:rsidRPr="00543B6E">
        <w:rPr>
          <w:lang w:val="fr-BE"/>
        </w:rPr>
        <w:t xml:space="preserve"> de services</w:t>
      </w:r>
      <w:r w:rsidR="00845C48" w:rsidRPr="00543B6E">
        <w:rPr>
          <w:lang w:val="fr-BE"/>
        </w:rPr>
        <w:t xml:space="preserve"> qui sont concernés</w:t>
      </w:r>
      <w:r>
        <w:rPr>
          <w:lang w:val="fr-BE"/>
        </w:rPr>
        <w:t xml:space="preserve">. </w:t>
      </w:r>
      <w:r w:rsidR="00EE7F32" w:rsidRPr="00543B6E">
        <w:rPr>
          <w:noProof/>
          <w:lang w:val="fr-BE"/>
        </w:rPr>
        <w:t xml:space="preserve">Les autorités réglementaires nationales et les autres </w:t>
      </w:r>
      <w:r>
        <w:rPr>
          <w:lang w:val="fr-BE"/>
        </w:rPr>
        <w:t xml:space="preserve">autorités </w:t>
      </w:r>
      <w:r w:rsidR="00EE7F32" w:rsidRPr="00543B6E">
        <w:rPr>
          <w:lang w:val="fr-BE"/>
        </w:rPr>
        <w:t xml:space="preserve">compétentes devraient être tenues, dans le cadre de leur mission de contrôle et de </w:t>
      </w:r>
      <w:r w:rsidR="00E760B3" w:rsidRPr="00543B6E">
        <w:rPr>
          <w:lang w:val="fr-BE"/>
        </w:rPr>
        <w:t>respect</w:t>
      </w:r>
      <w:r w:rsidR="00EE7F32" w:rsidRPr="00543B6E">
        <w:rPr>
          <w:lang w:val="fr-BE"/>
        </w:rPr>
        <w:t xml:space="preserve"> de la réglementation, d'intervenir lorsque les accords ou les pratiques commerciales </w:t>
      </w:r>
      <w:r w:rsidR="00E760B3" w:rsidRPr="00543B6E">
        <w:rPr>
          <w:lang w:val="fr-BE"/>
        </w:rPr>
        <w:t xml:space="preserve">auraient pour effet de porter </w:t>
      </w:r>
      <w:r w:rsidR="00EE7F32" w:rsidRPr="00543B6E">
        <w:rPr>
          <w:lang w:val="fr-BE"/>
        </w:rPr>
        <w:t xml:space="preserve">atteinte à l'essence des droits </w:t>
      </w:r>
      <w:r w:rsidR="00845C48" w:rsidRPr="00543B6E">
        <w:rPr>
          <w:lang w:val="fr-BE"/>
        </w:rPr>
        <w:t xml:space="preserve">des </w:t>
      </w:r>
      <w:r w:rsidR="00027B7B" w:rsidRPr="00543B6E">
        <w:rPr>
          <w:lang w:val="fr-BE"/>
        </w:rPr>
        <w:t>utilisateurs</w:t>
      </w:r>
      <w:r w:rsidR="00845C48" w:rsidRPr="00543B6E">
        <w:rPr>
          <w:lang w:val="fr-BE"/>
        </w:rPr>
        <w:t xml:space="preserve"> finals</w:t>
      </w:r>
      <w:r w:rsidR="00EE7F32" w:rsidRPr="00543B6E">
        <w:rPr>
          <w:lang w:val="fr-BE"/>
        </w:rPr>
        <w:t>.</w:t>
      </w:r>
    </w:p>
    <w:p w:rsidR="00EE7F32" w:rsidRPr="00543B6E" w:rsidRDefault="00EE7F32" w:rsidP="00F407AF">
      <w:pPr>
        <w:pStyle w:val="ManualConsidrant"/>
        <w:rPr>
          <w:noProof/>
          <w:lang w:val="fr-BE"/>
        </w:rPr>
      </w:pPr>
      <w:r w:rsidRPr="00543B6E">
        <w:rPr>
          <w:lang w:val="fr-BE"/>
        </w:rPr>
        <w:t>(</w:t>
      </w:r>
      <w:r w:rsidR="000C197A" w:rsidRPr="00543B6E">
        <w:rPr>
          <w:lang w:val="fr-BE"/>
        </w:rPr>
        <w:t>8</w:t>
      </w:r>
      <w:r w:rsidRPr="00543B6E">
        <w:rPr>
          <w:lang w:val="fr-BE"/>
        </w:rPr>
        <w:t>)</w:t>
      </w:r>
      <w:r w:rsidRPr="00543B6E">
        <w:rPr>
          <w:lang w:val="fr-BE"/>
        </w:rPr>
        <w:tab/>
        <w:t xml:space="preserve">Dans le cadre de la fourniture de services d'accès à l'internet, </w:t>
      </w:r>
      <w:r w:rsidR="000C197A" w:rsidRPr="00543B6E">
        <w:rPr>
          <w:lang w:val="fr-BE"/>
        </w:rPr>
        <w:t xml:space="preserve">les fournisseurs de ces services devraient traiter </w:t>
      </w:r>
      <w:r w:rsidRPr="00543B6E">
        <w:rPr>
          <w:lang w:val="fr-BE"/>
        </w:rPr>
        <w:t>l'ensemble du trafic de façon égale, sans discrimination, restriction ou interférence, quels que soient l'expéditeur, le destinataire, le contenu, l'app</w:t>
      </w:r>
      <w:r w:rsidR="00E6523E" w:rsidRPr="00543B6E">
        <w:rPr>
          <w:lang w:val="fr-BE"/>
        </w:rPr>
        <w:t>lication</w:t>
      </w:r>
      <w:r w:rsidRPr="00543B6E">
        <w:rPr>
          <w:lang w:val="fr-BE"/>
        </w:rPr>
        <w:t>, le service ou l</w:t>
      </w:r>
      <w:r w:rsidR="00FD7F17" w:rsidRPr="00543B6E">
        <w:rPr>
          <w:lang w:val="fr-BE"/>
        </w:rPr>
        <w:t xml:space="preserve">es </w:t>
      </w:r>
      <w:r w:rsidR="00E6523E" w:rsidRPr="00543B6E">
        <w:rPr>
          <w:lang w:val="fr-BE"/>
        </w:rPr>
        <w:t>équipement</w:t>
      </w:r>
      <w:r w:rsidR="00FD7F17" w:rsidRPr="00543B6E">
        <w:rPr>
          <w:lang w:val="fr-BE"/>
        </w:rPr>
        <w:t>s</w:t>
      </w:r>
      <w:r w:rsidR="00E6523E" w:rsidRPr="00543B6E">
        <w:rPr>
          <w:lang w:val="fr-BE"/>
        </w:rPr>
        <w:t xml:space="preserve"> termina</w:t>
      </w:r>
      <w:r w:rsidR="00FD7F17" w:rsidRPr="00543B6E">
        <w:rPr>
          <w:lang w:val="fr-BE"/>
        </w:rPr>
        <w:t>ux</w:t>
      </w:r>
      <w:r w:rsidRPr="00543B6E">
        <w:rPr>
          <w:lang w:val="fr-BE"/>
        </w:rPr>
        <w:t xml:space="preserve">. En vertu des </w:t>
      </w:r>
      <w:r w:rsidRPr="00543B6E">
        <w:rPr>
          <w:noProof/>
          <w:lang w:val="fr-BE"/>
        </w:rPr>
        <w:t xml:space="preserve">principes généraux du droit de l'Union et </w:t>
      </w:r>
      <w:r w:rsidRPr="00543B6E">
        <w:rPr>
          <w:lang w:val="fr-BE"/>
        </w:rPr>
        <w:t>de la jurisprudence constante, il convient de ne pas traiter différemment des situations comparables et de ne pas traiter de la même manière des situations différentes, à moins qu'un tel traitement ne soit objectivement justifié.</w:t>
      </w:r>
    </w:p>
    <w:p w:rsidR="00EE7F32" w:rsidRPr="00543B6E" w:rsidRDefault="00F407AF" w:rsidP="00F407AF">
      <w:pPr>
        <w:pStyle w:val="ManualConsidrant"/>
        <w:rPr>
          <w:noProof/>
          <w:lang w:val="fr-BE"/>
        </w:rPr>
      </w:pPr>
      <w:r>
        <w:rPr>
          <w:lang w:val="fr-BE"/>
        </w:rPr>
        <w:br w:type="page"/>
      </w:r>
      <w:r w:rsidR="00EE7F32" w:rsidRPr="00543B6E">
        <w:rPr>
          <w:lang w:val="fr-BE"/>
        </w:rPr>
        <w:lastRenderedPageBreak/>
        <w:t>(</w:t>
      </w:r>
      <w:r w:rsidR="000C197A" w:rsidRPr="00543B6E">
        <w:rPr>
          <w:lang w:val="fr-BE"/>
        </w:rPr>
        <w:t>9</w:t>
      </w:r>
      <w:r w:rsidR="00EE7F32" w:rsidRPr="00543B6E">
        <w:rPr>
          <w:lang w:val="fr-BE"/>
        </w:rPr>
        <w:t>)</w:t>
      </w:r>
      <w:r w:rsidR="00EE7F32" w:rsidRPr="00543B6E">
        <w:rPr>
          <w:lang w:val="fr-BE"/>
        </w:rPr>
        <w:tab/>
        <w:t xml:space="preserve">L'objectif d'une gestion raisonnable du trafic est de contribuer à une utilisation efficace des ressources du réseau et à une optimisation de la qualité de transmission globale répondant aux </w:t>
      </w:r>
      <w:r w:rsidR="00EE7F32" w:rsidRPr="00543B6E">
        <w:rPr>
          <w:noProof/>
          <w:lang w:val="fr-BE"/>
        </w:rPr>
        <w:t xml:space="preserve">différences objectives entre les </w:t>
      </w:r>
      <w:r w:rsidR="00EE7F32" w:rsidRPr="00543B6E">
        <w:rPr>
          <w:lang w:val="fr-BE"/>
        </w:rPr>
        <w:t xml:space="preserve">exigences </w:t>
      </w:r>
      <w:r w:rsidR="00EE7F32" w:rsidRPr="00543B6E">
        <w:rPr>
          <w:noProof/>
          <w:lang w:val="fr-BE"/>
        </w:rPr>
        <w:t>techniques en matière de qualité de service</w:t>
      </w:r>
      <w:r>
        <w:rPr>
          <w:lang w:val="fr-BE"/>
        </w:rPr>
        <w:t xml:space="preserve"> </w:t>
      </w:r>
      <w:r w:rsidR="00EE7F32" w:rsidRPr="00543B6E">
        <w:rPr>
          <w:lang w:val="fr-BE"/>
        </w:rPr>
        <w:t xml:space="preserve">propres à des </w:t>
      </w:r>
      <w:r w:rsidR="00EE7F32" w:rsidRPr="00543B6E">
        <w:rPr>
          <w:noProof/>
          <w:lang w:val="fr-BE"/>
        </w:rPr>
        <w:t>catégories spécifiques de trafic et, donc, aux</w:t>
      </w:r>
      <w:r w:rsidR="00EE7F32" w:rsidRPr="00543B6E">
        <w:rPr>
          <w:lang w:val="fr-BE"/>
        </w:rPr>
        <w:t xml:space="preserve"> contenus, </w:t>
      </w:r>
      <w:r w:rsidR="00D508DD" w:rsidRPr="00543B6E">
        <w:rPr>
          <w:lang w:val="fr-BE"/>
        </w:rPr>
        <w:t xml:space="preserve">applications et </w:t>
      </w:r>
      <w:r w:rsidR="00EE7F32" w:rsidRPr="00543B6E">
        <w:rPr>
          <w:lang w:val="fr-BE"/>
        </w:rPr>
        <w:t xml:space="preserve">services transmis. </w:t>
      </w:r>
      <w:r w:rsidR="00EE7F32" w:rsidRPr="00543B6E">
        <w:rPr>
          <w:noProof/>
          <w:lang w:val="fr-BE"/>
        </w:rPr>
        <w:t>L</w:t>
      </w:r>
      <w:r w:rsidR="00EE7F32" w:rsidRPr="00543B6E">
        <w:rPr>
          <w:lang w:val="fr-BE"/>
        </w:rPr>
        <w:t xml:space="preserve">es mesures </w:t>
      </w:r>
      <w:r w:rsidR="009C7FE0" w:rsidRPr="00543B6E">
        <w:rPr>
          <w:lang w:val="fr-BE"/>
        </w:rPr>
        <w:t xml:space="preserve">raisonnables </w:t>
      </w:r>
      <w:r w:rsidR="00EE7F32" w:rsidRPr="00543B6E">
        <w:rPr>
          <w:lang w:val="fr-BE"/>
        </w:rPr>
        <w:t>de gestion du trafic appliquées par les fournisseurs de services d'accès à l'internet devraient être transparentes,</w:t>
      </w:r>
      <w:r w:rsidR="00B04932" w:rsidRPr="00543B6E">
        <w:rPr>
          <w:lang w:val="fr-BE"/>
        </w:rPr>
        <w:t xml:space="preserve"> </w:t>
      </w:r>
      <w:r w:rsidR="00EE7F32" w:rsidRPr="00543B6E">
        <w:rPr>
          <w:lang w:val="fr-BE"/>
        </w:rPr>
        <w:t>non discriminatoires</w:t>
      </w:r>
      <w:r w:rsidR="005B7644" w:rsidRPr="00543B6E">
        <w:rPr>
          <w:lang w:val="fr-BE"/>
        </w:rPr>
        <w:t xml:space="preserve"> et proportionnées</w:t>
      </w:r>
      <w:r w:rsidR="00EE7F32" w:rsidRPr="00543B6E">
        <w:rPr>
          <w:lang w:val="fr-BE"/>
        </w:rPr>
        <w:t xml:space="preserve">, et ne devraient pas </w:t>
      </w:r>
      <w:r w:rsidR="00EE7F32" w:rsidRPr="00543B6E">
        <w:rPr>
          <w:noProof/>
          <w:lang w:val="fr-BE"/>
        </w:rPr>
        <w:t>se fonder sur des considérations commerciales</w:t>
      </w:r>
      <w:r w:rsidR="00EE7F32" w:rsidRPr="00543B6E">
        <w:rPr>
          <w:lang w:val="fr-BE"/>
        </w:rPr>
        <w:t>.</w:t>
      </w:r>
      <w:r w:rsidR="00EE7F32" w:rsidRPr="00543B6E">
        <w:rPr>
          <w:noProof/>
          <w:lang w:val="fr-BE"/>
        </w:rPr>
        <w:t xml:space="preserve"> </w:t>
      </w:r>
      <w:r w:rsidR="00EE7F32" w:rsidRPr="00543B6E">
        <w:rPr>
          <w:lang w:val="fr-BE"/>
        </w:rPr>
        <w:t xml:space="preserve">L'obligation relative au caractère non discriminatoire des mesures de gestion du trafic n'empêche pas les fournisseurs de services d'accès à l'internet, pour optimiser la qualité de transmission globale, de mettre en œuvre des mesures de gestion du trafic qui établissent une distinction entre </w:t>
      </w:r>
      <w:r w:rsidR="00CF3AD0" w:rsidRPr="00543B6E">
        <w:rPr>
          <w:lang w:val="fr-BE"/>
        </w:rPr>
        <w:t>d</w:t>
      </w:r>
      <w:r w:rsidR="00EE7F32" w:rsidRPr="00543B6E">
        <w:rPr>
          <w:lang w:val="fr-BE"/>
        </w:rPr>
        <w:t>es catégories de trafic</w:t>
      </w:r>
      <w:r w:rsidR="005B7644" w:rsidRPr="00543B6E">
        <w:rPr>
          <w:lang w:val="fr-BE"/>
        </w:rPr>
        <w:t xml:space="preserve"> </w:t>
      </w:r>
      <w:r w:rsidR="000C197A" w:rsidRPr="00543B6E">
        <w:rPr>
          <w:lang w:val="fr-BE"/>
        </w:rPr>
        <w:t>objectivement différentes</w:t>
      </w:r>
      <w:r w:rsidR="00EE7F32" w:rsidRPr="00543B6E">
        <w:rPr>
          <w:lang w:val="fr-BE"/>
        </w:rPr>
        <w:t xml:space="preserve">. </w:t>
      </w:r>
      <w:r w:rsidR="00EE7F32" w:rsidRPr="00204F56">
        <w:rPr>
          <w:lang w:val="fr-BE"/>
        </w:rPr>
        <w:t xml:space="preserve">Pour optimiser la qualité globale et l'expérience des utilisateurs, une telle distinction ne </w:t>
      </w:r>
      <w:r w:rsidR="00EE7F32" w:rsidRPr="00204F56">
        <w:rPr>
          <w:noProof/>
          <w:lang w:val="fr-BE"/>
        </w:rPr>
        <w:t xml:space="preserve">devrait </w:t>
      </w:r>
      <w:r w:rsidR="00EE7F32" w:rsidRPr="00204F56">
        <w:rPr>
          <w:lang w:val="fr-BE"/>
        </w:rPr>
        <w:t>être autorisée que sur la base d</w:t>
      </w:r>
      <w:r w:rsidR="00612DD0" w:rsidRPr="00204F56">
        <w:rPr>
          <w:lang w:val="fr-BE"/>
        </w:rPr>
        <w:t>'</w:t>
      </w:r>
      <w:r w:rsidR="00EE7F32" w:rsidRPr="00204F56">
        <w:rPr>
          <w:lang w:val="fr-BE"/>
        </w:rPr>
        <w:t xml:space="preserve">exigences techniques </w:t>
      </w:r>
      <w:r w:rsidR="000C197A" w:rsidRPr="00204F56">
        <w:rPr>
          <w:lang w:val="fr-BE"/>
        </w:rPr>
        <w:t>objectivement différentes</w:t>
      </w:r>
      <w:r w:rsidR="00EE7F32" w:rsidRPr="00204F56">
        <w:rPr>
          <w:lang w:val="fr-BE"/>
        </w:rPr>
        <w:t xml:space="preserve"> en matière de qualité de service (par exemple, en termes de latence, de gigue, de pertes de paquets et de largeur de bande) relatives aux catégories </w:t>
      </w:r>
      <w:r w:rsidR="00B04932" w:rsidRPr="00204F56">
        <w:rPr>
          <w:lang w:val="fr-BE"/>
        </w:rPr>
        <w:t xml:space="preserve">spécifiques </w:t>
      </w:r>
      <w:r w:rsidR="00EE7F32" w:rsidRPr="00204F56">
        <w:rPr>
          <w:lang w:val="fr-BE"/>
        </w:rPr>
        <w:t xml:space="preserve">de trafic, et non sur la base de considérations commerciales. </w:t>
      </w:r>
      <w:r w:rsidR="00EE7F32" w:rsidRPr="00543B6E">
        <w:rPr>
          <w:lang w:val="fr-BE"/>
        </w:rPr>
        <w:t xml:space="preserve">Ces mesures </w:t>
      </w:r>
      <w:r w:rsidR="000C197A" w:rsidRPr="00543B6E">
        <w:rPr>
          <w:lang w:val="fr-BE"/>
        </w:rPr>
        <w:t xml:space="preserve">différenciées </w:t>
      </w:r>
      <w:r w:rsidR="00EE7F32" w:rsidRPr="00543B6E">
        <w:rPr>
          <w:lang w:val="fr-BE"/>
        </w:rPr>
        <w:t xml:space="preserve">devraient être proportionnées </w:t>
      </w:r>
      <w:r w:rsidR="005436D5" w:rsidRPr="00543B6E">
        <w:rPr>
          <w:lang w:val="fr-BE"/>
        </w:rPr>
        <w:t>par rapport à</w:t>
      </w:r>
      <w:r w:rsidR="00EE7F32" w:rsidRPr="00543B6E">
        <w:rPr>
          <w:lang w:val="fr-BE"/>
        </w:rPr>
        <w:t xml:space="preserve"> l'objectif d</w:t>
      </w:r>
      <w:r>
        <w:rPr>
          <w:lang w:val="fr-BE"/>
        </w:rPr>
        <w:t>'</w:t>
      </w:r>
      <w:r w:rsidR="00EE7F32" w:rsidRPr="00543B6E">
        <w:rPr>
          <w:lang w:val="fr-BE"/>
        </w:rPr>
        <w:t xml:space="preserve">optimisation de la qualité globale et devraient donner lieu à un traitement </w:t>
      </w:r>
      <w:r w:rsidR="00CF3AD0" w:rsidRPr="00543B6E">
        <w:rPr>
          <w:lang w:val="fr-BE"/>
        </w:rPr>
        <w:t xml:space="preserve">égal </w:t>
      </w:r>
      <w:r w:rsidR="00EE7F32" w:rsidRPr="00543B6E">
        <w:rPr>
          <w:lang w:val="fr-BE"/>
        </w:rPr>
        <w:t xml:space="preserve">des </w:t>
      </w:r>
      <w:r w:rsidR="00A8377A" w:rsidRPr="00543B6E">
        <w:rPr>
          <w:lang w:val="fr-BE"/>
        </w:rPr>
        <w:t xml:space="preserve">catégories </w:t>
      </w:r>
      <w:r w:rsidR="00EE7F32" w:rsidRPr="00543B6E">
        <w:rPr>
          <w:lang w:val="fr-BE"/>
        </w:rPr>
        <w:t>de trafic équivalent</w:t>
      </w:r>
      <w:r w:rsidR="00A8377A" w:rsidRPr="00543B6E">
        <w:rPr>
          <w:lang w:val="fr-BE"/>
        </w:rPr>
        <w:t>e</w:t>
      </w:r>
      <w:r w:rsidR="00EE7F32" w:rsidRPr="00543B6E">
        <w:rPr>
          <w:lang w:val="fr-BE"/>
        </w:rPr>
        <w:t xml:space="preserve">s. </w:t>
      </w:r>
      <w:r w:rsidR="00E760E7" w:rsidRPr="00543B6E">
        <w:rPr>
          <w:lang w:val="fr-BE"/>
        </w:rPr>
        <w:t>Ces mesures</w:t>
      </w:r>
      <w:r w:rsidR="00EE7F32" w:rsidRPr="00543B6E">
        <w:rPr>
          <w:lang w:val="fr-BE"/>
        </w:rPr>
        <w:t xml:space="preserve"> ne devraient pas être appliquées plus longtemps que nécessaire.</w:t>
      </w:r>
    </w:p>
    <w:p w:rsidR="00EE7F32" w:rsidRPr="00543B6E" w:rsidRDefault="00EE7F32" w:rsidP="00F407AF">
      <w:pPr>
        <w:pStyle w:val="ManualConsidrant"/>
        <w:rPr>
          <w:lang w:val="fr-BE"/>
        </w:rPr>
      </w:pPr>
      <w:r w:rsidRPr="00543B6E">
        <w:rPr>
          <w:lang w:val="fr-BE"/>
        </w:rPr>
        <w:t>(</w:t>
      </w:r>
      <w:r w:rsidR="00954795" w:rsidRPr="00543B6E">
        <w:rPr>
          <w:lang w:val="fr-BE"/>
        </w:rPr>
        <w:t>10</w:t>
      </w:r>
      <w:r w:rsidR="00F407AF">
        <w:rPr>
          <w:lang w:val="fr-BE"/>
        </w:rPr>
        <w:t>)</w:t>
      </w:r>
      <w:r w:rsidR="00F407AF">
        <w:rPr>
          <w:lang w:val="fr-BE"/>
        </w:rPr>
        <w:tab/>
      </w:r>
      <w:r w:rsidRPr="00543B6E">
        <w:rPr>
          <w:lang w:val="fr-BE"/>
        </w:rPr>
        <w:t xml:space="preserve">Une gestion raisonnable du trafic ne nécessite pas de techniques qui </w:t>
      </w:r>
      <w:r w:rsidR="009C7FE0" w:rsidRPr="00543B6E">
        <w:rPr>
          <w:lang w:val="fr-BE"/>
        </w:rPr>
        <w:t xml:space="preserve">surveillent </w:t>
      </w:r>
      <w:r w:rsidRPr="00543B6E">
        <w:rPr>
          <w:lang w:val="fr-BE"/>
        </w:rPr>
        <w:t xml:space="preserve">le contenu </w:t>
      </w:r>
      <w:r w:rsidRPr="00543B6E">
        <w:rPr>
          <w:noProof/>
          <w:lang w:val="fr-BE"/>
        </w:rPr>
        <w:t>spécifique</w:t>
      </w:r>
      <w:r w:rsidRPr="00543B6E">
        <w:rPr>
          <w:lang w:val="fr-BE"/>
        </w:rPr>
        <w:t xml:space="preserve"> du </w:t>
      </w:r>
      <w:r w:rsidRPr="00543B6E">
        <w:rPr>
          <w:noProof/>
          <w:lang w:val="fr-BE"/>
        </w:rPr>
        <w:t>trafic</w:t>
      </w:r>
      <w:r w:rsidRPr="00543B6E">
        <w:rPr>
          <w:lang w:val="fr-BE"/>
        </w:rPr>
        <w:t xml:space="preserve"> de</w:t>
      </w:r>
      <w:r w:rsidR="00CF3AD0" w:rsidRPr="00543B6E">
        <w:rPr>
          <w:lang w:val="fr-BE"/>
        </w:rPr>
        <w:t>s</w:t>
      </w:r>
      <w:r w:rsidRPr="00543B6E">
        <w:rPr>
          <w:lang w:val="fr-BE"/>
        </w:rPr>
        <w:t xml:space="preserve"> données </w:t>
      </w:r>
      <w:r w:rsidRPr="00543B6E">
        <w:rPr>
          <w:noProof/>
          <w:lang w:val="fr-BE"/>
        </w:rPr>
        <w:t>transmises par l'intermédiaire du service d'accès à l'internet</w:t>
      </w:r>
      <w:r w:rsidRPr="00543B6E">
        <w:rPr>
          <w:lang w:val="fr-BE"/>
        </w:rPr>
        <w:t>.</w:t>
      </w:r>
    </w:p>
    <w:p w:rsidR="00EE7F32" w:rsidRPr="00543B6E" w:rsidRDefault="00F407AF" w:rsidP="00F407AF">
      <w:pPr>
        <w:pStyle w:val="ManualConsidrant"/>
        <w:rPr>
          <w:lang w:val="fr-BE"/>
        </w:rPr>
      </w:pPr>
      <w:r>
        <w:rPr>
          <w:lang w:val="fr-BE"/>
        </w:rPr>
        <w:br w:type="page"/>
      </w:r>
      <w:r w:rsidR="00EE7F32" w:rsidRPr="00543B6E">
        <w:rPr>
          <w:lang w:val="fr-BE"/>
        </w:rPr>
        <w:lastRenderedPageBreak/>
        <w:t>(</w:t>
      </w:r>
      <w:r w:rsidR="00954795" w:rsidRPr="00543B6E">
        <w:rPr>
          <w:lang w:val="fr-BE"/>
        </w:rPr>
        <w:t>11</w:t>
      </w:r>
      <w:r w:rsidR="00EE7F32" w:rsidRPr="00543B6E">
        <w:rPr>
          <w:lang w:val="fr-BE"/>
        </w:rPr>
        <w:t>)</w:t>
      </w:r>
      <w:r w:rsidR="00EE7F32" w:rsidRPr="00543B6E">
        <w:rPr>
          <w:lang w:val="fr-BE"/>
        </w:rPr>
        <w:tab/>
        <w:t xml:space="preserve">Toutes les pratiques de gestion du trafic qui vont au-delà de telles mesures </w:t>
      </w:r>
      <w:r w:rsidR="00194A27" w:rsidRPr="00543B6E">
        <w:rPr>
          <w:lang w:val="fr-BE"/>
        </w:rPr>
        <w:t xml:space="preserve">raisonnables </w:t>
      </w:r>
      <w:r w:rsidR="00EE7F32" w:rsidRPr="00543B6E">
        <w:rPr>
          <w:lang w:val="fr-BE"/>
        </w:rPr>
        <w:t>de gestion du trafic, en bloquant, en ralentissant,</w:t>
      </w:r>
      <w:r w:rsidR="00932C6C" w:rsidRPr="00543B6E">
        <w:rPr>
          <w:lang w:val="fr-BE"/>
        </w:rPr>
        <w:t xml:space="preserve"> en modifiant,</w:t>
      </w:r>
      <w:r w:rsidR="00EE7F32" w:rsidRPr="00543B6E">
        <w:rPr>
          <w:lang w:val="fr-BE"/>
        </w:rPr>
        <w:t xml:space="preserve"> en </w:t>
      </w:r>
      <w:r w:rsidR="002E44E5" w:rsidRPr="00543B6E">
        <w:rPr>
          <w:lang w:val="fr-BE"/>
        </w:rPr>
        <w:t>restreignant</w:t>
      </w:r>
      <w:r w:rsidR="00EE7F32" w:rsidRPr="00543B6E">
        <w:rPr>
          <w:lang w:val="fr-BE"/>
        </w:rPr>
        <w:t xml:space="preserve">, en </w:t>
      </w:r>
      <w:r w:rsidR="002E44E5" w:rsidRPr="00543B6E">
        <w:rPr>
          <w:lang w:val="fr-BE"/>
        </w:rPr>
        <w:t>perturbant</w:t>
      </w:r>
      <w:r w:rsidR="00EE7F32" w:rsidRPr="00543B6E">
        <w:rPr>
          <w:lang w:val="fr-BE"/>
        </w:rPr>
        <w:t xml:space="preserve">, en dégradant ou en traitant de manière discriminatoire des contenus, des applications ou des services spécifiques ou des catégories spécifiques de contenus, d'applications ou de services, devraient être interdites, sous réserve </w:t>
      </w:r>
      <w:r w:rsidR="00CF3AD0" w:rsidRPr="00543B6E">
        <w:rPr>
          <w:lang w:val="fr-BE"/>
        </w:rPr>
        <w:t xml:space="preserve">des </w:t>
      </w:r>
      <w:r w:rsidR="00EE7F32" w:rsidRPr="00543B6E">
        <w:rPr>
          <w:lang w:val="fr-BE"/>
        </w:rPr>
        <w:t xml:space="preserve">exceptions justifiées et définies prévues par le présent règlement. Ces exceptions devraient faire l'objet d'une interprétation stricte et être soumises </w:t>
      </w:r>
      <w:r w:rsidR="001E11C1" w:rsidRPr="00543B6E">
        <w:rPr>
          <w:lang w:val="fr-BE"/>
        </w:rPr>
        <w:t>à des</w:t>
      </w:r>
      <w:r w:rsidR="00EE7F32" w:rsidRPr="00543B6E">
        <w:rPr>
          <w:lang w:val="fr-BE"/>
        </w:rPr>
        <w:t xml:space="preserve"> </w:t>
      </w:r>
      <w:r>
        <w:rPr>
          <w:lang w:val="fr-BE"/>
        </w:rPr>
        <w:t xml:space="preserve">exigences de proportionnalité. </w:t>
      </w:r>
      <w:r w:rsidR="00EE7F32" w:rsidRPr="00543B6E">
        <w:rPr>
          <w:lang w:val="fr-BE"/>
        </w:rPr>
        <w:t xml:space="preserve">Les contenus, </w:t>
      </w:r>
      <w:r w:rsidR="005D60D4" w:rsidRPr="00543B6E">
        <w:rPr>
          <w:lang w:val="fr-BE"/>
        </w:rPr>
        <w:t xml:space="preserve">applications </w:t>
      </w:r>
      <w:r w:rsidR="00EE7F32" w:rsidRPr="00543B6E">
        <w:rPr>
          <w:lang w:val="fr-BE"/>
        </w:rPr>
        <w:t xml:space="preserve">et </w:t>
      </w:r>
      <w:r w:rsidR="005D60D4" w:rsidRPr="00543B6E">
        <w:rPr>
          <w:lang w:val="fr-BE"/>
        </w:rPr>
        <w:t xml:space="preserve">services </w:t>
      </w:r>
      <w:r w:rsidR="00EE7F32" w:rsidRPr="00543B6E">
        <w:rPr>
          <w:noProof/>
          <w:lang w:val="fr-BE"/>
        </w:rPr>
        <w:t>spécifiques</w:t>
      </w:r>
      <w:r w:rsidR="00EE7F32" w:rsidRPr="00543B6E">
        <w:rPr>
          <w:lang w:val="fr-BE"/>
        </w:rPr>
        <w:t xml:space="preserve">, de même que les catégories </w:t>
      </w:r>
      <w:r w:rsidR="00EE7F32" w:rsidRPr="00543B6E">
        <w:rPr>
          <w:noProof/>
          <w:lang w:val="fr-BE"/>
        </w:rPr>
        <w:t xml:space="preserve">spécifiques </w:t>
      </w:r>
      <w:r w:rsidR="00EE7F32" w:rsidRPr="00543B6E">
        <w:rPr>
          <w:lang w:val="fr-BE"/>
        </w:rPr>
        <w:t xml:space="preserve">de contenus, </w:t>
      </w:r>
      <w:r w:rsidR="005D60D4" w:rsidRPr="00543B6E">
        <w:rPr>
          <w:lang w:val="fr-BE"/>
        </w:rPr>
        <w:t>d'applications</w:t>
      </w:r>
      <w:r w:rsidR="005D60D4" w:rsidRPr="00543B6E" w:rsidDel="005D60D4">
        <w:rPr>
          <w:lang w:val="fr-BE"/>
        </w:rPr>
        <w:t xml:space="preserve"> </w:t>
      </w:r>
      <w:r w:rsidR="00EE7F32" w:rsidRPr="00543B6E">
        <w:rPr>
          <w:lang w:val="fr-BE"/>
        </w:rPr>
        <w:t xml:space="preserve">et </w:t>
      </w:r>
      <w:r w:rsidR="005D60D4" w:rsidRPr="00543B6E">
        <w:rPr>
          <w:lang w:val="fr-BE"/>
        </w:rPr>
        <w:t>de services</w:t>
      </w:r>
      <w:r w:rsidR="00EE7F32" w:rsidRPr="00543B6E">
        <w:rPr>
          <w:lang w:val="fr-BE"/>
        </w:rPr>
        <w:t xml:space="preserve">, </w:t>
      </w:r>
      <w:r w:rsidR="001E11C1" w:rsidRPr="00543B6E">
        <w:rPr>
          <w:lang w:val="fr-BE"/>
        </w:rPr>
        <w:t xml:space="preserve">devraient être protégés </w:t>
      </w:r>
      <w:r w:rsidR="00EE7F32" w:rsidRPr="00543B6E">
        <w:rPr>
          <w:lang w:val="fr-BE"/>
        </w:rPr>
        <w:t xml:space="preserve">en raison de l'incidence négative </w:t>
      </w:r>
      <w:r w:rsidR="00EE7F32" w:rsidRPr="00543B6E">
        <w:rPr>
          <w:noProof/>
          <w:lang w:val="fr-BE"/>
        </w:rPr>
        <w:t>de mesures de blocage ou d'autres mesures restrictives ne relevant pas des exceptions justifiées</w:t>
      </w:r>
      <w:r w:rsidR="00EE7F32" w:rsidRPr="00543B6E">
        <w:rPr>
          <w:lang w:val="fr-BE"/>
        </w:rPr>
        <w:t xml:space="preserve"> sur le choix offert aux utilisateurs finals et sur l'innovation. Les règles interdisant la modification des contenus,</w:t>
      </w:r>
      <w:r w:rsidR="00AD513D" w:rsidRPr="00543B6E">
        <w:rPr>
          <w:lang w:val="fr-BE"/>
        </w:rPr>
        <w:t xml:space="preserve"> des </w:t>
      </w:r>
      <w:r w:rsidR="00932C6C" w:rsidRPr="00543B6E">
        <w:rPr>
          <w:lang w:val="fr-BE"/>
        </w:rPr>
        <w:t xml:space="preserve">applications ou </w:t>
      </w:r>
      <w:r w:rsidR="00AD513D" w:rsidRPr="00543B6E">
        <w:rPr>
          <w:lang w:val="fr-BE"/>
        </w:rPr>
        <w:t xml:space="preserve">des </w:t>
      </w:r>
      <w:r w:rsidR="00EE7F32" w:rsidRPr="00543B6E">
        <w:rPr>
          <w:lang w:val="fr-BE"/>
        </w:rPr>
        <w:t xml:space="preserve">services concernent les modifications du contenu de la communication, mais n'interdisent pas les techniques de compression de données non discriminatoires qui réduisent la taille des fichiers de données sans en modifier le contenu. </w:t>
      </w:r>
      <w:r w:rsidR="002433F1" w:rsidRPr="00543B6E">
        <w:rPr>
          <w:lang w:val="fr-BE"/>
        </w:rPr>
        <w:t>Une telle</w:t>
      </w:r>
      <w:r w:rsidR="00EE7F32" w:rsidRPr="00543B6E">
        <w:rPr>
          <w:lang w:val="fr-BE"/>
        </w:rPr>
        <w:t xml:space="preserve"> compression permet une utilisation plus efficace de ressources limitées et sert l'intérêt </w:t>
      </w:r>
      <w:r w:rsidR="002433F1" w:rsidRPr="00543B6E">
        <w:rPr>
          <w:lang w:val="fr-BE"/>
        </w:rPr>
        <w:t>d</w:t>
      </w:r>
      <w:r w:rsidR="00EE7F32" w:rsidRPr="00543B6E">
        <w:rPr>
          <w:lang w:val="fr-BE"/>
        </w:rPr>
        <w:t xml:space="preserve">es utilisateurs finals </w:t>
      </w:r>
      <w:r w:rsidR="00932C6C" w:rsidRPr="00543B6E">
        <w:rPr>
          <w:lang w:val="fr-BE"/>
        </w:rPr>
        <w:t>en</w:t>
      </w:r>
      <w:r w:rsidR="00EE7F32" w:rsidRPr="00543B6E">
        <w:rPr>
          <w:lang w:val="fr-BE"/>
        </w:rPr>
        <w:t xml:space="preserve"> rédu</w:t>
      </w:r>
      <w:r w:rsidR="00932C6C" w:rsidRPr="00543B6E">
        <w:rPr>
          <w:lang w:val="fr-BE"/>
        </w:rPr>
        <w:t>isant</w:t>
      </w:r>
      <w:r w:rsidR="00EE7F32" w:rsidRPr="00543B6E">
        <w:rPr>
          <w:lang w:val="fr-BE"/>
        </w:rPr>
        <w:t xml:space="preserve"> </w:t>
      </w:r>
      <w:r w:rsidR="00932C6C" w:rsidRPr="00543B6E">
        <w:rPr>
          <w:lang w:val="fr-BE"/>
        </w:rPr>
        <w:t>l</w:t>
      </w:r>
      <w:r w:rsidR="00EE7F32" w:rsidRPr="00543B6E">
        <w:rPr>
          <w:lang w:val="fr-BE"/>
        </w:rPr>
        <w:t xml:space="preserve">es volumes de données, </w:t>
      </w:r>
      <w:r w:rsidR="002433F1" w:rsidRPr="00543B6E">
        <w:rPr>
          <w:lang w:val="fr-BE"/>
        </w:rPr>
        <w:t xml:space="preserve">en </w:t>
      </w:r>
      <w:r w:rsidR="00EE7F32" w:rsidRPr="00543B6E">
        <w:rPr>
          <w:lang w:val="fr-BE"/>
        </w:rPr>
        <w:t>augmenta</w:t>
      </w:r>
      <w:r w:rsidR="002433F1" w:rsidRPr="00543B6E">
        <w:rPr>
          <w:lang w:val="fr-BE"/>
        </w:rPr>
        <w:t>n</w:t>
      </w:r>
      <w:r w:rsidR="00EE7F32" w:rsidRPr="00543B6E">
        <w:rPr>
          <w:lang w:val="fr-BE"/>
        </w:rPr>
        <w:t xml:space="preserve">t la vitesse et </w:t>
      </w:r>
      <w:r w:rsidR="002433F1" w:rsidRPr="00543B6E">
        <w:rPr>
          <w:lang w:val="fr-BE"/>
        </w:rPr>
        <w:t xml:space="preserve">en </w:t>
      </w:r>
      <w:r w:rsidR="00EE7F32" w:rsidRPr="00543B6E">
        <w:rPr>
          <w:lang w:val="fr-BE"/>
        </w:rPr>
        <w:t>améliora</w:t>
      </w:r>
      <w:r w:rsidR="002433F1" w:rsidRPr="00543B6E">
        <w:rPr>
          <w:lang w:val="fr-BE"/>
        </w:rPr>
        <w:t>n</w:t>
      </w:r>
      <w:r w:rsidR="00EE7F32" w:rsidRPr="00543B6E">
        <w:rPr>
          <w:lang w:val="fr-BE"/>
        </w:rPr>
        <w:t xml:space="preserve">t l'expérience concernant l'utilisation des contenus, </w:t>
      </w:r>
      <w:r w:rsidR="00932C6C" w:rsidRPr="00543B6E">
        <w:rPr>
          <w:lang w:val="fr-BE"/>
        </w:rPr>
        <w:t xml:space="preserve">des applications ou </w:t>
      </w:r>
      <w:r w:rsidR="00EE7F32" w:rsidRPr="00543B6E">
        <w:rPr>
          <w:lang w:val="fr-BE"/>
        </w:rPr>
        <w:t>des services en question.</w:t>
      </w:r>
    </w:p>
    <w:p w:rsidR="00EE7F32" w:rsidRPr="00543B6E" w:rsidRDefault="00EE7F32" w:rsidP="00F407AF">
      <w:pPr>
        <w:pStyle w:val="ManualConsidrant"/>
        <w:rPr>
          <w:lang w:val="fr-BE"/>
        </w:rPr>
      </w:pPr>
      <w:r w:rsidRPr="00543B6E">
        <w:rPr>
          <w:lang w:val="fr-BE"/>
        </w:rPr>
        <w:t>(</w:t>
      </w:r>
      <w:r w:rsidR="00954795" w:rsidRPr="00543B6E">
        <w:rPr>
          <w:lang w:val="fr-BE"/>
        </w:rPr>
        <w:t>12</w:t>
      </w:r>
      <w:r w:rsidRPr="00543B6E">
        <w:rPr>
          <w:lang w:val="fr-BE"/>
        </w:rPr>
        <w:t>)</w:t>
      </w:r>
      <w:r w:rsidRPr="00543B6E">
        <w:rPr>
          <w:lang w:val="fr-BE"/>
        </w:rPr>
        <w:tab/>
      </w:r>
      <w:r w:rsidR="00954795" w:rsidRPr="00543B6E">
        <w:rPr>
          <w:lang w:val="fr-BE"/>
        </w:rPr>
        <w:t>D</w:t>
      </w:r>
      <w:r w:rsidRPr="00543B6E">
        <w:rPr>
          <w:lang w:val="fr-BE"/>
        </w:rPr>
        <w:t xml:space="preserve">es mesures de gestion du trafic </w:t>
      </w:r>
      <w:r w:rsidR="000B220D" w:rsidRPr="00543B6E">
        <w:rPr>
          <w:lang w:val="fr-BE"/>
        </w:rPr>
        <w:t>qui vont</w:t>
      </w:r>
      <w:r w:rsidRPr="00543B6E">
        <w:rPr>
          <w:lang w:val="fr-BE"/>
        </w:rPr>
        <w:t xml:space="preserve"> au-delà de</w:t>
      </w:r>
      <w:r w:rsidR="00954795" w:rsidRPr="00543B6E">
        <w:rPr>
          <w:lang w:val="fr-BE"/>
        </w:rPr>
        <w:t xml:space="preserve"> ce</w:t>
      </w:r>
      <w:r w:rsidRPr="00543B6E">
        <w:rPr>
          <w:lang w:val="fr-BE"/>
        </w:rPr>
        <w:t xml:space="preserve">s mesures </w:t>
      </w:r>
      <w:r w:rsidR="00194A27" w:rsidRPr="00543B6E">
        <w:rPr>
          <w:lang w:val="fr-BE"/>
        </w:rPr>
        <w:t xml:space="preserve">raisonnables </w:t>
      </w:r>
      <w:r w:rsidRPr="00543B6E">
        <w:rPr>
          <w:lang w:val="fr-BE"/>
        </w:rPr>
        <w:t xml:space="preserve">de gestion du trafic </w:t>
      </w:r>
      <w:r w:rsidR="00954795" w:rsidRPr="00543B6E">
        <w:rPr>
          <w:lang w:val="fr-BE"/>
        </w:rPr>
        <w:t>ne peuvent être appliquées que</w:t>
      </w:r>
      <w:r w:rsidRPr="00543B6E">
        <w:rPr>
          <w:lang w:val="fr-BE"/>
        </w:rPr>
        <w:t xml:space="preserve"> </w:t>
      </w:r>
      <w:r w:rsidR="000F4AFC" w:rsidRPr="00543B6E">
        <w:rPr>
          <w:lang w:val="fr-BE"/>
        </w:rPr>
        <w:t xml:space="preserve">dans la mesure nécessaire </w:t>
      </w:r>
      <w:r w:rsidRPr="00543B6E">
        <w:rPr>
          <w:lang w:val="fr-BE"/>
        </w:rPr>
        <w:t xml:space="preserve">et aussi longtemps qu'elles sont nécessaires pour se conformer aux </w:t>
      </w:r>
      <w:r w:rsidR="00954795" w:rsidRPr="00543B6E">
        <w:rPr>
          <w:lang w:val="fr-BE"/>
        </w:rPr>
        <w:t xml:space="preserve">trois </w:t>
      </w:r>
      <w:r w:rsidRPr="00543B6E">
        <w:rPr>
          <w:lang w:val="fr-BE"/>
        </w:rPr>
        <w:t xml:space="preserve">exceptions justifiées </w:t>
      </w:r>
      <w:r w:rsidR="00F22BE4" w:rsidRPr="00543B6E">
        <w:rPr>
          <w:lang w:val="fr-BE"/>
        </w:rPr>
        <w:t>prévues par</w:t>
      </w:r>
      <w:r w:rsidR="000B220D" w:rsidRPr="00543B6E">
        <w:rPr>
          <w:lang w:val="fr-BE"/>
        </w:rPr>
        <w:t xml:space="preserve"> </w:t>
      </w:r>
      <w:r w:rsidR="000F4AFC" w:rsidRPr="00543B6E">
        <w:rPr>
          <w:lang w:val="fr-BE"/>
        </w:rPr>
        <w:t>le présent</w:t>
      </w:r>
      <w:r w:rsidR="000B220D" w:rsidRPr="00543B6E">
        <w:rPr>
          <w:lang w:val="fr-BE"/>
        </w:rPr>
        <w:t xml:space="preserve"> règlement</w:t>
      </w:r>
      <w:r w:rsidRPr="00543B6E">
        <w:rPr>
          <w:lang w:val="fr-BE"/>
        </w:rPr>
        <w:t>.</w:t>
      </w:r>
    </w:p>
    <w:p w:rsidR="00EE7F32" w:rsidRPr="00F407AF" w:rsidRDefault="00EE7F32" w:rsidP="007768E7">
      <w:pPr>
        <w:pStyle w:val="ManualConsidrant"/>
        <w:rPr>
          <w:lang w:val="fr-BE"/>
        </w:rPr>
      </w:pPr>
      <w:r w:rsidRPr="00543B6E">
        <w:rPr>
          <w:lang w:val="fr-BE"/>
        </w:rPr>
        <w:br w:type="page"/>
      </w:r>
      <w:r w:rsidRPr="00F407AF">
        <w:rPr>
          <w:lang w:val="fr-BE"/>
        </w:rPr>
        <w:lastRenderedPageBreak/>
        <w:t>(</w:t>
      </w:r>
      <w:r w:rsidR="00C655C4" w:rsidRPr="00F407AF">
        <w:rPr>
          <w:lang w:val="fr-BE"/>
        </w:rPr>
        <w:t>13</w:t>
      </w:r>
      <w:r w:rsidRPr="00F407AF">
        <w:rPr>
          <w:lang w:val="fr-BE"/>
        </w:rPr>
        <w:t>)</w:t>
      </w:r>
      <w:r w:rsidRPr="00F407AF">
        <w:rPr>
          <w:lang w:val="fr-BE"/>
        </w:rPr>
        <w:tab/>
      </w:r>
      <w:r w:rsidR="00C655C4" w:rsidRPr="00F407AF">
        <w:rPr>
          <w:lang w:val="fr-BE"/>
        </w:rPr>
        <w:t xml:space="preserve">Premièrement, des situations peuvent se présenter </w:t>
      </w:r>
      <w:r w:rsidR="001E11C1" w:rsidRPr="00F407AF">
        <w:rPr>
          <w:lang w:val="fr-BE"/>
        </w:rPr>
        <w:t>dans lesquelles d</w:t>
      </w:r>
      <w:r w:rsidR="00E760E7" w:rsidRPr="00F407AF">
        <w:rPr>
          <w:lang w:val="fr-BE"/>
        </w:rPr>
        <w:t xml:space="preserve">es </w:t>
      </w:r>
      <w:r w:rsidRPr="00F407AF">
        <w:rPr>
          <w:lang w:val="fr-BE"/>
        </w:rPr>
        <w:t xml:space="preserve">fournisseurs de services d'accès à l'internet </w:t>
      </w:r>
      <w:r w:rsidR="00E760E7" w:rsidRPr="00F407AF">
        <w:rPr>
          <w:lang w:val="fr-BE"/>
        </w:rPr>
        <w:t xml:space="preserve">sont </w:t>
      </w:r>
      <w:r w:rsidRPr="00F407AF">
        <w:rPr>
          <w:lang w:val="fr-BE"/>
        </w:rPr>
        <w:t xml:space="preserve">soumis </w:t>
      </w:r>
      <w:r w:rsidR="001E11C1" w:rsidRPr="00F407AF">
        <w:rPr>
          <w:lang w:val="fr-BE"/>
        </w:rPr>
        <w:t xml:space="preserve">à des </w:t>
      </w:r>
      <w:r w:rsidR="00C655C4" w:rsidRPr="00F407AF">
        <w:rPr>
          <w:lang w:val="fr-BE"/>
        </w:rPr>
        <w:t>actes législatifs</w:t>
      </w:r>
      <w:r w:rsidRPr="00F407AF">
        <w:rPr>
          <w:lang w:val="fr-BE"/>
        </w:rPr>
        <w:t xml:space="preserve"> de l'Union ou à </w:t>
      </w:r>
      <w:r w:rsidR="001E11C1" w:rsidRPr="00F407AF">
        <w:rPr>
          <w:lang w:val="fr-BE"/>
        </w:rPr>
        <w:t xml:space="preserve">de </w:t>
      </w:r>
      <w:r w:rsidRPr="00F407AF">
        <w:rPr>
          <w:lang w:val="fr-BE"/>
        </w:rPr>
        <w:t xml:space="preserve">la législation nationale </w:t>
      </w:r>
      <w:r w:rsidR="006F2763" w:rsidRPr="00F407AF">
        <w:rPr>
          <w:lang w:val="fr-BE"/>
        </w:rPr>
        <w:t xml:space="preserve">qui est conforme au droit de l'Union </w:t>
      </w:r>
      <w:r w:rsidRPr="00F407AF">
        <w:rPr>
          <w:lang w:val="fr-BE"/>
        </w:rPr>
        <w:t>(par exemple</w:t>
      </w:r>
      <w:r w:rsidR="00F22BE4" w:rsidRPr="00F407AF">
        <w:rPr>
          <w:lang w:val="fr-BE"/>
        </w:rPr>
        <w:t>,</w:t>
      </w:r>
      <w:r w:rsidRPr="00F407AF">
        <w:rPr>
          <w:lang w:val="fr-BE"/>
        </w:rPr>
        <w:t xml:space="preserve"> en ce qui concerne la légalité des contenus, applications ou services, ou la sécurité publique), y compris le droit pénal </w:t>
      </w:r>
      <w:r w:rsidR="00194A27" w:rsidRPr="00F407AF">
        <w:rPr>
          <w:lang w:val="fr-BE"/>
        </w:rPr>
        <w:t>exigeant</w:t>
      </w:r>
      <w:r w:rsidR="00F22BE4" w:rsidRPr="00F407AF">
        <w:rPr>
          <w:lang w:val="fr-BE"/>
        </w:rPr>
        <w:t>,</w:t>
      </w:r>
      <w:r w:rsidRPr="00F407AF">
        <w:rPr>
          <w:lang w:val="fr-BE"/>
        </w:rPr>
        <w:t xml:space="preserve"> par exemple</w:t>
      </w:r>
      <w:r w:rsidR="00F22BE4" w:rsidRPr="00F407AF">
        <w:rPr>
          <w:lang w:val="fr-BE"/>
        </w:rPr>
        <w:t>,</w:t>
      </w:r>
      <w:r w:rsidRPr="00F407AF">
        <w:rPr>
          <w:lang w:val="fr-BE"/>
        </w:rPr>
        <w:t xml:space="preserve"> le blocage de contenus, d'applications ou de services spécifiques</w:t>
      </w:r>
      <w:r w:rsidR="00C655C4" w:rsidRPr="00F407AF">
        <w:rPr>
          <w:lang w:val="fr-BE"/>
        </w:rPr>
        <w:t>. En outre, des situations peuvent se présenter où ces fournisseurs</w:t>
      </w:r>
      <w:r w:rsidRPr="00F407AF">
        <w:rPr>
          <w:lang w:val="fr-BE"/>
        </w:rPr>
        <w:t xml:space="preserve"> </w:t>
      </w:r>
      <w:r w:rsidR="00C655C4" w:rsidRPr="00F407AF">
        <w:rPr>
          <w:lang w:val="fr-BE"/>
        </w:rPr>
        <w:t>sont soumis</w:t>
      </w:r>
      <w:r w:rsidRPr="00F407AF">
        <w:rPr>
          <w:lang w:val="fr-BE"/>
        </w:rPr>
        <w:t xml:space="preserve"> à des mesures </w:t>
      </w:r>
      <w:r w:rsidR="00556EAC" w:rsidRPr="00F407AF">
        <w:rPr>
          <w:lang w:val="fr-BE"/>
        </w:rPr>
        <w:t xml:space="preserve">conformes au droit de l'Union </w:t>
      </w:r>
      <w:r w:rsidRPr="00F407AF">
        <w:rPr>
          <w:lang w:val="fr-BE"/>
        </w:rPr>
        <w:t xml:space="preserve">mettant en œuvre ou appliquant </w:t>
      </w:r>
      <w:r w:rsidR="001E11C1" w:rsidRPr="00F407AF">
        <w:rPr>
          <w:lang w:val="fr-BE"/>
        </w:rPr>
        <w:t>d</w:t>
      </w:r>
      <w:r w:rsidR="00C655C4" w:rsidRPr="00F407AF">
        <w:rPr>
          <w:lang w:val="fr-BE"/>
        </w:rPr>
        <w:t xml:space="preserve">es actes législatifs de l'Union ou </w:t>
      </w:r>
      <w:r w:rsidR="001E11C1" w:rsidRPr="00F407AF">
        <w:rPr>
          <w:lang w:val="fr-BE"/>
        </w:rPr>
        <w:t xml:space="preserve">de </w:t>
      </w:r>
      <w:r w:rsidR="00C655C4" w:rsidRPr="00F407AF">
        <w:rPr>
          <w:lang w:val="fr-BE"/>
        </w:rPr>
        <w:t>la législation nationale</w:t>
      </w:r>
      <w:r w:rsidRPr="00F407AF">
        <w:rPr>
          <w:lang w:val="fr-BE"/>
        </w:rPr>
        <w:t xml:space="preserve">, telles que des mesures </w:t>
      </w:r>
      <w:r w:rsidR="001E11C1" w:rsidRPr="00F407AF">
        <w:rPr>
          <w:lang w:val="fr-BE"/>
        </w:rPr>
        <w:t>d</w:t>
      </w:r>
      <w:r w:rsidR="00F407AF" w:rsidRPr="00F407AF">
        <w:rPr>
          <w:lang w:val="fr-BE"/>
        </w:rPr>
        <w:t>'</w:t>
      </w:r>
      <w:r w:rsidR="001E11C1" w:rsidRPr="00F407AF">
        <w:rPr>
          <w:lang w:val="fr-BE"/>
        </w:rPr>
        <w:t>application</w:t>
      </w:r>
      <w:r w:rsidRPr="00F407AF">
        <w:rPr>
          <w:lang w:val="fr-BE"/>
        </w:rPr>
        <w:t xml:space="preserve"> générale, des décisions de justice, des décisions </w:t>
      </w:r>
      <w:r w:rsidR="00F22BE4" w:rsidRPr="00F407AF">
        <w:rPr>
          <w:lang w:val="fr-BE"/>
        </w:rPr>
        <w:t>d</w:t>
      </w:r>
      <w:r w:rsidR="00F407AF" w:rsidRPr="00F407AF">
        <w:rPr>
          <w:lang w:val="fr-BE"/>
        </w:rPr>
        <w:t>'</w:t>
      </w:r>
      <w:r w:rsidRPr="00F407AF">
        <w:rPr>
          <w:lang w:val="fr-BE"/>
        </w:rPr>
        <w:t xml:space="preserve">autorités publiques investies des pouvoirs pertinents ou d'autres mesures </w:t>
      </w:r>
      <w:r w:rsidR="001E11C1" w:rsidRPr="00F407AF">
        <w:rPr>
          <w:lang w:val="fr-BE"/>
        </w:rPr>
        <w:t xml:space="preserve">visant à garantir </w:t>
      </w:r>
      <w:r w:rsidRPr="00F407AF">
        <w:rPr>
          <w:lang w:val="fr-BE"/>
        </w:rPr>
        <w:t xml:space="preserve">le respect de </w:t>
      </w:r>
      <w:r w:rsidR="00C655C4" w:rsidRPr="00F407AF">
        <w:rPr>
          <w:lang w:val="fr-BE"/>
        </w:rPr>
        <w:t xml:space="preserve">ces actes législatifs de l'Union ou de </w:t>
      </w:r>
      <w:r w:rsidRPr="00F407AF">
        <w:rPr>
          <w:lang w:val="fr-BE"/>
        </w:rPr>
        <w:t xml:space="preserve">cette législation </w:t>
      </w:r>
      <w:r w:rsidR="00C655C4" w:rsidRPr="00F407AF">
        <w:rPr>
          <w:lang w:val="fr-BE"/>
        </w:rPr>
        <w:t xml:space="preserve">nationale </w:t>
      </w:r>
      <w:r w:rsidRPr="00F407AF">
        <w:rPr>
          <w:lang w:val="fr-BE"/>
        </w:rPr>
        <w:t xml:space="preserve">(par exemple, </w:t>
      </w:r>
      <w:r w:rsidR="00F22BE4" w:rsidRPr="00F407AF">
        <w:rPr>
          <w:lang w:val="fr-BE"/>
        </w:rPr>
        <w:t xml:space="preserve">des </w:t>
      </w:r>
      <w:r w:rsidRPr="00F407AF">
        <w:rPr>
          <w:lang w:val="fr-BE"/>
        </w:rPr>
        <w:t xml:space="preserve">obligations de respecter des décisions de justice ou des décisions </w:t>
      </w:r>
      <w:r w:rsidR="00F22BE4" w:rsidRPr="00F407AF">
        <w:rPr>
          <w:lang w:val="fr-BE"/>
        </w:rPr>
        <w:t>d</w:t>
      </w:r>
      <w:r w:rsidR="00F407AF" w:rsidRPr="00F407AF">
        <w:rPr>
          <w:lang w:val="fr-BE"/>
        </w:rPr>
        <w:t>'</w:t>
      </w:r>
      <w:r w:rsidRPr="00F407AF">
        <w:rPr>
          <w:lang w:val="fr-BE"/>
        </w:rPr>
        <w:t xml:space="preserve">autorités publiques exigeant le blocage de contenus illégaux). L'obligation de respect du droit de l'Union concerne, entre autres, le respect des </w:t>
      </w:r>
      <w:r w:rsidR="00F22BE4" w:rsidRPr="00F407AF">
        <w:rPr>
          <w:lang w:val="fr-BE"/>
        </w:rPr>
        <w:t>exigences contenues</w:t>
      </w:r>
      <w:r w:rsidRPr="00F407AF">
        <w:rPr>
          <w:lang w:val="fr-BE"/>
        </w:rPr>
        <w:t xml:space="preserve"> dans la </w:t>
      </w:r>
      <w:r w:rsidR="00F22BE4" w:rsidRPr="00F407AF">
        <w:rPr>
          <w:lang w:val="fr-BE"/>
        </w:rPr>
        <w:t>C</w:t>
      </w:r>
      <w:r w:rsidRPr="00F407AF">
        <w:rPr>
          <w:lang w:val="fr-BE"/>
        </w:rPr>
        <w:t xml:space="preserve">harte des droits fondamentaux de l'Union européenne </w:t>
      </w:r>
      <w:r w:rsidR="00556EAC" w:rsidRPr="00F407AF">
        <w:rPr>
          <w:lang w:val="fr-BE"/>
        </w:rPr>
        <w:t>(</w:t>
      </w:r>
      <w:r w:rsidR="00E316BA" w:rsidRPr="00F407AF">
        <w:rPr>
          <w:lang w:val="fr-BE"/>
        </w:rPr>
        <w:t xml:space="preserve">ci-après dénommée </w:t>
      </w:r>
      <w:r w:rsidR="00556EAC" w:rsidRPr="00F407AF">
        <w:rPr>
          <w:lang w:val="fr-BE"/>
        </w:rPr>
        <w:t xml:space="preserve">"Charte") </w:t>
      </w:r>
      <w:r w:rsidRPr="00F407AF">
        <w:rPr>
          <w:lang w:val="fr-BE"/>
        </w:rPr>
        <w:t xml:space="preserve">pour ce qui est des limitations </w:t>
      </w:r>
      <w:r w:rsidR="00502A43" w:rsidRPr="00F407AF">
        <w:rPr>
          <w:lang w:val="fr-BE"/>
        </w:rPr>
        <w:t>de</w:t>
      </w:r>
      <w:r w:rsidR="00556EAC" w:rsidRPr="00F407AF">
        <w:rPr>
          <w:lang w:val="fr-BE"/>
        </w:rPr>
        <w:t xml:space="preserve"> </w:t>
      </w:r>
      <w:r w:rsidR="00E316BA" w:rsidRPr="00F407AF">
        <w:rPr>
          <w:lang w:val="fr-BE"/>
        </w:rPr>
        <w:t>l</w:t>
      </w:r>
      <w:r w:rsidR="00556EAC" w:rsidRPr="00F407AF">
        <w:rPr>
          <w:lang w:val="fr-BE"/>
        </w:rPr>
        <w:t>'</w:t>
      </w:r>
      <w:r w:rsidR="00E316BA" w:rsidRPr="00F407AF">
        <w:rPr>
          <w:lang w:val="fr-BE"/>
        </w:rPr>
        <w:t>exercice</w:t>
      </w:r>
      <w:r w:rsidR="00556EAC" w:rsidRPr="00F407AF">
        <w:rPr>
          <w:lang w:val="fr-BE"/>
        </w:rPr>
        <w:t xml:space="preserve"> </w:t>
      </w:r>
      <w:r w:rsidRPr="00F407AF">
        <w:rPr>
          <w:lang w:val="fr-BE"/>
        </w:rPr>
        <w:t xml:space="preserve">des </w:t>
      </w:r>
      <w:r w:rsidR="00E316BA" w:rsidRPr="00F407AF">
        <w:rPr>
          <w:lang w:val="fr-BE"/>
        </w:rPr>
        <w:t>droits</w:t>
      </w:r>
      <w:r w:rsidR="00E316BA" w:rsidRPr="00F407AF" w:rsidDel="00E316BA">
        <w:rPr>
          <w:lang w:val="fr-BE"/>
        </w:rPr>
        <w:t xml:space="preserve"> </w:t>
      </w:r>
      <w:r w:rsidRPr="00F407AF">
        <w:rPr>
          <w:lang w:val="fr-BE"/>
        </w:rPr>
        <w:t xml:space="preserve">et </w:t>
      </w:r>
      <w:r w:rsidR="00E316BA" w:rsidRPr="00F407AF">
        <w:rPr>
          <w:lang w:val="fr-BE"/>
        </w:rPr>
        <w:t xml:space="preserve">libertés </w:t>
      </w:r>
      <w:r w:rsidRPr="00F407AF">
        <w:rPr>
          <w:lang w:val="fr-BE"/>
        </w:rPr>
        <w:t xml:space="preserve">fondamentaux. Comme </w:t>
      </w:r>
      <w:r w:rsidR="00F22BE4" w:rsidRPr="00F407AF">
        <w:rPr>
          <w:lang w:val="fr-BE"/>
        </w:rPr>
        <w:t>le prévoit</w:t>
      </w:r>
      <w:r w:rsidRPr="00F407AF">
        <w:rPr>
          <w:lang w:val="fr-BE"/>
        </w:rPr>
        <w:t xml:space="preserve"> la directive</w:t>
      </w:r>
      <w:r w:rsidR="00556EAC" w:rsidRPr="00F407AF">
        <w:rPr>
          <w:lang w:val="fr-BE"/>
        </w:rPr>
        <w:t xml:space="preserve"> 2002/21/CE du Parlement européen et du Conseil</w:t>
      </w:r>
      <w:r w:rsidR="00556EAC" w:rsidRPr="007768E7">
        <w:rPr>
          <w:rStyle w:val="FootnoteReference"/>
        </w:rPr>
        <w:footnoteReference w:id="5"/>
      </w:r>
      <w:r w:rsidRPr="00F407AF">
        <w:rPr>
          <w:lang w:val="fr-BE"/>
        </w:rPr>
        <w:t>, toute</w:t>
      </w:r>
      <w:r w:rsidR="00C377B5" w:rsidRPr="00F407AF">
        <w:rPr>
          <w:lang w:val="fr-BE"/>
        </w:rPr>
        <w:t xml:space="preserve"> mesure </w:t>
      </w:r>
      <w:r w:rsidR="008F50FC" w:rsidRPr="00F407AF">
        <w:rPr>
          <w:rFonts w:eastAsia="Arial Unicode MS"/>
          <w:lang w:val="fr-BE"/>
        </w:rPr>
        <w:t>qui serait susceptible de limiter ces libertés et droits fondamentaux</w:t>
      </w:r>
      <w:r w:rsidR="008F50FC" w:rsidRPr="00F407AF" w:rsidDel="008F50FC">
        <w:rPr>
          <w:lang w:val="fr-BE"/>
        </w:rPr>
        <w:t xml:space="preserve"> </w:t>
      </w:r>
      <w:r w:rsidR="00F22BE4" w:rsidRPr="00F407AF">
        <w:rPr>
          <w:lang w:val="fr-BE"/>
        </w:rPr>
        <w:t xml:space="preserve">ne </w:t>
      </w:r>
      <w:r w:rsidR="00C655C4" w:rsidRPr="00F407AF">
        <w:rPr>
          <w:lang w:val="fr-BE"/>
        </w:rPr>
        <w:t>doit</w:t>
      </w:r>
      <w:r w:rsidR="00F22BE4" w:rsidRPr="00F407AF">
        <w:rPr>
          <w:lang w:val="fr-BE"/>
        </w:rPr>
        <w:t xml:space="preserve"> être </w:t>
      </w:r>
      <w:r w:rsidRPr="00F407AF">
        <w:rPr>
          <w:lang w:val="fr-BE"/>
        </w:rPr>
        <w:t xml:space="preserve">instituée que si elle est appropriée, proportionnée et nécessaire dans une société démocratique, et </w:t>
      </w:r>
      <w:r w:rsidR="00C655C4" w:rsidRPr="00F407AF">
        <w:rPr>
          <w:lang w:val="fr-BE"/>
        </w:rPr>
        <w:t xml:space="preserve">si </w:t>
      </w:r>
      <w:r w:rsidRPr="00F407AF">
        <w:rPr>
          <w:lang w:val="fr-BE"/>
        </w:rPr>
        <w:t>sa mise en œuvre est subordonnée à des garanties procédurales adéquates conform</w:t>
      </w:r>
      <w:r w:rsidR="001E11C1" w:rsidRPr="00F407AF">
        <w:rPr>
          <w:lang w:val="fr-BE"/>
        </w:rPr>
        <w:t>es</w:t>
      </w:r>
      <w:r w:rsidRPr="00F407AF">
        <w:rPr>
          <w:lang w:val="fr-BE"/>
        </w:rPr>
        <w:t xml:space="preserve"> à la convention européenne de sauvegarde des droits de l'homme et des libertés fondamentales, y compris </w:t>
      </w:r>
      <w:r w:rsidR="00E760E7" w:rsidRPr="00F407AF">
        <w:rPr>
          <w:lang w:val="fr-BE"/>
        </w:rPr>
        <w:t xml:space="preserve">ses dispositions relatives à </w:t>
      </w:r>
      <w:r w:rsidRPr="00F407AF">
        <w:rPr>
          <w:lang w:val="fr-BE"/>
        </w:rPr>
        <w:t>une protection juridictionnelle effective et à une procédure régulière.</w:t>
      </w:r>
    </w:p>
    <w:p w:rsidR="00EE7F32" w:rsidRPr="00543B6E" w:rsidRDefault="00F407AF" w:rsidP="00F407AF">
      <w:pPr>
        <w:pStyle w:val="ManualConsidrant"/>
        <w:rPr>
          <w:lang w:val="fr-BE"/>
        </w:rPr>
      </w:pPr>
      <w:r>
        <w:rPr>
          <w:lang w:val="fr-BE"/>
        </w:rPr>
        <w:br w:type="page"/>
      </w:r>
      <w:r w:rsidR="00EE7F32" w:rsidRPr="00543B6E">
        <w:rPr>
          <w:lang w:val="fr-BE"/>
        </w:rPr>
        <w:lastRenderedPageBreak/>
        <w:t>(</w:t>
      </w:r>
      <w:r w:rsidR="00C655C4" w:rsidRPr="00543B6E">
        <w:rPr>
          <w:lang w:val="fr-BE"/>
        </w:rPr>
        <w:t>14</w:t>
      </w:r>
      <w:r>
        <w:rPr>
          <w:lang w:val="fr-BE"/>
        </w:rPr>
        <w:t>)</w:t>
      </w:r>
      <w:r>
        <w:rPr>
          <w:lang w:val="fr-BE"/>
        </w:rPr>
        <w:tab/>
      </w:r>
      <w:r w:rsidR="00C655C4" w:rsidRPr="00543B6E">
        <w:rPr>
          <w:lang w:val="fr-BE"/>
        </w:rPr>
        <w:t xml:space="preserve">Deuxièmement, </w:t>
      </w:r>
      <w:r w:rsidR="00A8377A" w:rsidRPr="00543B6E">
        <w:rPr>
          <w:lang w:val="fr-BE"/>
        </w:rPr>
        <w:t>d</w:t>
      </w:r>
      <w:r w:rsidR="00EE7F32" w:rsidRPr="00543B6E">
        <w:rPr>
          <w:lang w:val="fr-BE"/>
        </w:rPr>
        <w:t>es mesures de gestion du trafic allant au-delà de</w:t>
      </w:r>
      <w:r w:rsidR="001E11C1" w:rsidRPr="00543B6E">
        <w:rPr>
          <w:lang w:val="fr-BE"/>
        </w:rPr>
        <w:t xml:space="preserve"> telle</w:t>
      </w:r>
      <w:r w:rsidR="00EE7F32" w:rsidRPr="00543B6E">
        <w:rPr>
          <w:lang w:val="fr-BE"/>
        </w:rPr>
        <w:t xml:space="preserve">s mesures </w:t>
      </w:r>
      <w:r w:rsidR="009737DF" w:rsidRPr="00543B6E">
        <w:rPr>
          <w:lang w:val="fr-BE"/>
        </w:rPr>
        <w:t xml:space="preserve">raisonnables </w:t>
      </w:r>
      <w:r w:rsidR="00EE7F32" w:rsidRPr="00543B6E">
        <w:rPr>
          <w:lang w:val="fr-BE"/>
        </w:rPr>
        <w:t xml:space="preserve">de gestion du trafic </w:t>
      </w:r>
      <w:r w:rsidR="009E0A8C" w:rsidRPr="00543B6E">
        <w:rPr>
          <w:lang w:val="fr-BE"/>
        </w:rPr>
        <w:t>pourraient être nécessaires pour</w:t>
      </w:r>
      <w:r w:rsidR="00E760E7" w:rsidRPr="00543B6E">
        <w:rPr>
          <w:lang w:val="fr-BE"/>
        </w:rPr>
        <w:t xml:space="preserve"> </w:t>
      </w:r>
      <w:r w:rsidR="00EE7F32" w:rsidRPr="00543B6E">
        <w:rPr>
          <w:lang w:val="fr-BE"/>
        </w:rPr>
        <w:t xml:space="preserve">protéger l'intégrité et la sécurité du réseau, par exemple </w:t>
      </w:r>
      <w:r w:rsidR="000A17FE" w:rsidRPr="00543B6E">
        <w:rPr>
          <w:lang w:val="fr-BE"/>
        </w:rPr>
        <w:t>en</w:t>
      </w:r>
      <w:r w:rsidR="00EE7F32" w:rsidRPr="00543B6E">
        <w:rPr>
          <w:lang w:val="fr-BE"/>
        </w:rPr>
        <w:t xml:space="preserve"> préven</w:t>
      </w:r>
      <w:r w:rsidR="000A17FE" w:rsidRPr="00543B6E">
        <w:rPr>
          <w:lang w:val="fr-BE"/>
        </w:rPr>
        <w:t>ant</w:t>
      </w:r>
      <w:r w:rsidR="00EE7F32" w:rsidRPr="00543B6E">
        <w:rPr>
          <w:lang w:val="fr-BE"/>
        </w:rPr>
        <w:t xml:space="preserve"> les cyberattaques </w:t>
      </w:r>
      <w:r w:rsidR="00B346F1" w:rsidRPr="00543B6E">
        <w:rPr>
          <w:lang w:val="fr-BE"/>
        </w:rPr>
        <w:t xml:space="preserve">qui se produisent </w:t>
      </w:r>
      <w:r w:rsidR="00EE7F32" w:rsidRPr="00543B6E">
        <w:rPr>
          <w:lang w:val="fr-BE"/>
        </w:rPr>
        <w:t xml:space="preserve">par la diffusion de logiciels malveillants ou l'usurpation d'identité des utilisateurs finals </w:t>
      </w:r>
      <w:r w:rsidR="00B346F1" w:rsidRPr="00543B6E">
        <w:rPr>
          <w:lang w:val="fr-BE"/>
        </w:rPr>
        <w:t>qu</w:t>
      </w:r>
      <w:r w:rsidR="00A8377A" w:rsidRPr="00543B6E">
        <w:rPr>
          <w:lang w:val="fr-BE"/>
        </w:rPr>
        <w:t>i</w:t>
      </w:r>
      <w:r w:rsidR="00B346F1" w:rsidRPr="00543B6E">
        <w:rPr>
          <w:lang w:val="fr-BE"/>
        </w:rPr>
        <w:t xml:space="preserve"> </w:t>
      </w:r>
      <w:r w:rsidR="00E760E7" w:rsidRPr="00543B6E">
        <w:rPr>
          <w:lang w:val="fr-BE"/>
        </w:rPr>
        <w:t>résulte de</w:t>
      </w:r>
      <w:r w:rsidR="00EE7F32" w:rsidRPr="00543B6E">
        <w:rPr>
          <w:lang w:val="fr-BE"/>
        </w:rPr>
        <w:t xml:space="preserve"> </w:t>
      </w:r>
      <w:r w:rsidR="000A17FE" w:rsidRPr="00543B6E">
        <w:rPr>
          <w:lang w:val="fr-BE"/>
        </w:rPr>
        <w:t xml:space="preserve">l'utilisation </w:t>
      </w:r>
      <w:r w:rsidR="00EE7F32" w:rsidRPr="00543B6E">
        <w:rPr>
          <w:lang w:val="fr-BE"/>
        </w:rPr>
        <w:t>de logiciels espions.</w:t>
      </w:r>
    </w:p>
    <w:p w:rsidR="00EE7F32" w:rsidRPr="00543B6E" w:rsidRDefault="00EE7F32" w:rsidP="00F407AF">
      <w:pPr>
        <w:pStyle w:val="ManualConsidrant"/>
        <w:rPr>
          <w:lang w:val="fr-BE"/>
        </w:rPr>
      </w:pPr>
      <w:r w:rsidRPr="00543B6E">
        <w:rPr>
          <w:lang w:val="fr-BE"/>
        </w:rPr>
        <w:t>(</w:t>
      </w:r>
      <w:r w:rsidR="009E0A8C" w:rsidRPr="00543B6E">
        <w:rPr>
          <w:lang w:val="fr-BE"/>
        </w:rPr>
        <w:t>15</w:t>
      </w:r>
      <w:r w:rsidRPr="00543B6E">
        <w:rPr>
          <w:lang w:val="fr-BE"/>
        </w:rPr>
        <w:t>)</w:t>
      </w:r>
      <w:r w:rsidRPr="00543B6E">
        <w:rPr>
          <w:lang w:val="fr-BE"/>
        </w:rPr>
        <w:tab/>
      </w:r>
      <w:r w:rsidR="009C208C" w:rsidRPr="00543B6E">
        <w:rPr>
          <w:lang w:val="fr-BE"/>
        </w:rPr>
        <w:t xml:space="preserve">Troisièmement, </w:t>
      </w:r>
      <w:r w:rsidR="00644C6E" w:rsidRPr="00543B6E">
        <w:rPr>
          <w:noProof/>
          <w:lang w:val="fr-BE"/>
        </w:rPr>
        <w:t>d</w:t>
      </w:r>
      <w:r w:rsidRPr="00543B6E">
        <w:rPr>
          <w:noProof/>
          <w:lang w:val="fr-BE"/>
        </w:rPr>
        <w:t>es mesures allant</w:t>
      </w:r>
      <w:r w:rsidRPr="00543B6E">
        <w:rPr>
          <w:lang w:val="fr-BE"/>
        </w:rPr>
        <w:t xml:space="preserve"> au-delà </w:t>
      </w:r>
      <w:r w:rsidRPr="00543B6E">
        <w:rPr>
          <w:noProof/>
          <w:lang w:val="fr-BE"/>
        </w:rPr>
        <w:t>de</w:t>
      </w:r>
      <w:r w:rsidR="001E11C1" w:rsidRPr="00543B6E">
        <w:rPr>
          <w:noProof/>
          <w:lang w:val="fr-BE"/>
        </w:rPr>
        <w:t xml:space="preserve"> telle</w:t>
      </w:r>
      <w:r w:rsidRPr="00543B6E">
        <w:rPr>
          <w:noProof/>
          <w:lang w:val="fr-BE"/>
        </w:rPr>
        <w:t xml:space="preserve">s </w:t>
      </w:r>
      <w:r w:rsidRPr="00543B6E">
        <w:rPr>
          <w:lang w:val="fr-BE"/>
        </w:rPr>
        <w:t xml:space="preserve">mesures </w:t>
      </w:r>
      <w:r w:rsidR="00194A27" w:rsidRPr="00543B6E">
        <w:rPr>
          <w:lang w:val="fr-BE"/>
        </w:rPr>
        <w:t xml:space="preserve">raisonnables </w:t>
      </w:r>
      <w:r w:rsidRPr="00543B6E">
        <w:rPr>
          <w:lang w:val="fr-BE"/>
        </w:rPr>
        <w:t>de gestion du trafic</w:t>
      </w:r>
      <w:r w:rsidR="008F67D7" w:rsidRPr="00543B6E">
        <w:rPr>
          <w:noProof/>
          <w:lang w:val="fr-BE"/>
        </w:rPr>
        <w:t xml:space="preserve"> </w:t>
      </w:r>
      <w:r w:rsidR="009C208C" w:rsidRPr="00543B6E">
        <w:rPr>
          <w:noProof/>
          <w:lang w:val="fr-BE"/>
        </w:rPr>
        <w:t>pourraient</w:t>
      </w:r>
      <w:r w:rsidR="009C208C" w:rsidRPr="00543B6E">
        <w:rPr>
          <w:lang w:val="fr-BE"/>
        </w:rPr>
        <w:t xml:space="preserve"> </w:t>
      </w:r>
      <w:r w:rsidR="00644C6E" w:rsidRPr="00543B6E">
        <w:rPr>
          <w:lang w:val="fr-BE"/>
        </w:rPr>
        <w:t xml:space="preserve">également </w:t>
      </w:r>
      <w:r w:rsidR="009C208C" w:rsidRPr="00543B6E">
        <w:rPr>
          <w:lang w:val="fr-BE"/>
        </w:rPr>
        <w:t xml:space="preserve">être </w:t>
      </w:r>
      <w:r w:rsidRPr="00543B6E">
        <w:rPr>
          <w:lang w:val="fr-BE"/>
        </w:rPr>
        <w:t xml:space="preserve">nécessaires pour éviter une congestion imminente du réseau, </w:t>
      </w:r>
      <w:r w:rsidR="00644C6E" w:rsidRPr="00543B6E">
        <w:rPr>
          <w:lang w:val="fr-BE"/>
        </w:rPr>
        <w:t>à savoir</w:t>
      </w:r>
      <w:r w:rsidRPr="00543B6E">
        <w:rPr>
          <w:lang w:val="fr-BE"/>
        </w:rPr>
        <w:t xml:space="preserve"> des situations où une congestion est sur le point de se produire, ainsi que pour atténuer les effets d'une congestion du réseau, </w:t>
      </w:r>
      <w:r w:rsidR="00644C6E" w:rsidRPr="00543B6E">
        <w:rPr>
          <w:lang w:val="fr-BE"/>
        </w:rPr>
        <w:t>lorsque</w:t>
      </w:r>
      <w:r w:rsidRPr="00543B6E">
        <w:rPr>
          <w:lang w:val="fr-BE"/>
        </w:rPr>
        <w:t xml:space="preserve"> celle-ci ne se produi</w:t>
      </w:r>
      <w:r w:rsidR="008F67D7" w:rsidRPr="00543B6E">
        <w:rPr>
          <w:lang w:val="fr-BE"/>
        </w:rPr>
        <w:t>t</w:t>
      </w:r>
      <w:r w:rsidRPr="00543B6E">
        <w:rPr>
          <w:lang w:val="fr-BE"/>
        </w:rPr>
        <w:t xml:space="preserve"> que temporairement ou dans des circonstances exceptionnelles. </w:t>
      </w:r>
      <w:r w:rsidRPr="00543B6E">
        <w:rPr>
          <w:noProof/>
          <w:lang w:val="fr-BE"/>
        </w:rPr>
        <w:t xml:space="preserve">Le principe de proportionnalité exige que les mesures de gestion du trafic fondées sur cette exception traitent de manière </w:t>
      </w:r>
      <w:r w:rsidR="00A8377A" w:rsidRPr="00543B6E">
        <w:rPr>
          <w:noProof/>
          <w:lang w:val="fr-BE"/>
        </w:rPr>
        <w:t>égale d</w:t>
      </w:r>
      <w:r w:rsidRPr="00543B6E">
        <w:rPr>
          <w:noProof/>
          <w:lang w:val="fr-BE"/>
        </w:rPr>
        <w:t>es catégories de trafic équivalentes.</w:t>
      </w:r>
      <w:r w:rsidRPr="00543B6E">
        <w:rPr>
          <w:lang w:val="fr-BE"/>
        </w:rPr>
        <w:t xml:space="preserve"> Par congestion temporaire, on devrait entendre des situations spécifiques de courte durée dans lesquelles une augmentation soudaine du nombre d'utilisateurs venant s'ajouter aux utilisateurs habituels, ou une augmentation soudaine de la demande d</w:t>
      </w:r>
      <w:r w:rsidR="00194A27" w:rsidRPr="00543B6E">
        <w:rPr>
          <w:lang w:val="fr-BE"/>
        </w:rPr>
        <w:t>e</w:t>
      </w:r>
      <w:r w:rsidRPr="00543B6E">
        <w:rPr>
          <w:lang w:val="fr-BE"/>
        </w:rPr>
        <w:t xml:space="preserve"> contenu</w:t>
      </w:r>
      <w:r w:rsidR="001E11C1" w:rsidRPr="00543B6E">
        <w:rPr>
          <w:lang w:val="fr-BE"/>
        </w:rPr>
        <w:t>s</w:t>
      </w:r>
      <w:r w:rsidR="008F67D7" w:rsidRPr="00543B6E">
        <w:rPr>
          <w:lang w:val="fr-BE"/>
        </w:rPr>
        <w:t>, d'application</w:t>
      </w:r>
      <w:r w:rsidR="00194A27" w:rsidRPr="00543B6E">
        <w:rPr>
          <w:lang w:val="fr-BE"/>
        </w:rPr>
        <w:t>s</w:t>
      </w:r>
      <w:r w:rsidRPr="00543B6E">
        <w:rPr>
          <w:lang w:val="fr-BE"/>
        </w:rPr>
        <w:t xml:space="preserve"> ou d</w:t>
      </w:r>
      <w:r w:rsidR="00194A27" w:rsidRPr="00543B6E">
        <w:rPr>
          <w:lang w:val="fr-BE"/>
        </w:rPr>
        <w:t>e</w:t>
      </w:r>
      <w:r w:rsidRPr="00543B6E">
        <w:rPr>
          <w:lang w:val="fr-BE"/>
        </w:rPr>
        <w:t xml:space="preserve"> service</w:t>
      </w:r>
      <w:r w:rsidR="00194A27" w:rsidRPr="00543B6E">
        <w:rPr>
          <w:lang w:val="fr-BE"/>
        </w:rPr>
        <w:t>s</w:t>
      </w:r>
      <w:r w:rsidRPr="00543B6E">
        <w:rPr>
          <w:lang w:val="fr-BE"/>
        </w:rPr>
        <w:t xml:space="preserve"> </w:t>
      </w:r>
      <w:r w:rsidR="008F67D7" w:rsidRPr="00543B6E">
        <w:rPr>
          <w:lang w:val="fr-BE"/>
        </w:rPr>
        <w:t>spécifique</w:t>
      </w:r>
      <w:r w:rsidR="00194A27" w:rsidRPr="00543B6E">
        <w:rPr>
          <w:lang w:val="fr-BE"/>
        </w:rPr>
        <w:t>s</w:t>
      </w:r>
      <w:r w:rsidRPr="00543B6E">
        <w:rPr>
          <w:lang w:val="fr-BE"/>
        </w:rPr>
        <w:t xml:space="preserve">, peut saturer la capacité de transmission de certains éléments du réseau et diminuer la capacité de réaction du reste du réseau. Une congestion temporaire </w:t>
      </w:r>
      <w:r w:rsidR="009C208C" w:rsidRPr="00543B6E">
        <w:rPr>
          <w:lang w:val="fr-BE"/>
        </w:rPr>
        <w:t xml:space="preserve">pourrait </w:t>
      </w:r>
      <w:r w:rsidRPr="00543B6E">
        <w:rPr>
          <w:lang w:val="fr-BE"/>
        </w:rPr>
        <w:t xml:space="preserve">notamment se produire sur les réseaux mobiles, qui sont soumis à des conditions plus variables, telles que des obstructions physiques, une moins bonne couverture en intérieur ou un nombre variable d'utilisateurs actifs qui se déplacent. </w:t>
      </w:r>
      <w:r w:rsidR="00567FC4" w:rsidRPr="00543B6E">
        <w:rPr>
          <w:lang w:val="fr-BE"/>
        </w:rPr>
        <w:t xml:space="preserve">Bien </w:t>
      </w:r>
      <w:r w:rsidR="009C208C" w:rsidRPr="00543B6E">
        <w:rPr>
          <w:lang w:val="fr-BE"/>
        </w:rPr>
        <w:t>qu'</w:t>
      </w:r>
      <w:r w:rsidR="006665B2" w:rsidRPr="00543B6E">
        <w:rPr>
          <w:lang w:val="fr-BE"/>
        </w:rPr>
        <w:t xml:space="preserve">il </w:t>
      </w:r>
      <w:r w:rsidR="00567FC4" w:rsidRPr="00543B6E">
        <w:rPr>
          <w:lang w:val="fr-BE"/>
        </w:rPr>
        <w:t>soit</w:t>
      </w:r>
      <w:r w:rsidR="006665B2" w:rsidRPr="00543B6E">
        <w:rPr>
          <w:lang w:val="fr-BE"/>
        </w:rPr>
        <w:t xml:space="preserve"> prévisible </w:t>
      </w:r>
      <w:r w:rsidRPr="00543B6E">
        <w:rPr>
          <w:lang w:val="fr-BE"/>
        </w:rPr>
        <w:t>qu'une telle congestion temporaire</w:t>
      </w:r>
      <w:r w:rsidR="006665B2" w:rsidRPr="00543B6E">
        <w:rPr>
          <w:lang w:val="fr-BE"/>
        </w:rPr>
        <w:t xml:space="preserve"> puisse</w:t>
      </w:r>
      <w:r w:rsidRPr="00543B6E">
        <w:rPr>
          <w:lang w:val="fr-BE"/>
        </w:rPr>
        <w:t xml:space="preserve"> se produi</w:t>
      </w:r>
      <w:r w:rsidR="006665B2" w:rsidRPr="00543B6E">
        <w:rPr>
          <w:lang w:val="fr-BE"/>
        </w:rPr>
        <w:t>re</w:t>
      </w:r>
      <w:r w:rsidRPr="00543B6E">
        <w:rPr>
          <w:lang w:val="fr-BE"/>
        </w:rPr>
        <w:t xml:space="preserve"> de temps à autre à certains points du réseau, de sorte qu'elle ne peut être considérée comme exceptionnelle, elle </w:t>
      </w:r>
      <w:r w:rsidR="006665B2" w:rsidRPr="00543B6E">
        <w:rPr>
          <w:lang w:val="fr-BE"/>
        </w:rPr>
        <w:t xml:space="preserve">ne pourrait pas </w:t>
      </w:r>
      <w:r w:rsidRPr="00543B6E">
        <w:rPr>
          <w:lang w:val="fr-BE"/>
        </w:rPr>
        <w:t xml:space="preserve">se </w:t>
      </w:r>
      <w:r w:rsidR="006665B2" w:rsidRPr="00543B6E">
        <w:rPr>
          <w:lang w:val="fr-BE"/>
        </w:rPr>
        <w:t>répéter</w:t>
      </w:r>
      <w:r w:rsidRPr="00543B6E">
        <w:rPr>
          <w:lang w:val="fr-BE"/>
        </w:rPr>
        <w:t xml:space="preserve"> </w:t>
      </w:r>
      <w:r w:rsidR="006665B2" w:rsidRPr="00543B6E">
        <w:rPr>
          <w:lang w:val="fr-BE"/>
        </w:rPr>
        <w:t>si</w:t>
      </w:r>
      <w:r w:rsidR="00CB214A" w:rsidRPr="00543B6E">
        <w:rPr>
          <w:lang w:val="fr-BE"/>
        </w:rPr>
        <w:t xml:space="preserve"> </w:t>
      </w:r>
      <w:r w:rsidRPr="00543B6E">
        <w:rPr>
          <w:lang w:val="fr-BE"/>
        </w:rPr>
        <w:t>souvent ou dure</w:t>
      </w:r>
      <w:r w:rsidR="006665B2" w:rsidRPr="00543B6E">
        <w:rPr>
          <w:lang w:val="fr-BE"/>
        </w:rPr>
        <w:t>r</w:t>
      </w:r>
      <w:r w:rsidRPr="00543B6E">
        <w:rPr>
          <w:lang w:val="fr-BE"/>
        </w:rPr>
        <w:t xml:space="preserve"> assez longtemps pour justifier économiquement une augmentation de la capacité du réseau. Par congestion exceptionnelle, on devrait entendre des situations imprévisibles et inévitables de congestion, tant des réseaux</w:t>
      </w:r>
      <w:r w:rsidR="00F407AF">
        <w:rPr>
          <w:lang w:val="fr-BE"/>
        </w:rPr>
        <w:t xml:space="preserve"> mobiles que des réseaux fixes.</w:t>
      </w:r>
      <w:r w:rsidR="00F407AF">
        <w:rPr>
          <w:lang w:val="fr-BE"/>
        </w:rPr>
        <w:br/>
      </w:r>
      <w:r w:rsidR="00F407AF">
        <w:rPr>
          <w:lang w:val="fr-BE"/>
        </w:rPr>
        <w:br w:type="page"/>
      </w:r>
      <w:r w:rsidR="00E55262" w:rsidRPr="00543B6E">
        <w:rPr>
          <w:lang w:val="fr-BE"/>
        </w:rPr>
        <w:lastRenderedPageBreak/>
        <w:t>Les causes possibles de c</w:t>
      </w:r>
      <w:r w:rsidRPr="00543B6E">
        <w:rPr>
          <w:lang w:val="fr-BE"/>
        </w:rPr>
        <w:t xml:space="preserve">es situations, </w:t>
      </w:r>
      <w:r w:rsidR="00E55262" w:rsidRPr="00543B6E">
        <w:rPr>
          <w:lang w:val="fr-BE"/>
        </w:rPr>
        <w:t xml:space="preserve">incluent </w:t>
      </w:r>
      <w:r w:rsidRPr="00543B6E">
        <w:rPr>
          <w:lang w:val="fr-BE"/>
        </w:rPr>
        <w:t>une défaillance technique comme une panne due à une rupture de câbles ou la destruction d'autres éléments d'infrastructure, des modifications inattendues dans l'acheminement du trafic ou d'importantes augmentations du trafic sur le réseau dans des situations d'urgence ou d'autres situations échappant au contrôle d</w:t>
      </w:r>
      <w:r w:rsidR="00E55262" w:rsidRPr="00543B6E">
        <w:rPr>
          <w:lang w:val="fr-BE"/>
        </w:rPr>
        <w:t>es</w:t>
      </w:r>
      <w:r w:rsidRPr="00543B6E">
        <w:rPr>
          <w:lang w:val="fr-BE"/>
        </w:rPr>
        <w:t xml:space="preserve"> fournisseur</w:t>
      </w:r>
      <w:r w:rsidR="00E55262" w:rsidRPr="00543B6E">
        <w:rPr>
          <w:lang w:val="fr-BE"/>
        </w:rPr>
        <w:t>s</w:t>
      </w:r>
      <w:r w:rsidRPr="00543B6E">
        <w:rPr>
          <w:lang w:val="fr-BE"/>
        </w:rPr>
        <w:t xml:space="preserve"> de services d'accès à l'internet. </w:t>
      </w:r>
      <w:r w:rsidR="002E44E5" w:rsidRPr="00543B6E">
        <w:rPr>
          <w:lang w:val="fr-BE"/>
        </w:rPr>
        <w:t>Il est probable que d</w:t>
      </w:r>
      <w:r w:rsidRPr="00543B6E">
        <w:rPr>
          <w:lang w:val="fr-BE"/>
        </w:rPr>
        <w:t xml:space="preserve">e tels problèmes de congestion </w:t>
      </w:r>
      <w:r w:rsidR="002E44E5" w:rsidRPr="00543B6E">
        <w:rPr>
          <w:lang w:val="fr-BE"/>
        </w:rPr>
        <w:t xml:space="preserve">soient </w:t>
      </w:r>
      <w:r w:rsidR="00F21D3D" w:rsidRPr="00543B6E">
        <w:rPr>
          <w:lang w:val="fr-BE"/>
        </w:rPr>
        <w:t>peu fréquents</w:t>
      </w:r>
      <w:r w:rsidRPr="00543B6E">
        <w:rPr>
          <w:lang w:val="fr-BE"/>
        </w:rPr>
        <w:t>, mais ils peuvent être graves et ne sont pas nécessairement de courte durée. La nécessité d'appliquer des mesures de gestion du trafic allant au-delà des mesure</w:t>
      </w:r>
      <w:r w:rsidRPr="00543B6E">
        <w:rPr>
          <w:noProof/>
          <w:lang w:val="fr-BE"/>
        </w:rPr>
        <w:t>s</w:t>
      </w:r>
      <w:r w:rsidRPr="00543B6E">
        <w:rPr>
          <w:lang w:val="fr-BE"/>
        </w:rPr>
        <w:t xml:space="preserve"> </w:t>
      </w:r>
      <w:r w:rsidR="00F76FD8" w:rsidRPr="00543B6E">
        <w:rPr>
          <w:lang w:val="fr-BE"/>
        </w:rPr>
        <w:t xml:space="preserve">raisonnables </w:t>
      </w:r>
      <w:r w:rsidR="00E55262" w:rsidRPr="00543B6E">
        <w:rPr>
          <w:noProof/>
          <w:lang w:val="fr-BE"/>
        </w:rPr>
        <w:t>de gestion du trafic</w:t>
      </w:r>
      <w:r w:rsidRPr="00543B6E">
        <w:rPr>
          <w:noProof/>
          <w:lang w:val="fr-BE"/>
        </w:rPr>
        <w:t xml:space="preserve"> </w:t>
      </w:r>
      <w:r w:rsidRPr="00543B6E">
        <w:rPr>
          <w:lang w:val="fr-BE"/>
        </w:rPr>
        <w:t xml:space="preserve">afin d'éviter une congestion temporaire ou exceptionnelle du réseau ou d'en atténuer les effets ne devrait pas donner aux </w:t>
      </w:r>
      <w:r w:rsidR="00E55262" w:rsidRPr="00543B6E">
        <w:rPr>
          <w:lang w:val="fr-BE"/>
        </w:rPr>
        <w:t xml:space="preserve">fournisseurs de services d'accès à </w:t>
      </w:r>
      <w:r w:rsidR="00A1112B" w:rsidRPr="00543B6E">
        <w:rPr>
          <w:lang w:val="fr-BE"/>
        </w:rPr>
        <w:t>l</w:t>
      </w:r>
      <w:r w:rsidR="00F407AF">
        <w:rPr>
          <w:lang w:val="fr-BE"/>
        </w:rPr>
        <w:t>'</w:t>
      </w:r>
      <w:r w:rsidR="00E55262" w:rsidRPr="00543B6E">
        <w:rPr>
          <w:lang w:val="fr-BE"/>
        </w:rPr>
        <w:t xml:space="preserve">internet </w:t>
      </w:r>
      <w:r w:rsidRPr="00543B6E">
        <w:rPr>
          <w:lang w:val="fr-BE"/>
        </w:rPr>
        <w:t xml:space="preserve">la possibilité de contourner l'interdiction générale de bloquer, ralentir, modifier, </w:t>
      </w:r>
      <w:r w:rsidR="00E55262" w:rsidRPr="00543B6E">
        <w:rPr>
          <w:lang w:val="fr-BE"/>
        </w:rPr>
        <w:t xml:space="preserve">restreindre, </w:t>
      </w:r>
      <w:r w:rsidR="00AE0599" w:rsidRPr="00543B6E">
        <w:rPr>
          <w:lang w:val="fr-BE"/>
        </w:rPr>
        <w:t>perturber</w:t>
      </w:r>
      <w:r w:rsidR="00E55262" w:rsidRPr="00543B6E">
        <w:rPr>
          <w:lang w:val="fr-BE"/>
        </w:rPr>
        <w:t xml:space="preserve">, </w:t>
      </w:r>
      <w:r w:rsidRPr="00543B6E">
        <w:rPr>
          <w:lang w:val="fr-BE"/>
        </w:rPr>
        <w:t xml:space="preserve">dégrader ou traiter de manière discriminatoire des contenus, applications ou services spécifiques, </w:t>
      </w:r>
      <w:r w:rsidRPr="00543B6E">
        <w:rPr>
          <w:noProof/>
          <w:lang w:val="fr-BE"/>
        </w:rPr>
        <w:t>ou des catégories spécifiques de contenus, d'applications ou de services</w:t>
      </w:r>
      <w:r w:rsidRPr="00543B6E">
        <w:rPr>
          <w:lang w:val="fr-BE"/>
        </w:rPr>
        <w:t xml:space="preserve">. Les congestions répétées et plus longues du réseau, qui ne sont ni exceptionnelles ni temporaires, ne devraient pas bénéficier de cette exception, mais devraient </w:t>
      </w:r>
      <w:r w:rsidR="00CB214A" w:rsidRPr="00543B6E">
        <w:rPr>
          <w:lang w:val="fr-BE"/>
        </w:rPr>
        <w:t xml:space="preserve">plutôt </w:t>
      </w:r>
      <w:r w:rsidRPr="00543B6E">
        <w:rPr>
          <w:lang w:val="fr-BE"/>
        </w:rPr>
        <w:t>être résolues en augmentant la capacité du réseau.</w:t>
      </w:r>
    </w:p>
    <w:p w:rsidR="00C169B1" w:rsidRPr="00543B6E" w:rsidRDefault="00F407AF" w:rsidP="00F407AF">
      <w:pPr>
        <w:pStyle w:val="ManualConsidrant"/>
        <w:rPr>
          <w:lang w:val="fr-BE"/>
        </w:rPr>
      </w:pPr>
      <w:r>
        <w:rPr>
          <w:lang w:val="fr-BE"/>
        </w:rPr>
        <w:br w:type="page"/>
      </w:r>
      <w:r w:rsidR="00EE7F32" w:rsidRPr="00543B6E">
        <w:rPr>
          <w:lang w:val="fr-BE"/>
        </w:rPr>
        <w:lastRenderedPageBreak/>
        <w:t>(1</w:t>
      </w:r>
      <w:r w:rsidR="00C30FDF" w:rsidRPr="00543B6E">
        <w:rPr>
          <w:lang w:val="fr-BE"/>
        </w:rPr>
        <w:t>6</w:t>
      </w:r>
      <w:r w:rsidR="00EE7F32" w:rsidRPr="00543B6E">
        <w:rPr>
          <w:lang w:val="fr-BE"/>
        </w:rPr>
        <w:t>)</w:t>
      </w:r>
      <w:r w:rsidR="00EE7F32" w:rsidRPr="00543B6E">
        <w:rPr>
          <w:lang w:val="fr-BE"/>
        </w:rPr>
        <w:tab/>
        <w:t xml:space="preserve">Il existe une demande de la part des fournisseurs de contenus, d'applications et de services, </w:t>
      </w:r>
      <w:r w:rsidR="002E44E5" w:rsidRPr="00543B6E">
        <w:rPr>
          <w:lang w:val="fr-BE"/>
        </w:rPr>
        <w:t>de</w:t>
      </w:r>
      <w:r>
        <w:rPr>
          <w:lang w:val="fr-BE"/>
        </w:rPr>
        <w:t xml:space="preserve"> pouvoir fournir </w:t>
      </w:r>
      <w:r w:rsidR="00EE7F32" w:rsidRPr="00543B6E">
        <w:rPr>
          <w:lang w:val="fr-BE"/>
        </w:rPr>
        <w:t xml:space="preserve">des services de communications électroniques autres que des </w:t>
      </w:r>
      <w:r>
        <w:rPr>
          <w:lang w:val="fr-BE"/>
        </w:rPr>
        <w:t xml:space="preserve">services d'accès à l'internet, </w:t>
      </w:r>
      <w:r w:rsidR="00EE7F32" w:rsidRPr="00543B6E">
        <w:rPr>
          <w:lang w:val="fr-BE"/>
        </w:rPr>
        <w:t>qui nécessite</w:t>
      </w:r>
      <w:r w:rsidR="00A1112B" w:rsidRPr="00543B6E">
        <w:rPr>
          <w:lang w:val="fr-BE"/>
        </w:rPr>
        <w:t>nt</w:t>
      </w:r>
      <w:r w:rsidR="00EE7F32" w:rsidRPr="00543B6E">
        <w:rPr>
          <w:lang w:val="fr-BE"/>
        </w:rPr>
        <w:t xml:space="preserve"> des niveaux de qualité spécifiques, qui ne sont pas garantis par le</w:t>
      </w:r>
      <w:r w:rsidR="00A1112B" w:rsidRPr="00543B6E">
        <w:rPr>
          <w:lang w:val="fr-BE"/>
        </w:rPr>
        <w:t>s</w:t>
      </w:r>
      <w:r w:rsidR="00EE7F32" w:rsidRPr="00543B6E">
        <w:rPr>
          <w:lang w:val="fr-BE"/>
        </w:rPr>
        <w:t xml:space="preserve"> service d'accès à l'internet. De tels niveaux de qualité spécifiques sont nécessaires, par exemple, pour certains services d'intérêt public ou pour certains nouveaux services de communications de machine à machine. Par conséquent, les fournisseurs de communications électroniques au public, y compris les fournisseurs de services d'accès à l'internet, et les fournisseurs de contenus, d'applications et de services devraient être libres de proposer des services autres que des services d'accès à l'internet qui sont optimisés </w:t>
      </w:r>
      <w:r w:rsidR="00EE7F32" w:rsidRPr="00543B6E">
        <w:rPr>
          <w:noProof/>
          <w:lang w:val="fr-BE"/>
        </w:rPr>
        <w:t xml:space="preserve">pour </w:t>
      </w:r>
      <w:r w:rsidR="00EE7F32" w:rsidRPr="00543B6E">
        <w:rPr>
          <w:lang w:val="fr-BE"/>
        </w:rPr>
        <w:t xml:space="preserve">des contenus, des applications ou des services spécifiques, ou une combinaison de ceux-ci, </w:t>
      </w:r>
      <w:r w:rsidR="00EE7F32" w:rsidRPr="00543B6E">
        <w:rPr>
          <w:noProof/>
          <w:lang w:val="fr-BE"/>
        </w:rPr>
        <w:t xml:space="preserve">lorsque l'optimisation est nécessaire pour que les contenus, les applications ou les services satisfassent </w:t>
      </w:r>
      <w:r w:rsidR="00A1112B" w:rsidRPr="00543B6E">
        <w:rPr>
          <w:noProof/>
          <w:lang w:val="fr-BE"/>
        </w:rPr>
        <w:t>aux exigences correspondant à un</w:t>
      </w:r>
      <w:r w:rsidR="00EE7F32" w:rsidRPr="00543B6E">
        <w:rPr>
          <w:noProof/>
          <w:lang w:val="fr-BE"/>
        </w:rPr>
        <w:t xml:space="preserve"> niveau de qualité spécifique</w:t>
      </w:r>
      <w:r w:rsidR="00EE7F32" w:rsidRPr="00543B6E">
        <w:rPr>
          <w:lang w:val="fr-BE"/>
        </w:rPr>
        <w:t>. Il convient que l</w:t>
      </w:r>
      <w:r w:rsidR="00A63240" w:rsidRPr="00543B6E">
        <w:rPr>
          <w:lang w:val="fr-BE"/>
        </w:rPr>
        <w:t xml:space="preserve">es </w:t>
      </w:r>
      <w:r w:rsidR="00EE7F32" w:rsidRPr="00543B6E">
        <w:rPr>
          <w:lang w:val="fr-BE"/>
        </w:rPr>
        <w:t>autorité</w:t>
      </w:r>
      <w:r w:rsidR="00A63240" w:rsidRPr="00543B6E">
        <w:rPr>
          <w:lang w:val="fr-BE"/>
        </w:rPr>
        <w:t>s</w:t>
      </w:r>
      <w:r w:rsidR="00EE7F32" w:rsidRPr="00543B6E">
        <w:rPr>
          <w:lang w:val="fr-BE"/>
        </w:rPr>
        <w:t xml:space="preserve"> réglementaire</w:t>
      </w:r>
      <w:r w:rsidR="00A63240" w:rsidRPr="00543B6E">
        <w:rPr>
          <w:lang w:val="fr-BE"/>
        </w:rPr>
        <w:t>s</w:t>
      </w:r>
      <w:r w:rsidR="00EE7F32" w:rsidRPr="00543B6E">
        <w:rPr>
          <w:lang w:val="fr-BE"/>
        </w:rPr>
        <w:t xml:space="preserve"> nationale</w:t>
      </w:r>
      <w:r w:rsidR="00A63240" w:rsidRPr="00543B6E">
        <w:rPr>
          <w:lang w:val="fr-BE"/>
        </w:rPr>
        <w:t>s</w:t>
      </w:r>
      <w:r w:rsidR="00EE7F32" w:rsidRPr="00543B6E">
        <w:rPr>
          <w:lang w:val="fr-BE"/>
        </w:rPr>
        <w:t xml:space="preserve"> vérifie</w:t>
      </w:r>
      <w:r w:rsidR="00A63240" w:rsidRPr="00543B6E">
        <w:rPr>
          <w:lang w:val="fr-BE"/>
        </w:rPr>
        <w:t>nt</w:t>
      </w:r>
      <w:r w:rsidR="00EE7F32" w:rsidRPr="00543B6E">
        <w:rPr>
          <w:lang w:val="fr-BE"/>
        </w:rPr>
        <w:t xml:space="preserve"> si et dans quelle mesure une telle optimisation est objectivement nécessaire pour garantir une ou plusieurs caractéristiques spécifiques et essentielles du contenu, de</w:t>
      </w:r>
      <w:r w:rsidR="00A63240" w:rsidRPr="00543B6E">
        <w:rPr>
          <w:lang w:val="fr-BE"/>
        </w:rPr>
        <w:t>s</w:t>
      </w:r>
      <w:r w:rsidR="00EE7F32" w:rsidRPr="00543B6E">
        <w:rPr>
          <w:lang w:val="fr-BE"/>
        </w:rPr>
        <w:t xml:space="preserve"> application</w:t>
      </w:r>
      <w:r w:rsidR="00A63240" w:rsidRPr="00543B6E">
        <w:rPr>
          <w:lang w:val="fr-BE"/>
        </w:rPr>
        <w:t>s</w:t>
      </w:r>
      <w:r w:rsidR="00EE7F32" w:rsidRPr="00543B6E">
        <w:rPr>
          <w:lang w:val="fr-BE"/>
        </w:rPr>
        <w:t xml:space="preserve"> ou d</w:t>
      </w:r>
      <w:r w:rsidR="00A63240" w:rsidRPr="00543B6E">
        <w:rPr>
          <w:lang w:val="fr-BE"/>
        </w:rPr>
        <w:t>es</w:t>
      </w:r>
      <w:r w:rsidR="00EE7F32" w:rsidRPr="00543B6E">
        <w:rPr>
          <w:lang w:val="fr-BE"/>
        </w:rPr>
        <w:t xml:space="preserve"> service</w:t>
      </w:r>
      <w:r w:rsidR="00A63240" w:rsidRPr="00543B6E">
        <w:rPr>
          <w:lang w:val="fr-BE"/>
        </w:rPr>
        <w:t>s</w:t>
      </w:r>
      <w:r w:rsidR="00A1112B" w:rsidRPr="00543B6E">
        <w:rPr>
          <w:lang w:val="fr-BE"/>
        </w:rPr>
        <w:t>,</w:t>
      </w:r>
      <w:r w:rsidR="00EE7F32" w:rsidRPr="00543B6E">
        <w:rPr>
          <w:lang w:val="fr-BE"/>
        </w:rPr>
        <w:t xml:space="preserve"> et pour faire en sorte qu'une garantie de qualité correspondante soit offerte aux utilisateurs finals, plutôt que d'accorder simplement une priorité générale </w:t>
      </w:r>
      <w:r w:rsidR="00BD5483" w:rsidRPr="00543B6E">
        <w:rPr>
          <w:lang w:val="fr-BE"/>
        </w:rPr>
        <w:t>par rapport aux</w:t>
      </w:r>
      <w:r w:rsidR="00EE7F32" w:rsidRPr="00543B6E">
        <w:rPr>
          <w:lang w:val="fr-BE"/>
        </w:rPr>
        <w:t xml:space="preserve"> contenus, applications ou services comparables disponibles par l'intermédiaire du service d'accès à l'internet et de contourner ainsi les dispositions relatives </w:t>
      </w:r>
      <w:r w:rsidR="00A63240" w:rsidRPr="00543B6E">
        <w:rPr>
          <w:lang w:val="fr-BE"/>
        </w:rPr>
        <w:t>aux mesures de</w:t>
      </w:r>
      <w:r w:rsidR="00EE7F32" w:rsidRPr="00543B6E">
        <w:rPr>
          <w:lang w:val="fr-BE"/>
        </w:rPr>
        <w:t xml:space="preserve"> gestion du trafic applicables au</w:t>
      </w:r>
      <w:r w:rsidR="00C06ED8" w:rsidRPr="00543B6E">
        <w:rPr>
          <w:lang w:val="fr-BE"/>
        </w:rPr>
        <w:t>x</w:t>
      </w:r>
      <w:r w:rsidR="00EE7F32" w:rsidRPr="00543B6E">
        <w:rPr>
          <w:lang w:val="fr-BE"/>
        </w:rPr>
        <w:t xml:space="preserve"> service</w:t>
      </w:r>
      <w:r w:rsidR="00C06ED8" w:rsidRPr="00543B6E">
        <w:rPr>
          <w:lang w:val="fr-BE"/>
        </w:rPr>
        <w:t>s</w:t>
      </w:r>
      <w:r w:rsidR="00EE7F32" w:rsidRPr="00543B6E">
        <w:rPr>
          <w:lang w:val="fr-BE"/>
        </w:rPr>
        <w:t xml:space="preserve"> d'accès à l'internet.</w:t>
      </w:r>
    </w:p>
    <w:p w:rsidR="00EE7F32" w:rsidRPr="00F407AF" w:rsidRDefault="00F407AF" w:rsidP="00F407AF">
      <w:pPr>
        <w:pStyle w:val="ManualConsidrant"/>
        <w:rPr>
          <w:lang w:val="fr-BE"/>
        </w:rPr>
      </w:pPr>
      <w:r>
        <w:rPr>
          <w:lang w:val="fr-BE"/>
        </w:rPr>
        <w:br w:type="page"/>
      </w:r>
      <w:r w:rsidR="00EE7F32" w:rsidRPr="00F407AF">
        <w:rPr>
          <w:lang w:val="fr-BE"/>
        </w:rPr>
        <w:lastRenderedPageBreak/>
        <w:t>(</w:t>
      </w:r>
      <w:r w:rsidR="008009CE" w:rsidRPr="00F407AF">
        <w:rPr>
          <w:lang w:val="fr-BE"/>
        </w:rPr>
        <w:t>17</w:t>
      </w:r>
      <w:r w:rsidR="00EE7F32" w:rsidRPr="00F407AF">
        <w:rPr>
          <w:lang w:val="fr-BE"/>
        </w:rPr>
        <w:t>)</w:t>
      </w:r>
      <w:r w:rsidR="00EE7F32" w:rsidRPr="00F407AF">
        <w:rPr>
          <w:lang w:val="fr-BE"/>
        </w:rPr>
        <w:tab/>
        <w:t xml:space="preserve">Afin d'éviter que la fourniture de tels </w:t>
      </w:r>
      <w:r w:rsidR="0071724A" w:rsidRPr="00F407AF">
        <w:rPr>
          <w:lang w:val="fr-BE"/>
        </w:rPr>
        <w:t xml:space="preserve">autres </w:t>
      </w:r>
      <w:r w:rsidR="00EE7F32" w:rsidRPr="00F407AF">
        <w:rPr>
          <w:lang w:val="fr-BE"/>
        </w:rPr>
        <w:t>services n'ait une incidence négative sur la disponibilité ou la qualité générale des services d'accès à l'internet offerts aux utilisateurs finals</w:t>
      </w:r>
      <w:r w:rsidRPr="00F407AF">
        <w:rPr>
          <w:lang w:val="fr-BE"/>
        </w:rPr>
        <w:t xml:space="preserve">, </w:t>
      </w:r>
      <w:r w:rsidR="00EE7F32" w:rsidRPr="00F407AF">
        <w:rPr>
          <w:lang w:val="fr-BE"/>
        </w:rPr>
        <w:t xml:space="preserve">il est nécessaire de garantir une capacité suffisante. Par conséquent, les fournisseurs de communications électroniques au public, y compris les fournisseurs de services d'accès à l'internet, ne devraient proposer ces autres services, ou conclure des accords correspondants avec des fournisseurs de contenus, </w:t>
      </w:r>
      <w:r w:rsidR="004A19F4" w:rsidRPr="00F407AF">
        <w:rPr>
          <w:lang w:val="fr-BE"/>
        </w:rPr>
        <w:t xml:space="preserve">d'applications ou </w:t>
      </w:r>
      <w:r w:rsidR="00EE7F32" w:rsidRPr="00F407AF">
        <w:rPr>
          <w:lang w:val="fr-BE"/>
        </w:rPr>
        <w:t>de services</w:t>
      </w:r>
      <w:r w:rsidR="008F1919" w:rsidRPr="00F407AF">
        <w:rPr>
          <w:lang w:val="fr-BE"/>
        </w:rPr>
        <w:t xml:space="preserve"> qui facilitent ces </w:t>
      </w:r>
      <w:r w:rsidR="0071724A" w:rsidRPr="00F407AF">
        <w:rPr>
          <w:lang w:val="fr-BE"/>
        </w:rPr>
        <w:t xml:space="preserve">autres </w:t>
      </w:r>
      <w:r w:rsidR="008F1919" w:rsidRPr="00F407AF">
        <w:rPr>
          <w:lang w:val="fr-BE"/>
        </w:rPr>
        <w:t>services</w:t>
      </w:r>
      <w:r w:rsidR="00EE7F32" w:rsidRPr="00F407AF">
        <w:rPr>
          <w:lang w:val="fr-BE"/>
        </w:rPr>
        <w:t xml:space="preserve">, que si la capacité du réseau est suffisante pour permettre de les fournir en plus de tous les services d'accès à l'internet fournis. Les dispositions </w:t>
      </w:r>
      <w:r w:rsidR="008F1919" w:rsidRPr="00F407AF">
        <w:rPr>
          <w:lang w:val="fr-BE"/>
        </w:rPr>
        <w:t>du présent</w:t>
      </w:r>
      <w:r w:rsidR="004A19F4" w:rsidRPr="00F407AF">
        <w:rPr>
          <w:lang w:val="fr-BE"/>
        </w:rPr>
        <w:t xml:space="preserve"> règlement </w:t>
      </w:r>
      <w:r w:rsidR="00A37140" w:rsidRPr="00F407AF">
        <w:rPr>
          <w:lang w:val="fr-BE"/>
        </w:rPr>
        <w:t>en matière de garantie d</w:t>
      </w:r>
      <w:r w:rsidRPr="00F407AF">
        <w:rPr>
          <w:lang w:val="fr-BE"/>
        </w:rPr>
        <w:t>'</w:t>
      </w:r>
      <w:r w:rsidR="008F1919" w:rsidRPr="00F407AF">
        <w:rPr>
          <w:lang w:val="fr-BE"/>
        </w:rPr>
        <w:t xml:space="preserve">accès à </w:t>
      </w:r>
      <w:r w:rsidR="00886000" w:rsidRPr="00F407AF">
        <w:rPr>
          <w:lang w:val="fr-BE"/>
        </w:rPr>
        <w:t xml:space="preserve">un </w:t>
      </w:r>
      <w:r w:rsidR="008F1919" w:rsidRPr="00F407AF">
        <w:rPr>
          <w:lang w:val="fr-BE"/>
        </w:rPr>
        <w:t xml:space="preserve">internet </w:t>
      </w:r>
      <w:r w:rsidR="00886000" w:rsidRPr="00F407AF">
        <w:rPr>
          <w:lang w:val="fr-BE"/>
        </w:rPr>
        <w:t xml:space="preserve">ouvert </w:t>
      </w:r>
      <w:r w:rsidR="00EE7F32" w:rsidRPr="00F407AF">
        <w:rPr>
          <w:lang w:val="fr-BE"/>
        </w:rPr>
        <w:t xml:space="preserve">ne devraient pas être contournées </w:t>
      </w:r>
      <w:r w:rsidR="00BD5483" w:rsidRPr="00F407AF">
        <w:rPr>
          <w:lang w:val="fr-BE"/>
        </w:rPr>
        <w:t>par l</w:t>
      </w:r>
      <w:r w:rsidRPr="00F407AF">
        <w:rPr>
          <w:lang w:val="fr-BE"/>
        </w:rPr>
        <w:t>'</w:t>
      </w:r>
      <w:r w:rsidR="00BD5483" w:rsidRPr="00F407AF">
        <w:rPr>
          <w:lang w:val="fr-BE"/>
        </w:rPr>
        <w:t>intermédiaire</w:t>
      </w:r>
      <w:r w:rsidR="00EE7F32" w:rsidRPr="00F407AF">
        <w:rPr>
          <w:lang w:val="fr-BE"/>
        </w:rPr>
        <w:t xml:space="preserve"> d'autres services utilisables ou proposés en remplacement des services d'accès à l'internet. Néanmoins, le simple fait que des services aux entreprises tels que des réseaux privés virtuels </w:t>
      </w:r>
      <w:r w:rsidR="00567FC4" w:rsidRPr="00F407AF">
        <w:rPr>
          <w:lang w:val="fr-BE"/>
        </w:rPr>
        <w:t xml:space="preserve">pourraient </w:t>
      </w:r>
      <w:r w:rsidR="00EE7F32" w:rsidRPr="00F407AF">
        <w:rPr>
          <w:lang w:val="fr-BE"/>
        </w:rPr>
        <w:t xml:space="preserve">également </w:t>
      </w:r>
      <w:r w:rsidR="006B1830" w:rsidRPr="00F407AF">
        <w:rPr>
          <w:lang w:val="fr-BE"/>
        </w:rPr>
        <w:t xml:space="preserve">donner </w:t>
      </w:r>
      <w:r w:rsidR="00EE7F32" w:rsidRPr="00F407AF">
        <w:rPr>
          <w:lang w:val="fr-BE"/>
        </w:rPr>
        <w:t xml:space="preserve">accès à l'internet </w:t>
      </w:r>
      <w:r w:rsidR="00CB214A" w:rsidRPr="00F407AF">
        <w:rPr>
          <w:lang w:val="fr-BE"/>
        </w:rPr>
        <w:t xml:space="preserve">ne devrait pas </w:t>
      </w:r>
      <w:r w:rsidR="006B1830" w:rsidRPr="00F407AF">
        <w:rPr>
          <w:lang w:val="fr-BE"/>
        </w:rPr>
        <w:t>avoir pour conséquence qu'ils soient</w:t>
      </w:r>
      <w:r w:rsidR="00CB214A" w:rsidRPr="00F407AF">
        <w:rPr>
          <w:lang w:val="fr-BE"/>
        </w:rPr>
        <w:t xml:space="preserve"> considéré</w:t>
      </w:r>
      <w:r w:rsidR="006B1830" w:rsidRPr="00F407AF">
        <w:rPr>
          <w:lang w:val="fr-BE"/>
        </w:rPr>
        <w:t>s</w:t>
      </w:r>
      <w:r w:rsidR="00CB214A" w:rsidRPr="00F407AF">
        <w:rPr>
          <w:lang w:val="fr-BE"/>
        </w:rPr>
        <w:t xml:space="preserve"> comme un remplacement des</w:t>
      </w:r>
      <w:r w:rsidR="00EE7F32" w:rsidRPr="00F407AF">
        <w:rPr>
          <w:lang w:val="fr-BE"/>
        </w:rPr>
        <w:t xml:space="preserve"> services d'accès à l'internet, à condition que la fourniture de cet accès à l'internet par un fournisseur de communications électroniques au public </w:t>
      </w:r>
      <w:r w:rsidR="00BD5483" w:rsidRPr="00F407AF">
        <w:rPr>
          <w:lang w:val="fr-BE"/>
        </w:rPr>
        <w:t xml:space="preserve">respecte </w:t>
      </w:r>
      <w:r w:rsidR="00165421" w:rsidRPr="00F407AF">
        <w:rPr>
          <w:lang w:val="fr-BE"/>
        </w:rPr>
        <w:t>l'article 3, paragraphes 1 à 4</w:t>
      </w:r>
      <w:r w:rsidR="00EE7F32" w:rsidRPr="00F407AF">
        <w:rPr>
          <w:lang w:val="fr-BE"/>
        </w:rPr>
        <w:t xml:space="preserve"> du présent règlement et ne puisse donc pas être considérée comme un contournement de ces </w:t>
      </w:r>
      <w:r w:rsidR="004820B4" w:rsidRPr="00F407AF">
        <w:rPr>
          <w:lang w:val="fr-BE"/>
        </w:rPr>
        <w:t>dispositions</w:t>
      </w:r>
      <w:r w:rsidR="00EE7F32" w:rsidRPr="00F407AF">
        <w:rPr>
          <w:lang w:val="fr-BE"/>
        </w:rPr>
        <w:t xml:space="preserve">. La fourniture de ces services autres que les services d'accès à l'internet ne devrait pas se faire au détriment de la disponibilité </w:t>
      </w:r>
      <w:r w:rsidR="00F4764B" w:rsidRPr="00F407AF">
        <w:rPr>
          <w:lang w:val="fr-BE"/>
        </w:rPr>
        <w:t xml:space="preserve">et </w:t>
      </w:r>
      <w:r w:rsidR="00EE7F32" w:rsidRPr="00F407AF">
        <w:rPr>
          <w:lang w:val="fr-BE"/>
        </w:rPr>
        <w:t xml:space="preserve">de la qualité générale des services d'accès à l'internet offerts aux utilisateurs finals. Sur les réseaux mobiles, les volumes de données transitant dans une cellule </w:t>
      </w:r>
      <w:r w:rsidR="00CB214A" w:rsidRPr="00F407AF">
        <w:rPr>
          <w:lang w:val="fr-BE"/>
        </w:rPr>
        <w:t xml:space="preserve">radio </w:t>
      </w:r>
      <w:r w:rsidR="00EE7F32" w:rsidRPr="00F407AF">
        <w:rPr>
          <w:lang w:val="fr-BE"/>
        </w:rPr>
        <w:t xml:space="preserve">déterminée sont plus difficiles à prévoir en raison du nombre variable d'utilisateurs finals actifs, et c'est pourquoi il </w:t>
      </w:r>
      <w:r w:rsidR="006B1830" w:rsidRPr="00F407AF">
        <w:rPr>
          <w:lang w:val="fr-BE"/>
        </w:rPr>
        <w:t xml:space="preserve">pourrait </w:t>
      </w:r>
      <w:r w:rsidR="00EE7F32" w:rsidRPr="00F407AF">
        <w:rPr>
          <w:lang w:val="fr-BE"/>
        </w:rPr>
        <w:t>y avoir une incidence sur la qualité d</w:t>
      </w:r>
      <w:r w:rsidR="00BD5483" w:rsidRPr="00F407AF">
        <w:rPr>
          <w:lang w:val="fr-BE"/>
        </w:rPr>
        <w:t>es</w:t>
      </w:r>
      <w:r w:rsidR="00EE7F32" w:rsidRPr="00F407AF">
        <w:rPr>
          <w:lang w:val="fr-BE"/>
        </w:rPr>
        <w:t xml:space="preserve"> service</w:t>
      </w:r>
      <w:r w:rsidR="00BD5483" w:rsidRPr="00F407AF">
        <w:rPr>
          <w:lang w:val="fr-BE"/>
        </w:rPr>
        <w:t>s</w:t>
      </w:r>
      <w:r w:rsidR="00EE7F32" w:rsidRPr="00F407AF">
        <w:rPr>
          <w:lang w:val="fr-BE"/>
        </w:rPr>
        <w:t xml:space="preserve"> d'accès à l'internet offert</w:t>
      </w:r>
      <w:r w:rsidR="00BD5483" w:rsidRPr="00F407AF">
        <w:rPr>
          <w:lang w:val="fr-BE"/>
        </w:rPr>
        <w:t>s</w:t>
      </w:r>
      <w:r w:rsidR="00EE7F32" w:rsidRPr="00F407AF">
        <w:rPr>
          <w:lang w:val="fr-BE"/>
        </w:rPr>
        <w:t xml:space="preserve"> aux utilisateurs finals da</w:t>
      </w:r>
      <w:r w:rsidRPr="00F407AF">
        <w:rPr>
          <w:lang w:val="fr-BE"/>
        </w:rPr>
        <w:t>ns des circonstances imprévues.</w:t>
      </w:r>
      <w:r w:rsidRPr="00F407AF">
        <w:rPr>
          <w:lang w:val="fr-BE"/>
        </w:rPr>
        <w:br/>
      </w:r>
      <w:r w:rsidRPr="00F407AF">
        <w:rPr>
          <w:lang w:val="fr-BE"/>
        </w:rPr>
        <w:br w:type="page"/>
      </w:r>
      <w:r w:rsidR="00EE7F32" w:rsidRPr="00F407AF">
        <w:rPr>
          <w:lang w:val="fr-BE"/>
        </w:rPr>
        <w:lastRenderedPageBreak/>
        <w:t>Sur les réseaux mobiles, la qualité générale d</w:t>
      </w:r>
      <w:r w:rsidR="00BD5483" w:rsidRPr="00F407AF">
        <w:rPr>
          <w:lang w:val="fr-BE"/>
        </w:rPr>
        <w:t>es</w:t>
      </w:r>
      <w:r w:rsidR="00EE7F32" w:rsidRPr="00F407AF">
        <w:rPr>
          <w:lang w:val="fr-BE"/>
        </w:rPr>
        <w:t xml:space="preserve"> service</w:t>
      </w:r>
      <w:r w:rsidR="00BD5483" w:rsidRPr="00F407AF">
        <w:rPr>
          <w:lang w:val="fr-BE"/>
        </w:rPr>
        <w:t>s</w:t>
      </w:r>
      <w:r w:rsidR="00EE7F32" w:rsidRPr="00F407AF">
        <w:rPr>
          <w:lang w:val="fr-BE"/>
        </w:rPr>
        <w:t xml:space="preserve"> d'accès à l'internet offert</w:t>
      </w:r>
      <w:r w:rsidR="00BD5483" w:rsidRPr="00F407AF">
        <w:rPr>
          <w:lang w:val="fr-BE"/>
        </w:rPr>
        <w:t>s</w:t>
      </w:r>
      <w:r w:rsidR="00EE7F32" w:rsidRPr="00F407AF">
        <w:rPr>
          <w:lang w:val="fr-BE"/>
        </w:rPr>
        <w:t xml:space="preserve"> aux utilisateurs finals ne devrait pas être </w:t>
      </w:r>
      <w:r w:rsidR="00F21D3D" w:rsidRPr="00F407AF">
        <w:rPr>
          <w:lang w:val="fr-BE"/>
        </w:rPr>
        <w:t xml:space="preserve">considérée comme subissant une atteinte </w:t>
      </w:r>
      <w:r w:rsidR="00EE7F32" w:rsidRPr="00F407AF">
        <w:rPr>
          <w:lang w:val="fr-BE"/>
        </w:rPr>
        <w:t xml:space="preserve">lorsque les effets négatifs cumulés des services autres que les services d'accès à l'internet sont inévitables, minimaux et limités à une courte durée. Les autorités réglementaires nationales devraient veiller à ce que les fournisseurs de communications électroniques au public respectent cette exigence. À cet égard, il convient que les autorités réglementaires nationales évaluent l'incidence sur la disponibilité et la qualité générale des services d'accès à l'internet en analysant, entre autres, des paramètres de qualité </w:t>
      </w:r>
      <w:r w:rsidR="004F2B5C" w:rsidRPr="00F407AF">
        <w:rPr>
          <w:lang w:val="fr-BE"/>
        </w:rPr>
        <w:t>de service</w:t>
      </w:r>
      <w:r w:rsidR="00EE7F32" w:rsidRPr="00F407AF">
        <w:rPr>
          <w:lang w:val="fr-BE"/>
        </w:rPr>
        <w:t>(</w:t>
      </w:r>
      <w:r w:rsidR="004F2B5C" w:rsidRPr="00F407AF">
        <w:rPr>
          <w:lang w:val="fr-BE"/>
        </w:rPr>
        <w:t xml:space="preserve">tels que </w:t>
      </w:r>
      <w:r w:rsidR="00EE7F32" w:rsidRPr="00F407AF">
        <w:rPr>
          <w:lang w:val="fr-BE"/>
        </w:rPr>
        <w:t xml:space="preserve">latence, gigue, pertes de paquets, etc.), les niveaux et effets de la congestion </w:t>
      </w:r>
      <w:r w:rsidR="00BD5483" w:rsidRPr="00F407AF">
        <w:rPr>
          <w:lang w:val="fr-BE"/>
        </w:rPr>
        <w:t>du</w:t>
      </w:r>
      <w:r w:rsidR="00EE7F32" w:rsidRPr="00F407AF">
        <w:rPr>
          <w:lang w:val="fr-BE"/>
        </w:rPr>
        <w:t xml:space="preserve"> réseau, la différence entre les vitesses réelles et les vitesses annoncées, les performances des services d'accès à l'internet par rapport aux autres services et la qualité telle qu'elle est perçue par les utilisateurs finals.</w:t>
      </w:r>
    </w:p>
    <w:p w:rsidR="00590A8B" w:rsidRPr="00F407AF" w:rsidRDefault="00F407AF" w:rsidP="00F407AF">
      <w:pPr>
        <w:pStyle w:val="ManualConsidrant"/>
        <w:rPr>
          <w:lang w:val="fr-BE"/>
        </w:rPr>
      </w:pPr>
      <w:r w:rsidRPr="00F407AF">
        <w:rPr>
          <w:lang w:val="fr-BE"/>
        </w:rPr>
        <w:br w:type="page"/>
      </w:r>
      <w:r w:rsidR="00EE7F32" w:rsidRPr="00F407AF">
        <w:rPr>
          <w:lang w:val="fr-BE"/>
        </w:rPr>
        <w:lastRenderedPageBreak/>
        <w:t>(</w:t>
      </w:r>
      <w:r w:rsidR="006B1830" w:rsidRPr="00F407AF">
        <w:rPr>
          <w:lang w:val="fr-BE"/>
        </w:rPr>
        <w:t>1</w:t>
      </w:r>
      <w:r w:rsidR="00D929CC" w:rsidRPr="00F407AF">
        <w:rPr>
          <w:lang w:val="fr-BE"/>
        </w:rPr>
        <w:t>8</w:t>
      </w:r>
      <w:r w:rsidR="00EE7F32" w:rsidRPr="00F407AF">
        <w:rPr>
          <w:lang w:val="fr-BE"/>
        </w:rPr>
        <w:t>)</w:t>
      </w:r>
      <w:r w:rsidR="00EE7F32" w:rsidRPr="00F407AF">
        <w:rPr>
          <w:lang w:val="fr-BE"/>
        </w:rPr>
        <w:tab/>
        <w:t xml:space="preserve">Les dispositions </w:t>
      </w:r>
      <w:r w:rsidR="00A37140" w:rsidRPr="00F407AF">
        <w:rPr>
          <w:lang w:val="fr-BE"/>
        </w:rPr>
        <w:t>en matière de</w:t>
      </w:r>
      <w:r w:rsidR="00EE7F32" w:rsidRPr="00F407AF">
        <w:rPr>
          <w:lang w:val="fr-BE"/>
        </w:rPr>
        <w:t xml:space="preserve"> garantie d</w:t>
      </w:r>
      <w:r w:rsidRPr="00F407AF">
        <w:rPr>
          <w:lang w:val="fr-BE"/>
        </w:rPr>
        <w:t>'</w:t>
      </w:r>
      <w:r w:rsidR="00EE7F32" w:rsidRPr="00F407AF">
        <w:rPr>
          <w:lang w:val="fr-BE"/>
        </w:rPr>
        <w:t xml:space="preserve">accès à </w:t>
      </w:r>
      <w:r w:rsidR="00886000" w:rsidRPr="00F407AF">
        <w:rPr>
          <w:lang w:val="fr-BE"/>
        </w:rPr>
        <w:t xml:space="preserve">un </w:t>
      </w:r>
      <w:r w:rsidR="00EE7F32" w:rsidRPr="00F407AF">
        <w:rPr>
          <w:lang w:val="fr-BE"/>
        </w:rPr>
        <w:t>internet</w:t>
      </w:r>
      <w:r w:rsidR="00886000" w:rsidRPr="00F407AF">
        <w:rPr>
          <w:lang w:val="fr-BE"/>
        </w:rPr>
        <w:t xml:space="preserve"> ouvert</w:t>
      </w:r>
      <w:r w:rsidR="00EE7F32" w:rsidRPr="00F407AF">
        <w:rPr>
          <w:lang w:val="fr-BE"/>
        </w:rPr>
        <w:t xml:space="preserve"> devraient être complétées par des dispositions effectives concernant les utilisateurs finals, qui portent sur </w:t>
      </w:r>
      <w:r w:rsidR="001B66B0" w:rsidRPr="00F407AF">
        <w:rPr>
          <w:lang w:val="fr-BE"/>
        </w:rPr>
        <w:t>d</w:t>
      </w:r>
      <w:r w:rsidR="00EE7F32" w:rsidRPr="00F407AF">
        <w:rPr>
          <w:lang w:val="fr-BE"/>
        </w:rPr>
        <w:t>es questions liées</w:t>
      </w:r>
      <w:r w:rsidR="001B66B0" w:rsidRPr="00F407AF">
        <w:rPr>
          <w:lang w:val="fr-BE"/>
        </w:rPr>
        <w:t>,</w:t>
      </w:r>
      <w:r w:rsidR="00EE7F32" w:rsidRPr="00F407AF">
        <w:rPr>
          <w:lang w:val="fr-BE"/>
        </w:rPr>
        <w:t xml:space="preserve"> en particulier</w:t>
      </w:r>
      <w:r w:rsidR="001B66B0" w:rsidRPr="00F407AF">
        <w:rPr>
          <w:lang w:val="fr-BE"/>
        </w:rPr>
        <w:t>,</w:t>
      </w:r>
      <w:r w:rsidR="00EE7F32" w:rsidRPr="00F407AF">
        <w:rPr>
          <w:lang w:val="fr-BE"/>
        </w:rPr>
        <w:t xml:space="preserve"> aux services d'accès à l'internet et qui permettent aux utilisateurs finals de faire des choix en connaissance de cause. Ces dispositions devraient s'appliquer en sus des dispositi</w:t>
      </w:r>
      <w:r w:rsidRPr="00F407AF">
        <w:rPr>
          <w:lang w:val="fr-BE"/>
        </w:rPr>
        <w:t xml:space="preserve">ons applicables de la directive </w:t>
      </w:r>
      <w:r w:rsidR="00EE7F32" w:rsidRPr="00F407AF">
        <w:rPr>
          <w:lang w:val="fr-BE"/>
        </w:rPr>
        <w:t xml:space="preserve">2002/22/CE </w:t>
      </w:r>
      <w:r w:rsidR="00957EE6" w:rsidRPr="00F407AF">
        <w:rPr>
          <w:lang w:val="fr-BE"/>
        </w:rPr>
        <w:t xml:space="preserve">du </w:t>
      </w:r>
      <w:r w:rsidR="004A15F6" w:rsidRPr="00F407AF">
        <w:rPr>
          <w:lang w:val="fr-BE"/>
        </w:rPr>
        <w:t>Parlement</w:t>
      </w:r>
      <w:r w:rsidR="00957EE6" w:rsidRPr="00F407AF">
        <w:rPr>
          <w:lang w:val="fr-BE"/>
        </w:rPr>
        <w:t xml:space="preserve"> européen et du Conseil</w:t>
      </w:r>
      <w:r w:rsidR="00957EE6" w:rsidRPr="00F407AF">
        <w:rPr>
          <w:rStyle w:val="FootnoteReference"/>
          <w:bCs/>
          <w:lang w:val="fr-BE"/>
        </w:rPr>
        <w:footnoteReference w:id="6"/>
      </w:r>
      <w:r w:rsidR="00EE7F32" w:rsidRPr="00F407AF">
        <w:rPr>
          <w:lang w:val="fr-BE"/>
        </w:rPr>
        <w:t xml:space="preserve">, et les États membres </w:t>
      </w:r>
      <w:r w:rsidR="00F05E13" w:rsidRPr="00F407AF">
        <w:rPr>
          <w:lang w:val="fr-BE"/>
        </w:rPr>
        <w:t>devrai</w:t>
      </w:r>
      <w:r w:rsidR="001B66B0" w:rsidRPr="00F407AF">
        <w:rPr>
          <w:lang w:val="fr-BE"/>
        </w:rPr>
        <w:t>en</w:t>
      </w:r>
      <w:r w:rsidR="00F05E13" w:rsidRPr="00F407AF">
        <w:rPr>
          <w:lang w:val="fr-BE"/>
        </w:rPr>
        <w:t xml:space="preserve">t avoir la possibilité de </w:t>
      </w:r>
      <w:r w:rsidR="00EE7F32" w:rsidRPr="00F407AF">
        <w:rPr>
          <w:lang w:val="fr-BE"/>
        </w:rPr>
        <w:t xml:space="preserve">conserver ou </w:t>
      </w:r>
      <w:r w:rsidR="004A15F6" w:rsidRPr="00F407AF">
        <w:rPr>
          <w:lang w:val="fr-BE"/>
        </w:rPr>
        <w:t>d'</w:t>
      </w:r>
      <w:r w:rsidR="00EE7F32" w:rsidRPr="00F407AF">
        <w:rPr>
          <w:lang w:val="fr-BE"/>
        </w:rPr>
        <w:t xml:space="preserve">adopter des mesures plus </w:t>
      </w:r>
      <w:r w:rsidR="00F21D3D" w:rsidRPr="00F407AF">
        <w:rPr>
          <w:lang w:val="fr-BE"/>
        </w:rPr>
        <w:t>étendues</w:t>
      </w:r>
      <w:r w:rsidR="00EE7F32" w:rsidRPr="00F407AF">
        <w:rPr>
          <w:lang w:val="fr-BE"/>
        </w:rPr>
        <w:t xml:space="preserve">. Les fournisseurs de services d'accès à l'internet devraient fournir des informations claires aux utilisateurs finals sur </w:t>
      </w:r>
      <w:r w:rsidR="00A37140" w:rsidRPr="00F407AF">
        <w:rPr>
          <w:lang w:val="fr-BE"/>
        </w:rPr>
        <w:t>la manière dont</w:t>
      </w:r>
      <w:r w:rsidR="001B66B0" w:rsidRPr="00F407AF">
        <w:rPr>
          <w:lang w:val="fr-BE"/>
        </w:rPr>
        <w:t xml:space="preserve"> les</w:t>
      </w:r>
      <w:r w:rsidR="00EE7F32" w:rsidRPr="00F407AF">
        <w:rPr>
          <w:lang w:val="fr-BE"/>
        </w:rPr>
        <w:t xml:space="preserve"> pratiques de gestion du trafic mises en œuvre </w:t>
      </w:r>
      <w:r w:rsidR="00A37140" w:rsidRPr="00F407AF">
        <w:rPr>
          <w:lang w:val="fr-BE"/>
        </w:rPr>
        <w:t xml:space="preserve">pourraient avoir une incidence </w:t>
      </w:r>
      <w:r w:rsidR="00EE7F32" w:rsidRPr="00F407AF">
        <w:rPr>
          <w:lang w:val="fr-BE"/>
        </w:rPr>
        <w:t>sur la qualité d</w:t>
      </w:r>
      <w:r w:rsidR="001B66B0" w:rsidRPr="00F407AF">
        <w:rPr>
          <w:lang w:val="fr-BE"/>
        </w:rPr>
        <w:t>es</w:t>
      </w:r>
      <w:r w:rsidR="00EE7F32" w:rsidRPr="00F407AF">
        <w:rPr>
          <w:lang w:val="fr-BE"/>
        </w:rPr>
        <w:t xml:space="preserve"> service</w:t>
      </w:r>
      <w:r w:rsidR="001B66B0" w:rsidRPr="00F407AF">
        <w:rPr>
          <w:lang w:val="fr-BE"/>
        </w:rPr>
        <w:t>s</w:t>
      </w:r>
      <w:r w:rsidR="00EE7F32" w:rsidRPr="00F407AF">
        <w:rPr>
          <w:lang w:val="fr-BE"/>
        </w:rPr>
        <w:t xml:space="preserve"> d'accès à l'internet, le respect de la vie privée des utilisateurs finals et la protection des données à caractère personnel, ainsi que sur l'incidence que les services autres que les services d'accès à l'internet auxquels ils souscrivent </w:t>
      </w:r>
      <w:r w:rsidR="001B66B0" w:rsidRPr="00F407AF">
        <w:rPr>
          <w:lang w:val="fr-BE"/>
        </w:rPr>
        <w:t xml:space="preserve">peuvent </w:t>
      </w:r>
      <w:r w:rsidR="00EE7F32" w:rsidRPr="00F407AF">
        <w:rPr>
          <w:lang w:val="fr-BE"/>
        </w:rPr>
        <w:t>avoir sur la qualité et la disponibilité de leurs services d'accès à l'internet respectifs. Afin que les utilisateurs finals aient la possibilité d'agir dans de tel</w:t>
      </w:r>
      <w:r w:rsidR="005E431C" w:rsidRPr="00F407AF">
        <w:rPr>
          <w:lang w:val="fr-BE"/>
        </w:rPr>
        <w:t>le</w:t>
      </w:r>
      <w:r w:rsidR="00EE7F32" w:rsidRPr="00F407AF">
        <w:rPr>
          <w:lang w:val="fr-BE"/>
        </w:rPr>
        <w:t xml:space="preserve">s </w:t>
      </w:r>
      <w:r w:rsidR="00F05E13" w:rsidRPr="00F407AF">
        <w:rPr>
          <w:lang w:val="fr-BE"/>
        </w:rPr>
        <w:t>situations</w:t>
      </w:r>
      <w:r w:rsidR="00EE7F32" w:rsidRPr="00F407AF">
        <w:rPr>
          <w:lang w:val="fr-BE"/>
        </w:rPr>
        <w:t xml:space="preserve">, les fournisseurs de services d'accès à l'internet devraient par conséquent informer les utilisateurs finals dans le contrat </w:t>
      </w:r>
      <w:r w:rsidR="009115AA" w:rsidRPr="00F407AF">
        <w:rPr>
          <w:lang w:val="fr-BE"/>
        </w:rPr>
        <w:t xml:space="preserve">du </w:t>
      </w:r>
      <w:r w:rsidR="00EE7F32" w:rsidRPr="00F407AF">
        <w:rPr>
          <w:lang w:val="fr-BE"/>
        </w:rPr>
        <w:t>débit qu'ils sont en mesure de fournir</w:t>
      </w:r>
      <w:r w:rsidR="00F21D3D" w:rsidRPr="00F407AF">
        <w:rPr>
          <w:lang w:val="fr-BE"/>
        </w:rPr>
        <w:t xml:space="preserve"> de façon réaliste</w:t>
      </w:r>
      <w:r w:rsidR="00EE7F32" w:rsidRPr="00F407AF">
        <w:rPr>
          <w:lang w:val="fr-BE"/>
        </w:rPr>
        <w:t xml:space="preserve">. Par débit normalement disponible, on entend le débit </w:t>
      </w:r>
      <w:r w:rsidR="00590A8B" w:rsidRPr="00F407AF">
        <w:rPr>
          <w:lang w:val="fr-BE"/>
        </w:rPr>
        <w:t>qu'</w:t>
      </w:r>
      <w:r w:rsidR="00EE7F32" w:rsidRPr="00F407AF">
        <w:rPr>
          <w:lang w:val="fr-BE"/>
        </w:rPr>
        <w:t xml:space="preserve">un </w:t>
      </w:r>
      <w:r w:rsidR="00590A8B" w:rsidRPr="00F407AF">
        <w:rPr>
          <w:lang w:val="fr-BE"/>
        </w:rPr>
        <w:t xml:space="preserve">utilisateur final </w:t>
      </w:r>
      <w:r w:rsidR="00EE7F32" w:rsidRPr="00F407AF">
        <w:rPr>
          <w:lang w:val="fr-BE"/>
        </w:rPr>
        <w:t>pourrait s'attendre</w:t>
      </w:r>
      <w:r w:rsidR="005E431C" w:rsidRPr="00F407AF">
        <w:rPr>
          <w:lang w:val="fr-BE"/>
        </w:rPr>
        <w:t xml:space="preserve"> à recevoir</w:t>
      </w:r>
      <w:r w:rsidR="00EE7F32" w:rsidRPr="00F407AF">
        <w:rPr>
          <w:lang w:val="fr-BE"/>
        </w:rPr>
        <w:t xml:space="preserve"> la plupart du temps lorsqu'il accède au service. Les fournisseurs de services d'accès à l'internet devraient également informer les </w:t>
      </w:r>
      <w:r w:rsidR="00165421" w:rsidRPr="00F407AF">
        <w:rPr>
          <w:lang w:val="fr-BE"/>
        </w:rPr>
        <w:t>consommateurs</w:t>
      </w:r>
      <w:r w:rsidR="00EE7F32" w:rsidRPr="00F407AF">
        <w:rPr>
          <w:lang w:val="fr-BE"/>
        </w:rPr>
        <w:t xml:space="preserve"> des voies de recours disponibles conformément au droit national en cas de non-respect des performances. Tout écart important et permanent ou </w:t>
      </w:r>
      <w:r w:rsidR="00A42224" w:rsidRPr="00F407AF">
        <w:rPr>
          <w:lang w:val="fr-BE"/>
        </w:rPr>
        <w:t>récurrent</w:t>
      </w:r>
      <w:r w:rsidR="00EE7F32" w:rsidRPr="00F407AF">
        <w:rPr>
          <w:lang w:val="fr-BE"/>
        </w:rPr>
        <w:t xml:space="preserve">, lorsqu'il est établi par un mécanisme de contrôle agréé par l'autorité réglementaire nationale, entre les performances réelles du service et les performances indiquées dans le contrat, devrait être considéré comme une </w:t>
      </w:r>
      <w:r w:rsidR="00A42224" w:rsidRPr="00F407AF">
        <w:rPr>
          <w:lang w:val="fr-BE"/>
        </w:rPr>
        <w:t>performance non conforme</w:t>
      </w:r>
      <w:r w:rsidR="00EE7F32" w:rsidRPr="00F407AF">
        <w:rPr>
          <w:lang w:val="fr-BE"/>
        </w:rPr>
        <w:t xml:space="preserve"> aux fins de la détermination des voies de recours ouvertes au consommateur conformément au droit national. La méthode de calcul devrait être définie dans les orientations de l'ORECE et faire l'objet d'un réexamen et d'une mise à jour, </w:t>
      </w:r>
      <w:r w:rsidR="005E431C" w:rsidRPr="00F407AF">
        <w:rPr>
          <w:lang w:val="fr-BE"/>
        </w:rPr>
        <w:t>si nécessaire</w:t>
      </w:r>
      <w:r w:rsidR="00EE7F32" w:rsidRPr="00F407AF">
        <w:rPr>
          <w:lang w:val="fr-BE"/>
        </w:rPr>
        <w:t xml:space="preserve">, pour prendre en compte l'évolution des technologies et des infrastructures. Les autorités réglementaires nationales devraient faire respecter </w:t>
      </w:r>
      <w:r w:rsidR="00A746D2" w:rsidRPr="00F407AF">
        <w:rPr>
          <w:lang w:val="fr-BE"/>
        </w:rPr>
        <w:t xml:space="preserve">les règles </w:t>
      </w:r>
      <w:r w:rsidR="009115AA" w:rsidRPr="00F407AF">
        <w:rPr>
          <w:lang w:val="fr-BE"/>
        </w:rPr>
        <w:t>du</w:t>
      </w:r>
      <w:r w:rsidR="00A746D2" w:rsidRPr="00F407AF">
        <w:rPr>
          <w:lang w:val="fr-BE"/>
        </w:rPr>
        <w:t xml:space="preserve"> présent r</w:t>
      </w:r>
      <w:r w:rsidR="00EF5A97" w:rsidRPr="00F407AF">
        <w:rPr>
          <w:lang w:val="fr-BE"/>
        </w:rPr>
        <w:t>è</w:t>
      </w:r>
      <w:r w:rsidR="00A746D2" w:rsidRPr="00F407AF">
        <w:rPr>
          <w:lang w:val="fr-BE"/>
        </w:rPr>
        <w:t xml:space="preserve">glement sur les mesures </w:t>
      </w:r>
      <w:r w:rsidR="009115AA" w:rsidRPr="00F407AF">
        <w:rPr>
          <w:lang w:val="fr-BE"/>
        </w:rPr>
        <w:t xml:space="preserve">de </w:t>
      </w:r>
      <w:r w:rsidR="00A746D2" w:rsidRPr="00F407AF">
        <w:rPr>
          <w:lang w:val="fr-BE"/>
        </w:rPr>
        <w:t>transparen</w:t>
      </w:r>
      <w:r w:rsidR="009115AA" w:rsidRPr="00F407AF">
        <w:rPr>
          <w:lang w:val="fr-BE"/>
        </w:rPr>
        <w:t>ce</w:t>
      </w:r>
      <w:r w:rsidR="00A746D2" w:rsidRPr="00F407AF">
        <w:rPr>
          <w:lang w:val="fr-BE"/>
        </w:rPr>
        <w:t xml:space="preserve"> garanti</w:t>
      </w:r>
      <w:r w:rsidR="00821B48" w:rsidRPr="00F407AF">
        <w:rPr>
          <w:lang w:val="fr-BE"/>
        </w:rPr>
        <w:t>ssant</w:t>
      </w:r>
      <w:r w:rsidR="00A746D2" w:rsidRPr="00F407AF">
        <w:rPr>
          <w:lang w:val="fr-BE"/>
        </w:rPr>
        <w:t xml:space="preserve"> l'accès à </w:t>
      </w:r>
      <w:r w:rsidR="00886000" w:rsidRPr="00F407AF">
        <w:rPr>
          <w:lang w:val="fr-BE"/>
        </w:rPr>
        <w:t xml:space="preserve">un </w:t>
      </w:r>
      <w:r w:rsidR="00A746D2" w:rsidRPr="00F407AF">
        <w:rPr>
          <w:lang w:val="fr-BE"/>
        </w:rPr>
        <w:t>internet</w:t>
      </w:r>
      <w:r w:rsidR="00886000" w:rsidRPr="00F407AF">
        <w:rPr>
          <w:lang w:val="fr-BE"/>
        </w:rPr>
        <w:t xml:space="preserve"> ouvert</w:t>
      </w:r>
      <w:r w:rsidR="00EE7F32" w:rsidRPr="00F407AF">
        <w:rPr>
          <w:lang w:val="fr-BE"/>
        </w:rPr>
        <w:t>.</w:t>
      </w:r>
    </w:p>
    <w:p w:rsidR="00D929CC" w:rsidRPr="00F407AF" w:rsidRDefault="00F407AF" w:rsidP="00F407AF">
      <w:pPr>
        <w:pStyle w:val="ManualConsidrant"/>
        <w:rPr>
          <w:lang w:val="fr-BE"/>
        </w:rPr>
      </w:pPr>
      <w:r w:rsidRPr="00F407AF">
        <w:rPr>
          <w:lang w:val="fr-BE"/>
        </w:rPr>
        <w:br w:type="page"/>
      </w:r>
      <w:r w:rsidR="00D929CC" w:rsidRPr="00F407AF">
        <w:rPr>
          <w:lang w:val="fr-BE"/>
        </w:rPr>
        <w:lastRenderedPageBreak/>
        <w:t>(19)</w:t>
      </w:r>
      <w:r w:rsidR="00D929CC" w:rsidRPr="00F407AF">
        <w:rPr>
          <w:lang w:val="fr-BE"/>
        </w:rPr>
        <w:tab/>
        <w:t>Les autorités réglementaires nationales jouent un rôle essentiel pour garantir que les utilisateurs finals sont effectivement en mesure d'exercer leurs droits en vertu du présen</w:t>
      </w:r>
      <w:r w:rsidRPr="00F407AF">
        <w:rPr>
          <w:lang w:val="fr-BE"/>
        </w:rPr>
        <w:t xml:space="preserve">t règlement, et que les règles </w:t>
      </w:r>
      <w:r w:rsidR="00D929CC" w:rsidRPr="00F407AF">
        <w:rPr>
          <w:lang w:val="fr-BE"/>
        </w:rPr>
        <w:t>en matière de garantie d</w:t>
      </w:r>
      <w:r w:rsidRPr="00F407AF">
        <w:rPr>
          <w:lang w:val="fr-BE"/>
        </w:rPr>
        <w:t>'</w:t>
      </w:r>
      <w:r w:rsidR="00D929CC" w:rsidRPr="00F407AF">
        <w:rPr>
          <w:lang w:val="fr-BE"/>
        </w:rPr>
        <w:t>accès à un in</w:t>
      </w:r>
      <w:r w:rsidRPr="00F407AF">
        <w:rPr>
          <w:lang w:val="fr-BE"/>
        </w:rPr>
        <w:t xml:space="preserve">ternet ouvert sont respectées. </w:t>
      </w:r>
      <w:r w:rsidR="00D929CC" w:rsidRPr="00F407AF">
        <w:rPr>
          <w:lang w:val="fr-BE"/>
        </w:rPr>
        <w:t>À cette fin, les autorités réglementaires nationales devraient être soumises à des obligations de contrôle et de présentation de rapports, et elles devraient assurer le respect par les fournisseurs de communications électroniques au public, y compris les fournisseurs de services d'accès à l'internet, de leurs obligations en matière de garantie d</w:t>
      </w:r>
      <w:r w:rsidRPr="00F407AF">
        <w:rPr>
          <w:lang w:val="fr-BE"/>
        </w:rPr>
        <w:t>'</w:t>
      </w:r>
      <w:r w:rsidR="00D929CC" w:rsidRPr="00F407AF">
        <w:rPr>
          <w:lang w:val="fr-BE"/>
        </w:rPr>
        <w:t>accès à un internet ouvert. Il s'agit notamment de l'obligation de garantir une capacité de réseau suffisante pour fournir des services d'accès à l'internet non discriminatoires de qualité élevée, dont la qualité générale ne devrait pas pâtir de la fourniture de services, autres que des services d'accès à l'internet, d'un n</w:t>
      </w:r>
      <w:r w:rsidRPr="00F407AF">
        <w:rPr>
          <w:lang w:val="fr-BE"/>
        </w:rPr>
        <w:t xml:space="preserve">iveau de qualité spécifique. </w:t>
      </w:r>
      <w:r w:rsidR="00D929CC" w:rsidRPr="00F407AF">
        <w:rPr>
          <w:lang w:val="fr-BE"/>
        </w:rPr>
        <w:t>Les autorités régle</w:t>
      </w:r>
      <w:r w:rsidRPr="00F407AF">
        <w:rPr>
          <w:lang w:val="fr-BE"/>
        </w:rPr>
        <w:t xml:space="preserve">mentaires nationales devraient </w:t>
      </w:r>
      <w:r w:rsidR="00D929CC" w:rsidRPr="00F407AF">
        <w:rPr>
          <w:lang w:val="fr-BE"/>
        </w:rPr>
        <w:t>également être habilitées à imposer des exigences concernant les caractéristiques techniques, des exigences minimales en matière de qualité de service et d'autres mesures appropriées à tous les fournisseurs de communications électroniques au public, ou à certains d'entre eux, si cela est nécessaire pour garantir le respect des dispositions du présent règlement en mat</w:t>
      </w:r>
      <w:r w:rsidRPr="00F407AF">
        <w:rPr>
          <w:lang w:val="fr-BE"/>
        </w:rPr>
        <w:t xml:space="preserve">ière de garantie </w:t>
      </w:r>
      <w:r w:rsidR="00D929CC" w:rsidRPr="00F407AF">
        <w:rPr>
          <w:lang w:val="fr-BE"/>
        </w:rPr>
        <w:t>d</w:t>
      </w:r>
      <w:r w:rsidRPr="00F407AF">
        <w:rPr>
          <w:lang w:val="fr-BE"/>
        </w:rPr>
        <w:t>'</w:t>
      </w:r>
      <w:r w:rsidR="00D929CC" w:rsidRPr="00F407AF">
        <w:rPr>
          <w:lang w:val="fr-BE"/>
        </w:rPr>
        <w:t>accès à un internet ouvert ou pour éviter toute détérioration de la qualité du service générale des services d'</w:t>
      </w:r>
      <w:r w:rsidRPr="00F407AF">
        <w:rPr>
          <w:lang w:val="fr-BE"/>
        </w:rPr>
        <w:t xml:space="preserve">accès à l'internet offerts aux </w:t>
      </w:r>
      <w:r w:rsidR="00D929CC" w:rsidRPr="00F407AF">
        <w:rPr>
          <w:lang w:val="fr-BE"/>
        </w:rPr>
        <w:t>utilisateurs finals. Ce faisant, les autorités réglementaires nationales devraient tenir le plus grand compte des lignes directrices pertinentes de l'organe des régulateurs européens des communications électroniques (ORECE).</w:t>
      </w:r>
    </w:p>
    <w:p w:rsidR="00EE7F32" w:rsidRPr="00F407AF" w:rsidRDefault="00EE7F32" w:rsidP="00BB7AB7">
      <w:pPr>
        <w:pStyle w:val="ManualConsidrant"/>
        <w:rPr>
          <w:lang w:val="fr-BE"/>
        </w:rPr>
      </w:pPr>
      <w:r w:rsidRPr="00F407AF">
        <w:rPr>
          <w:lang w:val="fr-BE"/>
        </w:rPr>
        <w:t>(</w:t>
      </w:r>
      <w:r w:rsidR="00DA6009" w:rsidRPr="00F407AF">
        <w:rPr>
          <w:lang w:val="fr-BE"/>
        </w:rPr>
        <w:t>20</w:t>
      </w:r>
      <w:r w:rsidRPr="00F407AF">
        <w:rPr>
          <w:lang w:val="fr-BE"/>
        </w:rPr>
        <w:t>)</w:t>
      </w:r>
      <w:r w:rsidRPr="00F407AF">
        <w:rPr>
          <w:lang w:val="fr-BE"/>
        </w:rPr>
        <w:tab/>
        <w:t xml:space="preserve">Le marché des communications mobiles reste fragmenté dans l'Union, puisqu'aucun réseau mobile ne couvre la totalité des États membres. Par conséquent, pour fournir des services de communications mobiles à leurs clients nationaux en déplacement dans l'Union, les fournisseurs de services d'itinérance doivent acheter </w:t>
      </w:r>
      <w:r w:rsidR="005E431C" w:rsidRPr="00F407AF">
        <w:rPr>
          <w:lang w:val="fr-BE"/>
        </w:rPr>
        <w:t>d</w:t>
      </w:r>
      <w:r w:rsidRPr="00F407AF">
        <w:rPr>
          <w:lang w:val="fr-BE"/>
        </w:rPr>
        <w:t xml:space="preserve">es services </w:t>
      </w:r>
      <w:r w:rsidR="005E431C" w:rsidRPr="00F407AF">
        <w:rPr>
          <w:lang w:val="fr-BE"/>
        </w:rPr>
        <w:t>d</w:t>
      </w:r>
      <w:r w:rsidR="00F407AF" w:rsidRPr="00F407AF">
        <w:rPr>
          <w:lang w:val="fr-BE"/>
        </w:rPr>
        <w:t>'</w:t>
      </w:r>
      <w:r w:rsidR="005E431C" w:rsidRPr="00F407AF">
        <w:rPr>
          <w:lang w:val="fr-BE"/>
        </w:rPr>
        <w:t xml:space="preserve">itinérance de </w:t>
      </w:r>
      <w:r w:rsidRPr="00F407AF">
        <w:rPr>
          <w:lang w:val="fr-BE"/>
        </w:rPr>
        <w:t xml:space="preserve">gros aux opérateurs de l'État membre visité, ou échanger des services d'itinérance </w:t>
      </w:r>
      <w:r w:rsidR="005E431C" w:rsidRPr="00F407AF">
        <w:rPr>
          <w:lang w:val="fr-BE"/>
        </w:rPr>
        <w:t>de</w:t>
      </w:r>
      <w:r w:rsidRPr="00F407AF">
        <w:rPr>
          <w:lang w:val="fr-BE"/>
        </w:rPr>
        <w:t xml:space="preserve"> gros avec lesdits opérateurs.</w:t>
      </w:r>
    </w:p>
    <w:p w:rsidR="00DB57B1" w:rsidRPr="00F407AF" w:rsidRDefault="00F407AF" w:rsidP="007768E7">
      <w:pPr>
        <w:pStyle w:val="ManualConsidrant"/>
        <w:rPr>
          <w:lang w:val="fr-BE"/>
        </w:rPr>
      </w:pPr>
      <w:r>
        <w:rPr>
          <w:lang w:val="fr-BE"/>
        </w:rPr>
        <w:br w:type="page"/>
      </w:r>
      <w:r w:rsidR="00EE7F32" w:rsidRPr="00F407AF">
        <w:rPr>
          <w:lang w:val="fr-BE"/>
        </w:rPr>
        <w:lastRenderedPageBreak/>
        <w:t>(</w:t>
      </w:r>
      <w:r w:rsidR="00DA6009" w:rsidRPr="00F407AF">
        <w:rPr>
          <w:lang w:val="fr-BE"/>
        </w:rPr>
        <w:t>21</w:t>
      </w:r>
      <w:r w:rsidR="00EE7F32" w:rsidRPr="00F407AF">
        <w:rPr>
          <w:lang w:val="fr-BE"/>
        </w:rPr>
        <w:t>)</w:t>
      </w:r>
      <w:r w:rsidR="00EE7F32" w:rsidRPr="00F407AF">
        <w:rPr>
          <w:lang w:val="fr-BE"/>
        </w:rPr>
        <w:tab/>
        <w:t>Le règlement (UE) n° 531/2012</w:t>
      </w:r>
      <w:r w:rsidR="008C35EB" w:rsidRPr="00F407AF">
        <w:rPr>
          <w:lang w:val="fr-BE"/>
        </w:rPr>
        <w:t xml:space="preserve"> du Parlement eur</w:t>
      </w:r>
      <w:r w:rsidR="00E4627C" w:rsidRPr="00F407AF">
        <w:rPr>
          <w:lang w:val="fr-BE"/>
        </w:rPr>
        <w:t>o</w:t>
      </w:r>
      <w:r w:rsidR="008C35EB" w:rsidRPr="00F407AF">
        <w:rPr>
          <w:lang w:val="fr-BE"/>
        </w:rPr>
        <w:t>péen et du Conseil</w:t>
      </w:r>
      <w:r w:rsidR="008C35EB" w:rsidRPr="007768E7">
        <w:rPr>
          <w:rStyle w:val="FootnoteReference"/>
        </w:rPr>
        <w:footnoteReference w:id="7"/>
      </w:r>
      <w:r w:rsidR="00EE7F32" w:rsidRPr="00F407AF">
        <w:rPr>
          <w:lang w:val="fr-BE"/>
        </w:rPr>
        <w:t xml:space="preserve"> établit un objectif stratégique visant à ce que la différence entre les tarifs d'itinérance et les tarifs nationaux se rapproche de zéro. Toutefois, l'objectif ultime consistant à supprimer la différence entre les prix nationaux et les prix d'itinérance ne peut être atteint de façon durable </w:t>
      </w:r>
      <w:r w:rsidR="00DB57B1" w:rsidRPr="00F407AF">
        <w:rPr>
          <w:lang w:val="fr-BE"/>
        </w:rPr>
        <w:t>avec</w:t>
      </w:r>
      <w:r w:rsidR="00EE7F32" w:rsidRPr="00F407AF">
        <w:rPr>
          <w:lang w:val="fr-BE"/>
        </w:rPr>
        <w:t xml:space="preserve"> le niveau observé des prix de gros. En conséquence, le présent règlement prévoit que les frais d'itinérance </w:t>
      </w:r>
      <w:r w:rsidR="00E05AF6" w:rsidRPr="00F407AF">
        <w:rPr>
          <w:lang w:val="fr-BE"/>
        </w:rPr>
        <w:t xml:space="preserve">au détail </w:t>
      </w:r>
      <w:r w:rsidR="00EE7F32" w:rsidRPr="00F407AF">
        <w:rPr>
          <w:lang w:val="fr-BE"/>
        </w:rPr>
        <w:t>supplémentaires devraient être supprimés à compter du</w:t>
      </w:r>
      <w:r w:rsidRPr="00F407AF">
        <w:rPr>
          <w:lang w:val="fr-BE"/>
        </w:rPr>
        <w:t xml:space="preserve"> </w:t>
      </w:r>
      <w:r w:rsidR="00EE7F32" w:rsidRPr="00F407AF">
        <w:rPr>
          <w:lang w:val="fr-BE"/>
        </w:rPr>
        <w:t>15</w:t>
      </w:r>
      <w:r w:rsidRPr="00F407AF">
        <w:rPr>
          <w:lang w:val="fr-BE"/>
        </w:rPr>
        <w:t xml:space="preserve"> </w:t>
      </w:r>
      <w:r w:rsidR="00EE7F32" w:rsidRPr="00F407AF">
        <w:rPr>
          <w:lang w:val="fr-BE"/>
        </w:rPr>
        <w:t>juin</w:t>
      </w:r>
      <w:r w:rsidRPr="00F407AF">
        <w:rPr>
          <w:lang w:val="fr-BE"/>
        </w:rPr>
        <w:t xml:space="preserve"> </w:t>
      </w:r>
      <w:r w:rsidR="00EE7F32" w:rsidRPr="00F407AF">
        <w:rPr>
          <w:lang w:val="fr-BE"/>
        </w:rPr>
        <w:t xml:space="preserve">2017, à condition qu'il ait été remédié aux problèmes actuellement observés sur les marchés de gros de l'itinérance. Dans ce contexte, la Commission devrait procéder à un réexamen du marché de gros de l'itinérance et </w:t>
      </w:r>
      <w:r w:rsidR="00A8210C" w:rsidRPr="00F407AF">
        <w:rPr>
          <w:lang w:val="fr-BE"/>
        </w:rPr>
        <w:t>devrait soumettre</w:t>
      </w:r>
      <w:r w:rsidR="00EE7F32" w:rsidRPr="00F407AF">
        <w:rPr>
          <w:lang w:val="fr-BE"/>
        </w:rPr>
        <w:t xml:space="preserve"> une nouvelle proposition législative fondée sur les résultats de ce réexamen.</w:t>
      </w:r>
    </w:p>
    <w:p w:rsidR="00EE7F32" w:rsidRPr="00F407AF" w:rsidRDefault="00EE7F32" w:rsidP="00F407AF">
      <w:pPr>
        <w:pStyle w:val="ManualConsidrant"/>
        <w:rPr>
          <w:lang w:val="fr-BE"/>
        </w:rPr>
      </w:pPr>
      <w:r w:rsidRPr="00F407AF">
        <w:rPr>
          <w:lang w:val="fr-BE"/>
        </w:rPr>
        <w:t>(</w:t>
      </w:r>
      <w:r w:rsidR="00DA6009" w:rsidRPr="00F407AF">
        <w:rPr>
          <w:lang w:val="fr-BE"/>
        </w:rPr>
        <w:t>22</w:t>
      </w:r>
      <w:r w:rsidRPr="00F407AF">
        <w:rPr>
          <w:lang w:val="fr-BE"/>
        </w:rPr>
        <w:t>)</w:t>
      </w:r>
      <w:r w:rsidRPr="00F407AF">
        <w:rPr>
          <w:lang w:val="fr-BE"/>
        </w:rPr>
        <w:tab/>
        <w:t xml:space="preserve">Dans le même temps, les fournisseurs de services d'itinérance </w:t>
      </w:r>
      <w:r w:rsidR="00FA2120" w:rsidRPr="00F407AF">
        <w:rPr>
          <w:lang w:val="fr-BE"/>
        </w:rPr>
        <w:t>devraient pouvoir</w:t>
      </w:r>
      <w:r w:rsidRPr="00F407AF">
        <w:rPr>
          <w:lang w:val="fr-BE"/>
        </w:rPr>
        <w:t xml:space="preserve"> appliquer une "politique d'utilisation raisonnable" à la consommation des services d'itinérance au détail réglementés qui sont fournis au prix de détail national applicable. Cette "politique d'utilisation raisonnable" vise à prévenir toute utilisation abusive ou anormale, par les clients en itinérance, des services d'itinérance au détail réglementés, </w:t>
      </w:r>
      <w:r w:rsidR="005930F0" w:rsidRPr="00F407AF">
        <w:rPr>
          <w:lang w:val="fr-BE"/>
        </w:rPr>
        <w:t>telle que</w:t>
      </w:r>
      <w:r w:rsidRPr="00F407AF">
        <w:rPr>
          <w:lang w:val="fr-BE"/>
        </w:rPr>
        <w:t xml:space="preserve"> l'utilisation de ces services par des clients en itinérance dans un </w:t>
      </w:r>
      <w:r w:rsidR="00DB57B1" w:rsidRPr="00F407AF">
        <w:rPr>
          <w:lang w:val="fr-BE"/>
        </w:rPr>
        <w:t>État membre autre</w:t>
      </w:r>
      <w:r w:rsidRPr="00F407AF">
        <w:rPr>
          <w:lang w:val="fr-BE"/>
        </w:rPr>
        <w:t xml:space="preserve"> que celui dans lequel est établi leur fournisseur national à des fins autres que des déplacements </w:t>
      </w:r>
      <w:r w:rsidR="00F76FD8" w:rsidRPr="00F407AF">
        <w:rPr>
          <w:lang w:val="fr-BE"/>
        </w:rPr>
        <w:t>périodiques</w:t>
      </w:r>
      <w:r w:rsidRPr="00F407AF">
        <w:rPr>
          <w:lang w:val="fr-BE"/>
        </w:rPr>
        <w:t xml:space="preserve">. Toute politique d'utilisation raisonnable devrait permettre aux clients du fournisseur de services d'itinérance de consommer des volumes de services d'itinérance au détail réglementés au prix de détail national applicable </w:t>
      </w:r>
      <w:r w:rsidR="005930F0" w:rsidRPr="00F407AF">
        <w:rPr>
          <w:lang w:val="fr-BE"/>
        </w:rPr>
        <w:t xml:space="preserve">qui sont </w:t>
      </w:r>
      <w:r w:rsidR="00DB57B1" w:rsidRPr="00F407AF">
        <w:rPr>
          <w:lang w:val="fr-BE"/>
        </w:rPr>
        <w:t xml:space="preserve">conformes </w:t>
      </w:r>
      <w:r w:rsidRPr="00F407AF">
        <w:rPr>
          <w:lang w:val="fr-BE"/>
        </w:rPr>
        <w:t>à leurs plans tarifaires respectifs.</w:t>
      </w:r>
    </w:p>
    <w:p w:rsidR="00EE7F32" w:rsidRPr="00F407AF" w:rsidRDefault="00F407AF" w:rsidP="00F407AF">
      <w:pPr>
        <w:pStyle w:val="ManualConsidrant"/>
        <w:rPr>
          <w:lang w:val="fr-BE"/>
        </w:rPr>
      </w:pPr>
      <w:r>
        <w:rPr>
          <w:lang w:val="fr-BE"/>
        </w:rPr>
        <w:br w:type="page"/>
      </w:r>
      <w:r w:rsidR="00EE7F32" w:rsidRPr="00F407AF">
        <w:rPr>
          <w:lang w:val="fr-BE"/>
        </w:rPr>
        <w:lastRenderedPageBreak/>
        <w:t>(</w:t>
      </w:r>
      <w:r w:rsidR="002A7935" w:rsidRPr="00F407AF">
        <w:rPr>
          <w:lang w:val="fr-BE"/>
        </w:rPr>
        <w:t>23</w:t>
      </w:r>
      <w:r w:rsidR="00EE7F32" w:rsidRPr="00F407AF">
        <w:rPr>
          <w:lang w:val="fr-BE"/>
        </w:rPr>
        <w:t>)</w:t>
      </w:r>
      <w:r w:rsidR="00EE7F32" w:rsidRPr="00F407AF">
        <w:rPr>
          <w:lang w:val="fr-BE"/>
        </w:rPr>
        <w:tab/>
        <w:t xml:space="preserve">Dans des circonstances particulières et exceptionnelles, lorsqu'un fournisseur de services d'itinérance n'est pas en mesure de recouvrer ses coûts réels et </w:t>
      </w:r>
      <w:r w:rsidR="00D55FE1" w:rsidRPr="00F407AF">
        <w:rPr>
          <w:lang w:val="fr-BE"/>
        </w:rPr>
        <w:t xml:space="preserve">prévisionnels </w:t>
      </w:r>
      <w:r w:rsidR="00EE7F32" w:rsidRPr="00F407AF">
        <w:rPr>
          <w:lang w:val="fr-BE"/>
        </w:rPr>
        <w:t xml:space="preserve">globaux liés à la fourniture de services d'itinérance au détail réglementés au moyen de ses recettes réelles et </w:t>
      </w:r>
      <w:r w:rsidR="001B7178" w:rsidRPr="00F407AF">
        <w:rPr>
          <w:lang w:val="fr-BE"/>
        </w:rPr>
        <w:t xml:space="preserve">prévisionnelles </w:t>
      </w:r>
      <w:r w:rsidR="00EE7F32" w:rsidRPr="00F407AF">
        <w:rPr>
          <w:lang w:val="fr-BE"/>
        </w:rPr>
        <w:t xml:space="preserve">globales tirées de la fourniture de ces services, il </w:t>
      </w:r>
      <w:r w:rsidR="00185A2C" w:rsidRPr="00F407AF">
        <w:rPr>
          <w:lang w:val="fr-BE"/>
        </w:rPr>
        <w:t>devrait pouvoir</w:t>
      </w:r>
      <w:r w:rsidR="00EE7F32" w:rsidRPr="00F407AF">
        <w:rPr>
          <w:lang w:val="fr-BE"/>
        </w:rPr>
        <w:t xml:space="preserve"> demander l'autorisation de facturer des frais supplémentaires en vue de garantir la viabilité de son modèle</w:t>
      </w:r>
      <w:r w:rsidR="00D55FE1" w:rsidRPr="00F407AF">
        <w:rPr>
          <w:lang w:val="fr-BE"/>
        </w:rPr>
        <w:t xml:space="preserve"> de</w:t>
      </w:r>
      <w:r w:rsidR="00EE7F32" w:rsidRPr="00F407AF">
        <w:rPr>
          <w:lang w:val="fr-BE"/>
        </w:rPr>
        <w:t xml:space="preserve"> tarif</w:t>
      </w:r>
      <w:r w:rsidR="00D55FE1" w:rsidRPr="00F407AF">
        <w:rPr>
          <w:lang w:val="fr-BE"/>
        </w:rPr>
        <w:t>ication</w:t>
      </w:r>
      <w:r w:rsidR="00EE7F32" w:rsidRPr="00F407AF">
        <w:rPr>
          <w:lang w:val="fr-BE"/>
        </w:rPr>
        <w:t xml:space="preserve"> national. L'évaluation de la viabilité du modèle tarifaire national devrait se fonder sur des facteurs objectifs pertinents propres au fournisseur de services d'itinérance, y compris les différences objectives entre les fournisseurs de services d'itinérance dans l'État membre </w:t>
      </w:r>
      <w:r w:rsidR="00185A2C" w:rsidRPr="00F407AF">
        <w:rPr>
          <w:lang w:val="fr-BE"/>
        </w:rPr>
        <w:t>concerné</w:t>
      </w:r>
      <w:r w:rsidR="00EE7F32" w:rsidRPr="00F407AF">
        <w:rPr>
          <w:lang w:val="fr-BE"/>
        </w:rPr>
        <w:t xml:space="preserve"> et le niveau des prix et des recettes au niveau national. Cela peut notamment être le cas pour les modèles de tarifs forfaitaires nationaux de détail proposés par des opérateurs qui présentent d'importants déséquilibres négatifs du trafic, lorsque le prix unitaire national implicite est bas et que les recettes globales de l'opérateur sont également faibles par rapport aux coûts d'itinérance, ou </w:t>
      </w:r>
      <w:r w:rsidR="00D55FE1" w:rsidRPr="00F407AF">
        <w:rPr>
          <w:lang w:val="fr-BE"/>
        </w:rPr>
        <w:t xml:space="preserve">lorsque </w:t>
      </w:r>
      <w:r w:rsidR="00EE7F32" w:rsidRPr="00F407AF">
        <w:rPr>
          <w:lang w:val="fr-BE"/>
        </w:rPr>
        <w:t xml:space="preserve">le prix unitaire implicite est faible et la consommation réelle ou </w:t>
      </w:r>
      <w:r w:rsidR="00D55FE1" w:rsidRPr="00F407AF">
        <w:rPr>
          <w:lang w:val="fr-BE"/>
        </w:rPr>
        <w:t xml:space="preserve">prévisionnelle </w:t>
      </w:r>
      <w:r w:rsidR="00EE7F32" w:rsidRPr="00F407AF">
        <w:rPr>
          <w:lang w:val="fr-BE"/>
        </w:rPr>
        <w:t>des services d'itinérance élevée. Une fois que les marchés de détail et de gros de l'itinérance se s</w:t>
      </w:r>
      <w:r w:rsidR="00A547CB" w:rsidRPr="00F407AF">
        <w:rPr>
          <w:lang w:val="fr-BE"/>
        </w:rPr>
        <w:t>er</w:t>
      </w:r>
      <w:r w:rsidR="00EE7F32" w:rsidRPr="00F407AF">
        <w:rPr>
          <w:lang w:val="fr-BE"/>
        </w:rPr>
        <w:t xml:space="preserve">ont pleinement adaptés à la généralisation de la fourniture de services d'itinérance aux prix nationaux et à son intégration dans les plans tarifaires au détail, dont elle constituera une caractéristique normale, ces circonstances exceptionnelles ne devraient plus se produire. Afin d'éviter que la viabilité du modèle tarifaire national des fournisseurs de services d'itinérance ne soit compromise par ces problèmes de recouvrement des coûts, en créant un risque d'effet sensible sur l'évolution des prix nationaux ou d'effet </w:t>
      </w:r>
      <w:r w:rsidR="002C086A" w:rsidRPr="00F407AF">
        <w:rPr>
          <w:lang w:val="fr-BE"/>
        </w:rPr>
        <w:t xml:space="preserve">dit </w:t>
      </w:r>
      <w:r w:rsidRPr="00F407AF">
        <w:rPr>
          <w:lang w:val="fr-BE"/>
        </w:rPr>
        <w:t xml:space="preserve">de "vases communicants", </w:t>
      </w:r>
      <w:r w:rsidR="00EE7F32" w:rsidRPr="00F407AF">
        <w:rPr>
          <w:lang w:val="fr-BE"/>
        </w:rPr>
        <w:t>les fournisseurs de services d'itinérance, sur autorisation de l'autorité réglementaire nationale, ne devraient</w:t>
      </w:r>
      <w:r w:rsidR="00D41225" w:rsidRPr="00F407AF">
        <w:rPr>
          <w:lang w:val="fr-BE"/>
        </w:rPr>
        <w:t>, dans de telles circonstances,</w:t>
      </w:r>
      <w:r w:rsidR="00EE7F32" w:rsidRPr="00F407AF">
        <w:rPr>
          <w:lang w:val="fr-BE"/>
        </w:rPr>
        <w:t xml:space="preserve"> </w:t>
      </w:r>
      <w:r w:rsidR="005930F0" w:rsidRPr="00F407AF">
        <w:rPr>
          <w:lang w:val="fr-BE"/>
        </w:rPr>
        <w:t xml:space="preserve">être </w:t>
      </w:r>
      <w:r w:rsidR="00EE7F32" w:rsidRPr="00F407AF">
        <w:rPr>
          <w:lang w:val="fr-BE"/>
        </w:rPr>
        <w:t>en mesure d'appliquer des frais supplémentaires aux services d'itinérance au détail réglementés que dans la mesure nécessaire pour recouvrer tous les coûts concernés liés à la fourniture de ces services.</w:t>
      </w:r>
    </w:p>
    <w:p w:rsidR="002C086A" w:rsidRPr="00F407AF" w:rsidRDefault="00EE7F32" w:rsidP="00F407AF">
      <w:pPr>
        <w:pStyle w:val="ManualConsidrant"/>
        <w:rPr>
          <w:lang w:val="fr-BE"/>
        </w:rPr>
      </w:pPr>
      <w:r w:rsidRPr="00F407AF">
        <w:rPr>
          <w:lang w:val="fr-BE"/>
        </w:rPr>
        <w:br w:type="page"/>
      </w:r>
      <w:r w:rsidR="00F407AF" w:rsidRPr="00F407AF">
        <w:rPr>
          <w:lang w:val="fr-BE"/>
        </w:rPr>
        <w:lastRenderedPageBreak/>
        <w:t>(24)</w:t>
      </w:r>
      <w:r w:rsidR="00F407AF" w:rsidRPr="00F407AF">
        <w:rPr>
          <w:lang w:val="fr-BE"/>
        </w:rPr>
        <w:tab/>
      </w:r>
      <w:r w:rsidRPr="00F407AF">
        <w:rPr>
          <w:lang w:val="fr-BE"/>
        </w:rPr>
        <w:t xml:space="preserve">À cette fin, les coûts encourus pour fournir des services d'itinérance au détail réglementés devraient être déterminés sur la base des prix de gros réels de l'itinérance appliqués à la part du trafic sortant du fournisseur de services d'itinérance </w:t>
      </w:r>
      <w:r w:rsidR="004F2158" w:rsidRPr="00F407AF">
        <w:rPr>
          <w:lang w:val="fr-BE"/>
        </w:rPr>
        <w:t>concerné</w:t>
      </w:r>
      <w:r w:rsidRPr="00F407AF">
        <w:rPr>
          <w:lang w:val="fr-BE"/>
        </w:rPr>
        <w:t xml:space="preserve"> qui dépasse son trafic entrant, ainsi que</w:t>
      </w:r>
      <w:r w:rsidR="004F2158" w:rsidRPr="00F407AF">
        <w:rPr>
          <w:lang w:val="fr-BE"/>
        </w:rPr>
        <w:t>, en référence à</w:t>
      </w:r>
      <w:r w:rsidR="0059154D" w:rsidRPr="00F407AF">
        <w:rPr>
          <w:lang w:val="fr-BE"/>
        </w:rPr>
        <w:t xml:space="preserve"> </w:t>
      </w:r>
      <w:r w:rsidRPr="00F407AF">
        <w:rPr>
          <w:lang w:val="fr-BE"/>
        </w:rPr>
        <w:t xml:space="preserve">une provision raisonnable pour les coûts </w:t>
      </w:r>
      <w:r w:rsidR="00680541" w:rsidRPr="00F407AF">
        <w:rPr>
          <w:lang w:val="fr-BE"/>
        </w:rPr>
        <w:t xml:space="preserve">liés </w:t>
      </w:r>
      <w:r w:rsidRPr="00F407AF">
        <w:rPr>
          <w:lang w:val="fr-BE"/>
        </w:rPr>
        <w:t xml:space="preserve">et communs. Les recettes tirées des services d'itinérance au détail réglementés devraient être déterminées </w:t>
      </w:r>
      <w:r w:rsidR="005930F0" w:rsidRPr="00F407AF">
        <w:rPr>
          <w:lang w:val="fr-BE"/>
        </w:rPr>
        <w:t>par référence à</w:t>
      </w:r>
      <w:r w:rsidRPr="00F407AF">
        <w:rPr>
          <w:lang w:val="fr-BE"/>
        </w:rPr>
        <w:t xml:space="preserve"> des recettes </w:t>
      </w:r>
      <w:r w:rsidR="005930F0" w:rsidRPr="00F407AF">
        <w:rPr>
          <w:lang w:val="fr-BE"/>
        </w:rPr>
        <w:t>à des niveaux de</w:t>
      </w:r>
      <w:r w:rsidRPr="00F407AF">
        <w:rPr>
          <w:lang w:val="fr-BE"/>
        </w:rPr>
        <w:t xml:space="preserve"> prix nationaux imputables à la consommation de services d'itinérance</w:t>
      </w:r>
      <w:r w:rsidR="002A7935" w:rsidRPr="00F407AF">
        <w:rPr>
          <w:lang w:val="fr-BE"/>
        </w:rPr>
        <w:t xml:space="preserve"> au détail réglementés</w:t>
      </w:r>
      <w:r w:rsidRPr="00F407AF">
        <w:rPr>
          <w:lang w:val="fr-BE"/>
        </w:rPr>
        <w:t>, que ce soit sur une base unitaire ou au prorata d'une commission forfaitaire</w:t>
      </w:r>
      <w:r w:rsidR="00B73ADC" w:rsidRPr="00F407AF">
        <w:rPr>
          <w:lang w:val="fr-BE"/>
        </w:rPr>
        <w:t>,</w:t>
      </w:r>
      <w:r w:rsidRPr="00F407AF">
        <w:rPr>
          <w:lang w:val="fr-BE"/>
        </w:rPr>
        <w:t xml:space="preserve"> correspondant aux proportions </w:t>
      </w:r>
      <w:r w:rsidR="005930F0" w:rsidRPr="00F407AF">
        <w:rPr>
          <w:lang w:val="fr-BE"/>
        </w:rPr>
        <w:t xml:space="preserve">respectivement </w:t>
      </w:r>
      <w:r w:rsidRPr="00F407AF">
        <w:rPr>
          <w:lang w:val="fr-BE"/>
        </w:rPr>
        <w:t xml:space="preserve">réelles et </w:t>
      </w:r>
      <w:r w:rsidR="001B7178" w:rsidRPr="00F407AF">
        <w:rPr>
          <w:lang w:val="fr-BE"/>
        </w:rPr>
        <w:t xml:space="preserve">prévisionnelles </w:t>
      </w:r>
      <w:r w:rsidRPr="00F407AF">
        <w:rPr>
          <w:lang w:val="fr-BE"/>
        </w:rPr>
        <w:t xml:space="preserve">de la consommation de services d'itinérance </w:t>
      </w:r>
      <w:r w:rsidR="002A7935" w:rsidRPr="00F407AF">
        <w:rPr>
          <w:lang w:val="fr-BE"/>
        </w:rPr>
        <w:t xml:space="preserve">au détail réglementés </w:t>
      </w:r>
      <w:r w:rsidRPr="00F407AF">
        <w:rPr>
          <w:lang w:val="fr-BE"/>
        </w:rPr>
        <w:t xml:space="preserve">par les </w:t>
      </w:r>
      <w:r w:rsidR="00481DDF" w:rsidRPr="00F407AF">
        <w:rPr>
          <w:lang w:val="fr-BE"/>
        </w:rPr>
        <w:t>clients</w:t>
      </w:r>
      <w:r w:rsidRPr="00F407AF">
        <w:rPr>
          <w:lang w:val="fr-BE"/>
        </w:rPr>
        <w:t xml:space="preserve"> au sein de l'Union, d'une part, et de la consommation nationale, d'autre part. Il convient également de tenir compte de la consommation des services d'itinérance au détail réglementés et de la consommation nationale des </w:t>
      </w:r>
      <w:r w:rsidR="00481DDF" w:rsidRPr="00F407AF">
        <w:rPr>
          <w:lang w:val="fr-BE"/>
        </w:rPr>
        <w:t>clients</w:t>
      </w:r>
      <w:r w:rsidRPr="00F407AF">
        <w:rPr>
          <w:lang w:val="fr-BE"/>
        </w:rPr>
        <w:t xml:space="preserve"> des fournisseurs de services d'itinérance, ainsi que du niveau de concurrence, des prix et des recettes sur le marché national, et de tout risque observable que l'application des prix de détail nationaux aux services d'itinérance ait un effet sensible sur l'évolution de ces prix.</w:t>
      </w:r>
    </w:p>
    <w:p w:rsidR="00EE7F32" w:rsidRPr="00F407AF" w:rsidRDefault="00F407AF" w:rsidP="00F407AF">
      <w:pPr>
        <w:pStyle w:val="ManualConsidrant"/>
        <w:rPr>
          <w:lang w:val="fr-BE"/>
        </w:rPr>
      </w:pPr>
      <w:r>
        <w:rPr>
          <w:lang w:val="fr-BE"/>
        </w:rPr>
        <w:br w:type="page"/>
      </w:r>
      <w:r w:rsidR="00EE7F32" w:rsidRPr="00F407AF">
        <w:rPr>
          <w:lang w:val="fr-BE"/>
        </w:rPr>
        <w:lastRenderedPageBreak/>
        <w:t>(</w:t>
      </w:r>
      <w:r w:rsidR="002A7935" w:rsidRPr="00F407AF">
        <w:rPr>
          <w:lang w:val="fr-BE"/>
        </w:rPr>
        <w:t>25</w:t>
      </w:r>
      <w:r w:rsidR="00EE7F32" w:rsidRPr="00F407AF">
        <w:rPr>
          <w:lang w:val="fr-BE"/>
        </w:rPr>
        <w:t>)</w:t>
      </w:r>
      <w:r w:rsidR="00EE7F32" w:rsidRPr="00F407AF">
        <w:rPr>
          <w:lang w:val="fr-BE"/>
        </w:rPr>
        <w:tab/>
        <w:t>Afin d'assurer une transition</w:t>
      </w:r>
      <w:r>
        <w:rPr>
          <w:lang w:val="fr-BE"/>
        </w:rPr>
        <w:t xml:space="preserve"> sans heurts entre le règlement </w:t>
      </w:r>
      <w:r w:rsidR="00EE7F32" w:rsidRPr="00F407AF">
        <w:rPr>
          <w:lang w:val="fr-BE"/>
        </w:rPr>
        <w:t>(UE) n° 531/2012 et la suppression des frais d'itinérance</w:t>
      </w:r>
      <w:r w:rsidR="002435D0" w:rsidRPr="00F407AF">
        <w:rPr>
          <w:lang w:val="fr-BE"/>
        </w:rPr>
        <w:t xml:space="preserve"> au détail supplémentaires</w:t>
      </w:r>
      <w:r w:rsidR="00EE7F32" w:rsidRPr="00F407AF">
        <w:rPr>
          <w:lang w:val="fr-BE"/>
        </w:rPr>
        <w:t xml:space="preserve">, le présent règlement devrait prévoir une période de transition, au cours de laquelle les fournisseurs de services d'itinérance devraient pouvoir appliquer des frais supplémentaires par rapport aux prix nationaux pour les services d'itinérance au détail réglementés qu'ils </w:t>
      </w:r>
      <w:r w:rsidR="007B54F3" w:rsidRPr="00F407AF">
        <w:rPr>
          <w:lang w:val="fr-BE"/>
        </w:rPr>
        <w:t>fournissent</w:t>
      </w:r>
      <w:r w:rsidR="00EE7F32" w:rsidRPr="00F407AF">
        <w:rPr>
          <w:lang w:val="fr-BE"/>
        </w:rPr>
        <w:t>. Ce régime de transition devrait déjà préparer le changement profond d'approche, en</w:t>
      </w:r>
      <w:r w:rsidR="007B54F3" w:rsidRPr="00F407AF">
        <w:rPr>
          <w:lang w:val="fr-BE"/>
        </w:rPr>
        <w:t xml:space="preserve"> in</w:t>
      </w:r>
      <w:r w:rsidR="002435D0" w:rsidRPr="00F407AF">
        <w:rPr>
          <w:lang w:val="fr-BE"/>
        </w:rPr>
        <w:t>tégr</w:t>
      </w:r>
      <w:r w:rsidR="007B54F3" w:rsidRPr="00F407AF">
        <w:rPr>
          <w:lang w:val="fr-BE"/>
        </w:rPr>
        <w:t>ant</w:t>
      </w:r>
      <w:r w:rsidR="00EE7F32" w:rsidRPr="00F407AF">
        <w:rPr>
          <w:lang w:val="fr-BE"/>
        </w:rPr>
        <w:t xml:space="preserve"> les services d'itinérance à l'échelle de l'U</w:t>
      </w:r>
      <w:r w:rsidR="007B54F3" w:rsidRPr="00F407AF">
        <w:rPr>
          <w:lang w:val="fr-BE"/>
        </w:rPr>
        <w:t>nion</w:t>
      </w:r>
      <w:r w:rsidR="00EE7F32" w:rsidRPr="00F407AF">
        <w:rPr>
          <w:lang w:val="fr-BE"/>
        </w:rPr>
        <w:t xml:space="preserve"> </w:t>
      </w:r>
      <w:r w:rsidR="002435D0" w:rsidRPr="00F407AF">
        <w:rPr>
          <w:lang w:val="fr-BE"/>
        </w:rPr>
        <w:t xml:space="preserve">dans </w:t>
      </w:r>
      <w:r w:rsidR="00EE7F32" w:rsidRPr="00F407AF">
        <w:rPr>
          <w:lang w:val="fr-BE"/>
        </w:rPr>
        <w:t xml:space="preserve">des plans tarifaires nationaux proposés sur les différents marchés nationaux. Ainsi, le régime de transition devrait prendre pour point de départ les prix </w:t>
      </w:r>
      <w:r w:rsidR="002435D0" w:rsidRPr="00F407AF">
        <w:rPr>
          <w:lang w:val="fr-BE"/>
        </w:rPr>
        <w:t xml:space="preserve">au détail </w:t>
      </w:r>
      <w:r w:rsidR="00EE7F32" w:rsidRPr="00F407AF">
        <w:rPr>
          <w:lang w:val="fr-BE"/>
        </w:rPr>
        <w:t>nationaux</w:t>
      </w:r>
      <w:r w:rsidR="002C086A" w:rsidRPr="00F407AF">
        <w:rPr>
          <w:lang w:val="fr-BE"/>
        </w:rPr>
        <w:t xml:space="preserve"> respectifs</w:t>
      </w:r>
      <w:r w:rsidR="00EE7F32" w:rsidRPr="00F407AF">
        <w:rPr>
          <w:lang w:val="fr-BE"/>
        </w:rPr>
        <w:t xml:space="preserve">, auxquels pourront être appliqués des frais supplémentaires n'excédant pas le montant maximal du prix de gros de l'itinérance </w:t>
      </w:r>
      <w:r w:rsidR="007B54F3" w:rsidRPr="00F407AF">
        <w:rPr>
          <w:lang w:val="fr-BE"/>
        </w:rPr>
        <w:t>applicable</w:t>
      </w:r>
      <w:r w:rsidR="00EE7F32" w:rsidRPr="00F407AF">
        <w:rPr>
          <w:lang w:val="fr-BE"/>
        </w:rPr>
        <w:t xml:space="preserve"> au cours de la période précédant immédiatement la </w:t>
      </w:r>
      <w:r w:rsidR="007B54F3" w:rsidRPr="00F407AF">
        <w:rPr>
          <w:lang w:val="fr-BE"/>
        </w:rPr>
        <w:t xml:space="preserve">période de </w:t>
      </w:r>
      <w:r w:rsidR="00EE7F32" w:rsidRPr="00F407AF">
        <w:rPr>
          <w:lang w:val="fr-BE"/>
        </w:rPr>
        <w:t xml:space="preserve">transition. Un tel régime de transition devrait également garantir une réduction substantielle des prix pour les </w:t>
      </w:r>
      <w:r w:rsidR="00CC26DD" w:rsidRPr="00F407AF">
        <w:rPr>
          <w:lang w:val="fr-BE"/>
        </w:rPr>
        <w:t>clients</w:t>
      </w:r>
      <w:r w:rsidR="00EE7F32" w:rsidRPr="00F407AF">
        <w:rPr>
          <w:lang w:val="fr-BE"/>
        </w:rPr>
        <w:t xml:space="preserve"> à compter de la date d'application du présent règlement et ne devrait en aucun cas, lorsque le</w:t>
      </w:r>
      <w:r w:rsidR="007C0117" w:rsidRPr="00F407AF">
        <w:rPr>
          <w:lang w:val="fr-BE"/>
        </w:rPr>
        <w:t>s frais</w:t>
      </w:r>
      <w:r w:rsidR="00EE7F32" w:rsidRPr="00F407AF">
        <w:rPr>
          <w:lang w:val="fr-BE"/>
        </w:rPr>
        <w:t xml:space="preserve"> supplément</w:t>
      </w:r>
      <w:r w:rsidR="007C0117" w:rsidRPr="00F407AF">
        <w:rPr>
          <w:lang w:val="fr-BE"/>
        </w:rPr>
        <w:t>aires</w:t>
      </w:r>
      <w:r w:rsidR="00EE7F32" w:rsidRPr="00F407AF">
        <w:rPr>
          <w:lang w:val="fr-BE"/>
        </w:rPr>
        <w:t xml:space="preserve"> concerné</w:t>
      </w:r>
      <w:r w:rsidR="007C0117" w:rsidRPr="00F407AF">
        <w:rPr>
          <w:lang w:val="fr-BE"/>
        </w:rPr>
        <w:t>s</w:t>
      </w:r>
      <w:r w:rsidR="00EE7F32" w:rsidRPr="00F407AF">
        <w:rPr>
          <w:lang w:val="fr-BE"/>
        </w:rPr>
        <w:t xml:space="preserve"> </w:t>
      </w:r>
      <w:r w:rsidR="007C0117" w:rsidRPr="00F407AF">
        <w:rPr>
          <w:lang w:val="fr-BE"/>
        </w:rPr>
        <w:t>sont</w:t>
      </w:r>
      <w:r w:rsidR="00EE7F32" w:rsidRPr="00F407AF">
        <w:rPr>
          <w:lang w:val="fr-BE"/>
        </w:rPr>
        <w:t xml:space="preserve"> ajouté</w:t>
      </w:r>
      <w:r w:rsidR="007C0117" w:rsidRPr="00F407AF">
        <w:rPr>
          <w:lang w:val="fr-BE"/>
        </w:rPr>
        <w:t>s</w:t>
      </w:r>
      <w:r w:rsidR="00EE7F32" w:rsidRPr="00F407AF">
        <w:rPr>
          <w:lang w:val="fr-BE"/>
        </w:rPr>
        <w:t xml:space="preserve"> au prix de détail national, conduire à des prix de détail de l'itinérance supérieurs au prix </w:t>
      </w:r>
      <w:r w:rsidR="00AD4873" w:rsidRPr="00F407AF">
        <w:rPr>
          <w:lang w:val="fr-BE"/>
        </w:rPr>
        <w:t xml:space="preserve">de détail </w:t>
      </w:r>
      <w:r w:rsidR="00EE7F32" w:rsidRPr="00F407AF">
        <w:rPr>
          <w:lang w:val="fr-BE"/>
        </w:rPr>
        <w:t xml:space="preserve">maximal des services d'itinérance réglementés </w:t>
      </w:r>
      <w:r w:rsidR="002435D0" w:rsidRPr="00F407AF">
        <w:rPr>
          <w:lang w:val="fr-BE"/>
        </w:rPr>
        <w:t xml:space="preserve">applicable </w:t>
      </w:r>
      <w:r w:rsidR="00EE7F32" w:rsidRPr="00F407AF">
        <w:rPr>
          <w:lang w:val="fr-BE"/>
        </w:rPr>
        <w:t xml:space="preserve">au cours de la période précédant immédiatement la </w:t>
      </w:r>
      <w:r w:rsidR="00CC26DD" w:rsidRPr="00F407AF">
        <w:rPr>
          <w:lang w:val="fr-BE"/>
        </w:rPr>
        <w:t xml:space="preserve">période de </w:t>
      </w:r>
      <w:r w:rsidR="00EE7F32" w:rsidRPr="00F407AF">
        <w:rPr>
          <w:lang w:val="fr-BE"/>
        </w:rPr>
        <w:t>transition.</w:t>
      </w:r>
    </w:p>
    <w:p w:rsidR="00EE7F32" w:rsidRPr="00F407AF" w:rsidRDefault="00EE7F32" w:rsidP="00F407AF">
      <w:pPr>
        <w:pStyle w:val="ManualConsidrant"/>
        <w:rPr>
          <w:lang w:val="fr-BE"/>
        </w:rPr>
      </w:pPr>
      <w:r w:rsidRPr="00F407AF">
        <w:rPr>
          <w:lang w:val="fr-BE"/>
        </w:rPr>
        <w:t>(</w:t>
      </w:r>
      <w:r w:rsidR="002A7935" w:rsidRPr="00F407AF">
        <w:rPr>
          <w:lang w:val="fr-BE"/>
        </w:rPr>
        <w:t>26</w:t>
      </w:r>
      <w:r w:rsidRPr="00F407AF">
        <w:rPr>
          <w:lang w:val="fr-BE"/>
        </w:rPr>
        <w:t>)</w:t>
      </w:r>
      <w:r w:rsidRPr="00F407AF">
        <w:rPr>
          <w:lang w:val="fr-BE"/>
        </w:rPr>
        <w:tab/>
        <w:t xml:space="preserve">Le prix de détail national </w:t>
      </w:r>
      <w:r w:rsidR="00FE167F" w:rsidRPr="00F407AF">
        <w:rPr>
          <w:lang w:val="fr-BE"/>
        </w:rPr>
        <w:t xml:space="preserve">pertinent </w:t>
      </w:r>
      <w:r w:rsidRPr="00F407AF">
        <w:rPr>
          <w:lang w:val="fr-BE"/>
        </w:rPr>
        <w:t xml:space="preserve">devrait être égal au prix de détail national à l'unité. Toutefois, dans les situations où il n'existe pas de prix de détail nationaux spécifiques susceptibles d'être utilisés comme base pour un service d'itinérance au détail réglementé (par exemple, dans le cas de plans tarifaires nationaux illimités, d'offres groupées ou de tarifs nationaux </w:t>
      </w:r>
      <w:r w:rsidR="009809D9" w:rsidRPr="00F407AF">
        <w:rPr>
          <w:lang w:val="fr-BE"/>
        </w:rPr>
        <w:t xml:space="preserve">n'incluant pas de </w:t>
      </w:r>
      <w:r w:rsidRPr="00F407AF">
        <w:rPr>
          <w:lang w:val="fr-BE"/>
        </w:rPr>
        <w:t xml:space="preserve">données), le prix de détail national devrait être réputé identique à la tarification qui s'appliquerait si le </w:t>
      </w:r>
      <w:r w:rsidR="00B61759" w:rsidRPr="00F407AF">
        <w:rPr>
          <w:lang w:val="fr-BE"/>
        </w:rPr>
        <w:t xml:space="preserve">client </w:t>
      </w:r>
      <w:r w:rsidRPr="00F407AF">
        <w:rPr>
          <w:lang w:val="fr-BE"/>
        </w:rPr>
        <w:t xml:space="preserve">était soumis au plan tarifaire national dans </w:t>
      </w:r>
      <w:r w:rsidR="002A7935" w:rsidRPr="00F407AF">
        <w:rPr>
          <w:lang w:val="fr-BE"/>
        </w:rPr>
        <w:t xml:space="preserve">son </w:t>
      </w:r>
      <w:r w:rsidRPr="00F407AF">
        <w:rPr>
          <w:lang w:val="fr-BE"/>
        </w:rPr>
        <w:t>État membre.</w:t>
      </w:r>
    </w:p>
    <w:p w:rsidR="00EE7F32" w:rsidRPr="00F407AF" w:rsidRDefault="00F407AF" w:rsidP="00F407AF">
      <w:pPr>
        <w:pStyle w:val="ManualConsidrant"/>
        <w:rPr>
          <w:lang w:val="fr-BE"/>
        </w:rPr>
      </w:pPr>
      <w:r>
        <w:rPr>
          <w:lang w:val="fr-BE"/>
        </w:rPr>
        <w:br w:type="page"/>
      </w:r>
      <w:r w:rsidR="00EE7F32" w:rsidRPr="00F407AF">
        <w:rPr>
          <w:lang w:val="fr-BE"/>
        </w:rPr>
        <w:lastRenderedPageBreak/>
        <w:t>(</w:t>
      </w:r>
      <w:r w:rsidR="002A7935" w:rsidRPr="00F407AF">
        <w:rPr>
          <w:lang w:val="fr-BE"/>
        </w:rPr>
        <w:t>27</w:t>
      </w:r>
      <w:r w:rsidR="00EE7F32" w:rsidRPr="00F407AF">
        <w:rPr>
          <w:lang w:val="fr-BE"/>
        </w:rPr>
        <w:t>)</w:t>
      </w:r>
      <w:r w:rsidR="00EE7F32" w:rsidRPr="00F407AF">
        <w:rPr>
          <w:lang w:val="fr-BE"/>
        </w:rPr>
        <w:tab/>
        <w:t xml:space="preserve">En vue de renforcer la concurrence sur le marché de détail de l'itinérance, le règlement (UE) n° 531/2012 prévoit que les fournisseurs nationaux sont tenus de permettre à leurs clients d'accéder aux services </w:t>
      </w:r>
      <w:r w:rsidR="00B61759" w:rsidRPr="00F407AF">
        <w:rPr>
          <w:lang w:val="fr-BE"/>
        </w:rPr>
        <w:t>d</w:t>
      </w:r>
      <w:r w:rsidRPr="00F407AF">
        <w:rPr>
          <w:lang w:val="fr-BE"/>
        </w:rPr>
        <w:t>'</w:t>
      </w:r>
      <w:r w:rsidR="00EE7F32" w:rsidRPr="00F407AF">
        <w:rPr>
          <w:lang w:val="fr-BE"/>
        </w:rPr>
        <w:t xml:space="preserve">appels vocaux, </w:t>
      </w:r>
      <w:r w:rsidR="00B61759" w:rsidRPr="00F407AF">
        <w:rPr>
          <w:lang w:val="fr-BE"/>
        </w:rPr>
        <w:t>de</w:t>
      </w:r>
      <w:r w:rsidR="00EE7F32" w:rsidRPr="00F407AF">
        <w:rPr>
          <w:lang w:val="fr-BE"/>
        </w:rPr>
        <w:t xml:space="preserve"> SMS et </w:t>
      </w:r>
      <w:r w:rsidR="00B61759" w:rsidRPr="00F407AF">
        <w:rPr>
          <w:lang w:val="fr-BE"/>
        </w:rPr>
        <w:t>de</w:t>
      </w:r>
      <w:r w:rsidR="00EE7F32" w:rsidRPr="00F407AF">
        <w:rPr>
          <w:lang w:val="fr-BE"/>
        </w:rPr>
        <w:t xml:space="preserve"> données</w:t>
      </w:r>
      <w:r w:rsidR="00B61759" w:rsidRPr="00F407AF">
        <w:rPr>
          <w:lang w:val="fr-BE"/>
        </w:rPr>
        <w:t xml:space="preserve"> en itinérance réglementés</w:t>
      </w:r>
      <w:r w:rsidR="00EE7F32" w:rsidRPr="00F407AF">
        <w:rPr>
          <w:lang w:val="fr-BE"/>
        </w:rPr>
        <w:t xml:space="preserve">, fournis en tant qu'offre groupée par tout fournisseur de services d'itinérance alternatif. Étant donné que le régime de tarification de l'itinérance au détail prévu </w:t>
      </w:r>
      <w:r w:rsidR="00101251" w:rsidRPr="00F407AF">
        <w:rPr>
          <w:lang w:val="fr-BE"/>
        </w:rPr>
        <w:t>dans le</w:t>
      </w:r>
      <w:r w:rsidR="00EE7F32" w:rsidRPr="00F407AF">
        <w:rPr>
          <w:lang w:val="fr-BE"/>
        </w:rPr>
        <w:t xml:space="preserve"> présent règlement </w:t>
      </w:r>
      <w:r w:rsidR="00B61759" w:rsidRPr="00F407AF">
        <w:rPr>
          <w:lang w:val="fr-BE"/>
        </w:rPr>
        <w:t xml:space="preserve">prévoit de supprimer </w:t>
      </w:r>
      <w:r w:rsidR="00EE7F32" w:rsidRPr="00F407AF">
        <w:rPr>
          <w:lang w:val="fr-BE"/>
        </w:rPr>
        <w:t>dans un avenir proche les prix de détail des services d'itinérance prévus aux ar</w:t>
      </w:r>
      <w:r>
        <w:rPr>
          <w:lang w:val="fr-BE"/>
        </w:rPr>
        <w:t xml:space="preserve">ticles 8, 10 et 13 du règlement </w:t>
      </w:r>
      <w:r w:rsidR="00EE7F32" w:rsidRPr="00F407AF">
        <w:rPr>
          <w:lang w:val="fr-BE"/>
        </w:rPr>
        <w:t xml:space="preserve">(UE) n° 531/2012, le fait d'obliger les </w:t>
      </w:r>
      <w:r w:rsidR="00101251" w:rsidRPr="00F407AF">
        <w:rPr>
          <w:lang w:val="fr-BE"/>
        </w:rPr>
        <w:t xml:space="preserve">fournisseurs </w:t>
      </w:r>
      <w:r w:rsidR="002533D8" w:rsidRPr="00F407AF">
        <w:rPr>
          <w:lang w:val="fr-BE"/>
        </w:rPr>
        <w:t xml:space="preserve">nationaux </w:t>
      </w:r>
      <w:r w:rsidR="00EE7F32" w:rsidRPr="00F407AF">
        <w:rPr>
          <w:lang w:val="fr-BE"/>
        </w:rPr>
        <w:t xml:space="preserve">à mettre en œuvre ce type de vente séparée de services d'itinérance </w:t>
      </w:r>
      <w:r w:rsidR="00CB214A" w:rsidRPr="00F407AF">
        <w:rPr>
          <w:lang w:val="fr-BE"/>
        </w:rPr>
        <w:t xml:space="preserve">de détail </w:t>
      </w:r>
      <w:r w:rsidR="00EE7F32" w:rsidRPr="00F407AF">
        <w:rPr>
          <w:lang w:val="fr-BE"/>
        </w:rPr>
        <w:t xml:space="preserve">réglementés ne constituerait plus une mesure proportionnée. Les fournisseurs qui </w:t>
      </w:r>
      <w:r w:rsidR="009809D9" w:rsidRPr="00F407AF">
        <w:rPr>
          <w:lang w:val="fr-BE"/>
        </w:rPr>
        <w:t xml:space="preserve">permettent </w:t>
      </w:r>
      <w:r w:rsidR="00EE7F32" w:rsidRPr="00F407AF">
        <w:rPr>
          <w:lang w:val="fr-BE"/>
        </w:rPr>
        <w:t>déjà à leurs clients d'accéder aux services d'itinérance réglementés pour les appels vocaux, les SMS et les données, fournis en tant qu'offre groupée par tout fournisseur de services d'itinérance alternatif, peuvent con</w:t>
      </w:r>
      <w:r>
        <w:rPr>
          <w:lang w:val="fr-BE"/>
        </w:rPr>
        <w:t>tinuer à le faire. En revanche,</w:t>
      </w:r>
      <w:r w:rsidR="00EE7F32" w:rsidRPr="00F407AF">
        <w:rPr>
          <w:lang w:val="fr-BE"/>
        </w:rPr>
        <w:t xml:space="preserve"> on ne peut exclure que les clients en itinérance pourraient bénéficier de prix de détail plus compétitifs, en particulier pour les </w:t>
      </w:r>
      <w:r w:rsidR="001148B9" w:rsidRPr="00F407AF">
        <w:rPr>
          <w:lang w:val="fr-BE"/>
        </w:rPr>
        <w:t xml:space="preserve">services </w:t>
      </w:r>
      <w:r w:rsidR="00B61759" w:rsidRPr="00F407AF">
        <w:rPr>
          <w:lang w:val="fr-BE"/>
        </w:rPr>
        <w:t xml:space="preserve">de données en </w:t>
      </w:r>
      <w:r w:rsidR="001148B9" w:rsidRPr="00F407AF">
        <w:rPr>
          <w:lang w:val="fr-BE"/>
        </w:rPr>
        <w:t>itinérance</w:t>
      </w:r>
      <w:r w:rsidR="00EE7F32" w:rsidRPr="00F407AF">
        <w:rPr>
          <w:lang w:val="fr-BE"/>
        </w:rPr>
        <w:t xml:space="preserve">, sur les marchés visités. Compte tenu de la demande </w:t>
      </w:r>
      <w:r w:rsidR="005930F0" w:rsidRPr="00F407AF">
        <w:rPr>
          <w:lang w:val="fr-BE"/>
        </w:rPr>
        <w:t xml:space="preserve">croissante pour </w:t>
      </w:r>
      <w:r w:rsidR="00EE7F32" w:rsidRPr="00F407AF">
        <w:rPr>
          <w:lang w:val="fr-BE"/>
        </w:rPr>
        <w:t>des services de données en itinérance</w:t>
      </w:r>
      <w:r w:rsidR="005930F0" w:rsidRPr="00F407AF">
        <w:rPr>
          <w:lang w:val="fr-BE"/>
        </w:rPr>
        <w:t xml:space="preserve"> et de l'importance croissante de ceux-ci</w:t>
      </w:r>
      <w:r w:rsidR="00EE7F32" w:rsidRPr="00F407AF">
        <w:rPr>
          <w:lang w:val="fr-BE"/>
        </w:rPr>
        <w:t xml:space="preserve">, il convient de proposer aux clients en itinérance </w:t>
      </w:r>
      <w:r w:rsidR="00672D70" w:rsidRPr="00F407AF">
        <w:rPr>
          <w:lang w:val="fr-BE"/>
        </w:rPr>
        <w:t>au sein de l</w:t>
      </w:r>
      <w:r w:rsidRPr="00F407AF">
        <w:rPr>
          <w:lang w:val="fr-BE"/>
        </w:rPr>
        <w:t>'</w:t>
      </w:r>
      <w:r w:rsidR="00672D70" w:rsidRPr="00F407AF">
        <w:rPr>
          <w:lang w:val="fr-BE"/>
        </w:rPr>
        <w:t xml:space="preserve">Union </w:t>
      </w:r>
      <w:r w:rsidR="00EE7F32" w:rsidRPr="00F407AF">
        <w:rPr>
          <w:lang w:val="fr-BE"/>
        </w:rPr>
        <w:t xml:space="preserve">d'autres moyens d'accéder aux services de données en itinérance lors de leurs déplacements. Par conséquent, il convient de maintenir l'obligation imposée aux fournisseurs nationaux et aux fournisseurs de services d'itinérance de ne pas empêcher les clients d'accéder à des services de données en itinérance réglementés fournis directement sur un réseau visité par un fournisseur de services d'itinérance alternatif, </w:t>
      </w:r>
      <w:r w:rsidR="00C63CFA" w:rsidRPr="00F407AF">
        <w:rPr>
          <w:lang w:val="fr-BE"/>
        </w:rPr>
        <w:t>comme le prévoit le</w:t>
      </w:r>
      <w:r>
        <w:rPr>
          <w:lang w:val="fr-BE"/>
        </w:rPr>
        <w:t xml:space="preserve"> règlement (UE) n° 531/2012.</w:t>
      </w:r>
    </w:p>
    <w:p w:rsidR="00EE7F32" w:rsidRPr="00F407AF" w:rsidRDefault="00EE7F32" w:rsidP="00F407AF">
      <w:pPr>
        <w:pStyle w:val="ManualConsidrant"/>
        <w:rPr>
          <w:lang w:val="fr-BE"/>
        </w:rPr>
      </w:pPr>
      <w:r w:rsidRPr="00543B6E">
        <w:rPr>
          <w:lang w:val="fr-BE"/>
        </w:rPr>
        <w:br w:type="page"/>
      </w:r>
      <w:r w:rsidRPr="00F407AF">
        <w:rPr>
          <w:lang w:val="fr-BE"/>
        </w:rPr>
        <w:lastRenderedPageBreak/>
        <w:t>(</w:t>
      </w:r>
      <w:r w:rsidR="000E3634" w:rsidRPr="00F407AF">
        <w:rPr>
          <w:lang w:val="fr-BE"/>
        </w:rPr>
        <w:t>28</w:t>
      </w:r>
      <w:r w:rsidRPr="00F407AF">
        <w:rPr>
          <w:lang w:val="fr-BE"/>
        </w:rPr>
        <w:t>)</w:t>
      </w:r>
      <w:r w:rsidRPr="00F407AF">
        <w:rPr>
          <w:lang w:val="fr-BE"/>
        </w:rPr>
        <w:tab/>
        <w:t>En vertu du principe selon lequel "celui qui appelle paie", les clients en itinérance ne paient pas pour recevoir des appels de téléphonie mobile nationaux</w:t>
      </w:r>
      <w:r w:rsidR="00A700E4" w:rsidRPr="00F407AF">
        <w:rPr>
          <w:lang w:val="fr-BE"/>
        </w:rPr>
        <w:t xml:space="preserve"> </w:t>
      </w:r>
      <w:r w:rsidR="006833D0" w:rsidRPr="00F407AF">
        <w:rPr>
          <w:lang w:val="fr-BE"/>
        </w:rPr>
        <w:t>et</w:t>
      </w:r>
      <w:r w:rsidRPr="00F407AF">
        <w:rPr>
          <w:lang w:val="fr-BE"/>
        </w:rPr>
        <w:t xml:space="preserve"> le coût </w:t>
      </w:r>
      <w:r w:rsidR="00A700E4" w:rsidRPr="00F407AF">
        <w:rPr>
          <w:lang w:val="fr-BE"/>
        </w:rPr>
        <w:t xml:space="preserve">de terminaison </w:t>
      </w:r>
      <w:r w:rsidRPr="00F407AF">
        <w:rPr>
          <w:lang w:val="fr-BE"/>
        </w:rPr>
        <w:t xml:space="preserve">d'un appel à destination du réseau de l'appelé est couvert par le prix de détail payé par l'appelant. La convergence des tarifs de terminaison d'appel mobile dans l'ensemble des États membres devrait permettre </w:t>
      </w:r>
      <w:r w:rsidR="00C63CFA" w:rsidRPr="00F407AF">
        <w:rPr>
          <w:lang w:val="fr-BE"/>
        </w:rPr>
        <w:t>d</w:t>
      </w:r>
      <w:r w:rsidR="00F407AF" w:rsidRPr="00F407AF">
        <w:rPr>
          <w:lang w:val="fr-BE"/>
        </w:rPr>
        <w:t>'</w:t>
      </w:r>
      <w:r w:rsidR="00C63CFA" w:rsidRPr="00F407AF">
        <w:rPr>
          <w:lang w:val="fr-BE"/>
        </w:rPr>
        <w:t xml:space="preserve">appliquer </w:t>
      </w:r>
      <w:r w:rsidR="006833D0" w:rsidRPr="00F407AF">
        <w:rPr>
          <w:lang w:val="fr-BE"/>
        </w:rPr>
        <w:t>c</w:t>
      </w:r>
      <w:r w:rsidRPr="00F407AF">
        <w:rPr>
          <w:lang w:val="fr-BE"/>
        </w:rPr>
        <w:t xml:space="preserve">e même principe </w:t>
      </w:r>
      <w:r w:rsidR="00C63CFA" w:rsidRPr="00F407AF">
        <w:rPr>
          <w:lang w:val="fr-BE"/>
        </w:rPr>
        <w:t>aux</w:t>
      </w:r>
      <w:r w:rsidRPr="00F407AF">
        <w:rPr>
          <w:lang w:val="fr-BE"/>
        </w:rPr>
        <w:t xml:space="preserve"> appels en itinérance au détail réglementés. Toutefois, étant donné que cela n'est pas encore le cas, dans les situations prévues dans le présent règlement où les fournisseurs de services d'itinérance sont autorisés à facturer des frais supplémentaires pour les services d'itinérance au détail réglementés, les frais supplémentaires facturés pour les appels en itinérance </w:t>
      </w:r>
      <w:r w:rsidR="00C63CFA" w:rsidRPr="00F407AF">
        <w:rPr>
          <w:lang w:val="fr-BE"/>
        </w:rPr>
        <w:t xml:space="preserve">réglementés </w:t>
      </w:r>
      <w:r w:rsidR="006833D0" w:rsidRPr="00F407AF">
        <w:rPr>
          <w:lang w:val="fr-BE"/>
        </w:rPr>
        <w:t>reçus</w:t>
      </w:r>
      <w:r w:rsidRPr="00F407AF">
        <w:rPr>
          <w:lang w:val="fr-BE"/>
        </w:rPr>
        <w:t xml:space="preserve"> ne devraient pas dépasser la moyenne </w:t>
      </w:r>
      <w:r w:rsidR="006833D0" w:rsidRPr="00F407AF">
        <w:rPr>
          <w:lang w:val="fr-BE"/>
        </w:rPr>
        <w:t xml:space="preserve">pondérée </w:t>
      </w:r>
      <w:r w:rsidRPr="00F407AF">
        <w:rPr>
          <w:lang w:val="fr-BE"/>
        </w:rPr>
        <w:t>des tarifs maximaux de gros de terminaison d'appel mobile dans l'ensemble de l'Union. Ce régime est considéré comme transitoire jusqu'à ce que la Commission aborde cette question en suspens.</w:t>
      </w:r>
    </w:p>
    <w:p w:rsidR="00EE7F32" w:rsidRPr="00F407AF" w:rsidRDefault="00EE7F32" w:rsidP="00F407AF">
      <w:pPr>
        <w:pStyle w:val="ManualConsidrant"/>
        <w:rPr>
          <w:lang w:val="fr-BE"/>
        </w:rPr>
      </w:pPr>
      <w:r w:rsidRPr="00F407AF">
        <w:rPr>
          <w:lang w:val="fr-BE"/>
        </w:rPr>
        <w:t>(2</w:t>
      </w:r>
      <w:r w:rsidR="000E3634" w:rsidRPr="00F407AF">
        <w:rPr>
          <w:lang w:val="fr-BE"/>
        </w:rPr>
        <w:t>9</w:t>
      </w:r>
      <w:r w:rsidRPr="00F407AF">
        <w:rPr>
          <w:lang w:val="fr-BE"/>
        </w:rPr>
        <w:t>)</w:t>
      </w:r>
      <w:r w:rsidRPr="00F407AF">
        <w:rPr>
          <w:lang w:val="fr-BE"/>
        </w:rPr>
        <w:tab/>
        <w:t>Il y a donc lieu de modifier le règlement (UE) n° 531/2012 en conséquence.</w:t>
      </w:r>
    </w:p>
    <w:p w:rsidR="00EE7F32" w:rsidRPr="00F407AF" w:rsidRDefault="00EE7F32" w:rsidP="00F407AF">
      <w:pPr>
        <w:pStyle w:val="ManualConsidrant"/>
        <w:rPr>
          <w:lang w:val="fr-BE"/>
        </w:rPr>
      </w:pPr>
      <w:r w:rsidRPr="00F407AF">
        <w:rPr>
          <w:lang w:val="fr-BE"/>
        </w:rPr>
        <w:t>(</w:t>
      </w:r>
      <w:r w:rsidR="000E3634" w:rsidRPr="00F407AF">
        <w:rPr>
          <w:lang w:val="fr-BE"/>
        </w:rPr>
        <w:t>30</w:t>
      </w:r>
      <w:r w:rsidRPr="00F407AF">
        <w:rPr>
          <w:lang w:val="fr-BE"/>
        </w:rPr>
        <w:t>)</w:t>
      </w:r>
      <w:r w:rsidRPr="00F407AF">
        <w:rPr>
          <w:lang w:val="fr-BE"/>
        </w:rPr>
        <w:tab/>
        <w:t xml:space="preserve">Le présent règlement devrait constituer une mesure </w:t>
      </w:r>
      <w:r w:rsidR="00F407AF">
        <w:rPr>
          <w:lang w:val="fr-BE"/>
        </w:rPr>
        <w:t xml:space="preserve">spécifique au sens de l'article </w:t>
      </w:r>
      <w:r w:rsidRPr="00F407AF">
        <w:rPr>
          <w:lang w:val="fr-BE"/>
        </w:rPr>
        <w:t>1</w:t>
      </w:r>
      <w:r w:rsidRPr="00F407AF">
        <w:rPr>
          <w:vertAlign w:val="superscript"/>
          <w:lang w:val="fr-BE"/>
        </w:rPr>
        <w:t>er</w:t>
      </w:r>
      <w:r w:rsidRPr="00F407AF">
        <w:rPr>
          <w:lang w:val="fr-BE"/>
        </w:rPr>
        <w:t xml:space="preserve">, paragraphe 5, de la directive 2002/21/CE. Par conséquent, lorsque des fournisseurs de services d'itinérance </w:t>
      </w:r>
      <w:r w:rsidR="00672D70" w:rsidRPr="00F407AF">
        <w:rPr>
          <w:lang w:val="fr-BE"/>
        </w:rPr>
        <w:t>réglementés à l</w:t>
      </w:r>
      <w:r w:rsidR="00F407AF" w:rsidRPr="00F407AF">
        <w:rPr>
          <w:lang w:val="fr-BE"/>
        </w:rPr>
        <w:t>'</w:t>
      </w:r>
      <w:r w:rsidR="00672D70" w:rsidRPr="00F407AF">
        <w:rPr>
          <w:lang w:val="fr-BE"/>
        </w:rPr>
        <w:t>échelle</w:t>
      </w:r>
      <w:r w:rsidR="007D7B08" w:rsidRPr="00F407AF">
        <w:rPr>
          <w:lang w:val="fr-BE"/>
        </w:rPr>
        <w:t xml:space="preserve"> de</w:t>
      </w:r>
      <w:r w:rsidRPr="00F407AF">
        <w:rPr>
          <w:lang w:val="fr-BE"/>
        </w:rPr>
        <w:t xml:space="preserve"> l'Union modifient leurs prix d'itinérance au détail ainsi que les </w:t>
      </w:r>
      <w:r w:rsidR="00C63CFA" w:rsidRPr="00F407AF">
        <w:rPr>
          <w:lang w:val="fr-BE"/>
        </w:rPr>
        <w:t xml:space="preserve">politiques </w:t>
      </w:r>
      <w:r w:rsidRPr="00F407AF">
        <w:rPr>
          <w:lang w:val="fr-BE"/>
        </w:rPr>
        <w:t xml:space="preserve">d'accompagnement relatives à l'utilisation de l'itinérance afin de respecter les exigences du présent règlement, ces modifications ne devraient pas faire naître, pour les clients en itinérance, dans le cadre des législations nationales transposant le cadre réglementaire en vigueur pour les </w:t>
      </w:r>
      <w:r w:rsidR="006833D0" w:rsidRPr="00F407AF">
        <w:rPr>
          <w:lang w:val="fr-BE"/>
        </w:rPr>
        <w:t xml:space="preserve">réseaux et services de </w:t>
      </w:r>
      <w:r w:rsidRPr="00F407AF">
        <w:rPr>
          <w:lang w:val="fr-BE"/>
        </w:rPr>
        <w:t>communications électroniques, le droit de résilier leur contrat.</w:t>
      </w:r>
    </w:p>
    <w:p w:rsidR="00C63CFA" w:rsidRPr="00F407AF" w:rsidRDefault="00EE7F32" w:rsidP="00F407AF">
      <w:pPr>
        <w:pStyle w:val="ManualConsidrant"/>
        <w:rPr>
          <w:lang w:val="fr-BE"/>
        </w:rPr>
      </w:pPr>
      <w:r w:rsidRPr="00F407AF">
        <w:rPr>
          <w:lang w:val="fr-BE"/>
        </w:rPr>
        <w:br w:type="page"/>
      </w:r>
      <w:r w:rsidRPr="00F407AF">
        <w:rPr>
          <w:lang w:val="fr-BE"/>
        </w:rPr>
        <w:lastRenderedPageBreak/>
        <w:t>(</w:t>
      </w:r>
      <w:r w:rsidR="000E3634" w:rsidRPr="00F407AF">
        <w:rPr>
          <w:lang w:val="fr-BE"/>
        </w:rPr>
        <w:t>31</w:t>
      </w:r>
      <w:r w:rsidRPr="00F407AF">
        <w:rPr>
          <w:lang w:val="fr-BE"/>
        </w:rPr>
        <w:t>)</w:t>
      </w:r>
      <w:r w:rsidRPr="00F407AF">
        <w:rPr>
          <w:lang w:val="fr-BE"/>
        </w:rPr>
        <w:tab/>
        <w:t>Afin de renforcer les droits des clients en itinérance prévus dans le règlement</w:t>
      </w:r>
      <w:r w:rsidR="00F407AF">
        <w:rPr>
          <w:lang w:val="fr-BE"/>
        </w:rPr>
        <w:t xml:space="preserve"> </w:t>
      </w:r>
      <w:r w:rsidRPr="00F407AF">
        <w:rPr>
          <w:lang w:val="fr-BE"/>
        </w:rPr>
        <w:t>(UE) n° 531/2012, le présent règlement devra</w:t>
      </w:r>
      <w:r w:rsidR="00F407AF">
        <w:rPr>
          <w:lang w:val="fr-BE"/>
        </w:rPr>
        <w:t xml:space="preserve">it définir, pour ce qui est des </w:t>
      </w:r>
      <w:r w:rsidRPr="00F407AF">
        <w:rPr>
          <w:lang w:val="fr-BE"/>
        </w:rPr>
        <w:t>services d'iti</w:t>
      </w:r>
      <w:r w:rsidR="00F407AF">
        <w:rPr>
          <w:lang w:val="fr-BE"/>
        </w:rPr>
        <w:t xml:space="preserve">nérance au détail réglementés, </w:t>
      </w:r>
      <w:r w:rsidRPr="00F407AF">
        <w:rPr>
          <w:lang w:val="fr-BE"/>
        </w:rPr>
        <w:t xml:space="preserve">des exigences spécifiques en matière de transparence, alignées sur les conditions spécifiques en matière de tarif et de volume qui </w:t>
      </w:r>
      <w:r w:rsidR="00C63CFA" w:rsidRPr="00F407AF">
        <w:rPr>
          <w:lang w:val="fr-BE"/>
        </w:rPr>
        <w:t>doivent s</w:t>
      </w:r>
      <w:r w:rsidR="00F407AF" w:rsidRPr="00F407AF">
        <w:rPr>
          <w:lang w:val="fr-BE"/>
        </w:rPr>
        <w:t>'</w:t>
      </w:r>
      <w:r w:rsidR="00C63CFA" w:rsidRPr="00F407AF">
        <w:rPr>
          <w:lang w:val="fr-BE"/>
        </w:rPr>
        <w:t xml:space="preserve">appliquer </w:t>
      </w:r>
      <w:r w:rsidRPr="00F407AF">
        <w:rPr>
          <w:lang w:val="fr-BE"/>
        </w:rPr>
        <w:t xml:space="preserve">une fois que les frais d'itinérance </w:t>
      </w:r>
      <w:r w:rsidR="00CD323A" w:rsidRPr="00F407AF">
        <w:rPr>
          <w:lang w:val="fr-BE"/>
        </w:rPr>
        <w:t xml:space="preserve">au détail </w:t>
      </w:r>
      <w:r w:rsidRPr="00F407AF">
        <w:rPr>
          <w:lang w:val="fr-BE"/>
        </w:rPr>
        <w:t xml:space="preserve">supplémentaires sont supprimés. En particulier, il convient de prévoir la notification, en temps utile et sans frais, aux clients en itinérance d'informations sur la politique d'utilisation raisonnable, </w:t>
      </w:r>
      <w:r w:rsidR="0043398F" w:rsidRPr="00F407AF">
        <w:rPr>
          <w:lang w:val="fr-BE"/>
        </w:rPr>
        <w:t xml:space="preserve">lorsque </w:t>
      </w:r>
      <w:r w:rsidRPr="00F407AF">
        <w:rPr>
          <w:lang w:val="fr-BE"/>
        </w:rPr>
        <w:t xml:space="preserve">le volume de services </w:t>
      </w:r>
      <w:r w:rsidR="00C63CFA" w:rsidRPr="00F407AF">
        <w:rPr>
          <w:lang w:val="fr-BE"/>
        </w:rPr>
        <w:t>d</w:t>
      </w:r>
      <w:r w:rsidR="00F407AF" w:rsidRPr="00F407AF">
        <w:rPr>
          <w:lang w:val="fr-BE"/>
        </w:rPr>
        <w:t>'</w:t>
      </w:r>
      <w:r w:rsidRPr="00F407AF">
        <w:rPr>
          <w:lang w:val="fr-BE"/>
        </w:rPr>
        <w:t xml:space="preserve">appels vocaux, </w:t>
      </w:r>
      <w:r w:rsidR="00C63CFA" w:rsidRPr="00F407AF">
        <w:rPr>
          <w:lang w:val="fr-BE"/>
        </w:rPr>
        <w:t xml:space="preserve">de </w:t>
      </w:r>
      <w:r w:rsidRPr="00F407AF">
        <w:rPr>
          <w:lang w:val="fr-BE"/>
        </w:rPr>
        <w:t xml:space="preserve">SMS ou </w:t>
      </w:r>
      <w:r w:rsidR="00C63CFA" w:rsidRPr="00F407AF">
        <w:rPr>
          <w:lang w:val="fr-BE"/>
        </w:rPr>
        <w:t xml:space="preserve">de </w:t>
      </w:r>
      <w:r w:rsidRPr="00F407AF">
        <w:rPr>
          <w:lang w:val="fr-BE"/>
        </w:rPr>
        <w:t>données</w:t>
      </w:r>
      <w:r w:rsidR="00C63CFA" w:rsidRPr="00F407AF">
        <w:rPr>
          <w:lang w:val="fr-BE"/>
        </w:rPr>
        <w:t xml:space="preserve"> en itinérance réglementés</w:t>
      </w:r>
      <w:r w:rsidRPr="00F407AF">
        <w:rPr>
          <w:lang w:val="fr-BE"/>
        </w:rPr>
        <w:t xml:space="preserve"> correspondant à une utilisation raisonnable a été </w:t>
      </w:r>
      <w:r w:rsidR="00080565" w:rsidRPr="00F407AF">
        <w:rPr>
          <w:lang w:val="fr-BE"/>
        </w:rPr>
        <w:t xml:space="preserve">totalement </w:t>
      </w:r>
      <w:r w:rsidRPr="00F407AF">
        <w:rPr>
          <w:lang w:val="fr-BE"/>
        </w:rPr>
        <w:t xml:space="preserve">consommé, </w:t>
      </w:r>
      <w:r w:rsidR="00C63CFA" w:rsidRPr="00F407AF">
        <w:rPr>
          <w:lang w:val="fr-BE"/>
        </w:rPr>
        <w:t>sur</w:t>
      </w:r>
      <w:r w:rsidRPr="00F407AF">
        <w:rPr>
          <w:lang w:val="fr-BE"/>
        </w:rPr>
        <w:t xml:space="preserve"> les </w:t>
      </w:r>
      <w:r w:rsidR="007C0117" w:rsidRPr="00F407AF">
        <w:rPr>
          <w:lang w:val="fr-BE"/>
        </w:rPr>
        <w:t xml:space="preserve">frais </w:t>
      </w:r>
      <w:r w:rsidRPr="00F407AF">
        <w:rPr>
          <w:lang w:val="fr-BE"/>
        </w:rPr>
        <w:t>supplément</w:t>
      </w:r>
      <w:r w:rsidR="007C0117" w:rsidRPr="00F407AF">
        <w:rPr>
          <w:lang w:val="fr-BE"/>
        </w:rPr>
        <w:t>aire</w:t>
      </w:r>
      <w:r w:rsidRPr="00F407AF">
        <w:rPr>
          <w:lang w:val="fr-BE"/>
        </w:rPr>
        <w:t>s appliqués, et sur la consommation cumulée de services de données en itinérance réglementés.</w:t>
      </w:r>
    </w:p>
    <w:p w:rsidR="00EE7F32" w:rsidRPr="00F407AF" w:rsidRDefault="00EE7F32" w:rsidP="00F407AF">
      <w:pPr>
        <w:pStyle w:val="ManualConsidrant"/>
        <w:rPr>
          <w:lang w:val="fr-BE"/>
        </w:rPr>
      </w:pPr>
      <w:r w:rsidRPr="00F407AF">
        <w:rPr>
          <w:lang w:val="fr-BE"/>
        </w:rPr>
        <w:t>(</w:t>
      </w:r>
      <w:r w:rsidR="000E3634" w:rsidRPr="00F407AF">
        <w:rPr>
          <w:lang w:val="fr-BE"/>
        </w:rPr>
        <w:t>32</w:t>
      </w:r>
      <w:r w:rsidRPr="00F407AF">
        <w:rPr>
          <w:lang w:val="fr-BE"/>
        </w:rPr>
        <w:t>)</w:t>
      </w:r>
      <w:r w:rsidRPr="00F407AF">
        <w:rPr>
          <w:lang w:val="fr-BE"/>
        </w:rPr>
        <w:tab/>
        <w:t xml:space="preserve">Afin d'assurer des conditions uniformes d'exécution des dispositions du présent règlement, il convient de conférer des compétences d'exécution à la Commission en ce qui concerne la détermination de la moyenne pondérée des tarifs maximaux de terminaison d'appel mobile ainsi que des modalités particulières relatives à l'application de la politique d'utilisation raisonnable, à la méthode utilisée pour évaluer la viabilité de la suppression des frais d'itinérance </w:t>
      </w:r>
      <w:r w:rsidR="00CD323A" w:rsidRPr="00F407AF">
        <w:rPr>
          <w:lang w:val="fr-BE"/>
        </w:rPr>
        <w:t xml:space="preserve">au détail </w:t>
      </w:r>
      <w:r w:rsidRPr="00F407AF">
        <w:rPr>
          <w:lang w:val="fr-BE"/>
        </w:rPr>
        <w:t xml:space="preserve">supplémentaires et </w:t>
      </w:r>
      <w:r w:rsidR="000926F2" w:rsidRPr="00F407AF">
        <w:rPr>
          <w:lang w:val="fr-BE"/>
        </w:rPr>
        <w:t>aux informations</w:t>
      </w:r>
      <w:r w:rsidRPr="00F407AF">
        <w:rPr>
          <w:lang w:val="fr-BE"/>
        </w:rPr>
        <w:t xml:space="preserve"> que le fournisseur de services d'itinérance doit transmett</w:t>
      </w:r>
      <w:r w:rsidR="00F407AF">
        <w:rPr>
          <w:lang w:val="fr-BE"/>
        </w:rPr>
        <w:t>re aux fins de cette évaluation</w:t>
      </w:r>
      <w:r w:rsidRPr="00F407AF">
        <w:rPr>
          <w:lang w:val="fr-BE"/>
        </w:rPr>
        <w:t>. Ces compétences devraient être exercées en conformité avec le règlement (UE) n° 182/2011 du Parlement européen et du Conseil</w:t>
      </w:r>
      <w:r w:rsidR="009E3C1D" w:rsidRPr="00F407AF">
        <w:rPr>
          <w:rStyle w:val="FootnoteReference"/>
          <w:bCs/>
          <w:lang w:val="fr-BE"/>
        </w:rPr>
        <w:footnoteReference w:id="8"/>
      </w:r>
      <w:r w:rsidR="00DD535B" w:rsidRPr="00F407AF">
        <w:rPr>
          <w:lang w:val="fr-BE"/>
        </w:rPr>
        <w:t>.</w:t>
      </w:r>
    </w:p>
    <w:p w:rsidR="00EE7F32" w:rsidRPr="00F407AF" w:rsidRDefault="00F407AF" w:rsidP="00F407AF">
      <w:pPr>
        <w:pStyle w:val="ManualConsidrant"/>
        <w:rPr>
          <w:lang w:val="fr-BE"/>
        </w:rPr>
      </w:pPr>
      <w:r>
        <w:rPr>
          <w:lang w:val="fr-BE"/>
        </w:rPr>
        <w:br w:type="page"/>
      </w:r>
      <w:r w:rsidR="00EE7F32" w:rsidRPr="00F407AF">
        <w:rPr>
          <w:lang w:val="fr-BE"/>
        </w:rPr>
        <w:lastRenderedPageBreak/>
        <w:t>(</w:t>
      </w:r>
      <w:r w:rsidR="000E3634" w:rsidRPr="00F407AF">
        <w:rPr>
          <w:lang w:val="fr-BE"/>
        </w:rPr>
        <w:t>33</w:t>
      </w:r>
      <w:r w:rsidR="00EE7F32" w:rsidRPr="00F407AF">
        <w:rPr>
          <w:lang w:val="fr-BE"/>
        </w:rPr>
        <w:t>)</w:t>
      </w:r>
      <w:r w:rsidR="00EE7F32" w:rsidRPr="00F407AF">
        <w:rPr>
          <w:lang w:val="fr-BE"/>
        </w:rPr>
        <w:tab/>
        <w:t xml:space="preserve">Le présent règlement respecte les droits fondamentaux et est conforme aux principes consacrés en particulier par la </w:t>
      </w:r>
      <w:r w:rsidR="00D93674" w:rsidRPr="00F407AF">
        <w:rPr>
          <w:lang w:val="fr-BE"/>
        </w:rPr>
        <w:t>C</w:t>
      </w:r>
      <w:r w:rsidR="00EE7F32" w:rsidRPr="00F407AF">
        <w:rPr>
          <w:lang w:val="fr-BE"/>
        </w:rPr>
        <w:t>harte, notamment la protection des données à caractère personnel, la liberté d'expression et d'information, la liberté d'entreprise, la non-discrimination et la protection des consommateurs.</w:t>
      </w:r>
    </w:p>
    <w:p w:rsidR="00EE7F32" w:rsidRPr="00F407AF" w:rsidRDefault="00EE7F32" w:rsidP="00F407AF">
      <w:pPr>
        <w:pStyle w:val="ManualConsidrant"/>
        <w:rPr>
          <w:lang w:val="fr-BE"/>
        </w:rPr>
      </w:pPr>
      <w:r w:rsidRPr="00F407AF">
        <w:rPr>
          <w:lang w:val="fr-BE"/>
        </w:rPr>
        <w:t>(</w:t>
      </w:r>
      <w:r w:rsidR="000E3634" w:rsidRPr="00F407AF">
        <w:rPr>
          <w:lang w:val="fr-BE"/>
        </w:rPr>
        <w:t>34</w:t>
      </w:r>
      <w:r w:rsidRPr="00F407AF">
        <w:rPr>
          <w:lang w:val="fr-BE"/>
        </w:rPr>
        <w:t>)</w:t>
      </w:r>
      <w:r w:rsidRPr="00F407AF">
        <w:rPr>
          <w:lang w:val="fr-BE"/>
        </w:rPr>
        <w:tab/>
        <w:t xml:space="preserve">Étant donné que l'objectif du présent règlement, qui est d'établir les règles communes nécessaires pour garantir </w:t>
      </w:r>
      <w:r w:rsidR="00CD323A" w:rsidRPr="00F407AF">
        <w:rPr>
          <w:lang w:val="fr-BE"/>
        </w:rPr>
        <w:t xml:space="preserve">un accès à </w:t>
      </w:r>
      <w:r w:rsidR="00886000" w:rsidRPr="00F407AF">
        <w:rPr>
          <w:lang w:val="fr-BE"/>
        </w:rPr>
        <w:t xml:space="preserve">un </w:t>
      </w:r>
      <w:r w:rsidRPr="00F407AF">
        <w:rPr>
          <w:lang w:val="fr-BE"/>
        </w:rPr>
        <w:t>internet</w:t>
      </w:r>
      <w:r w:rsidR="00886000" w:rsidRPr="00F407AF">
        <w:rPr>
          <w:lang w:val="fr-BE"/>
        </w:rPr>
        <w:t xml:space="preserve"> ouvert</w:t>
      </w:r>
      <w:r w:rsidRPr="00F407AF">
        <w:rPr>
          <w:lang w:val="fr-BE"/>
        </w:rPr>
        <w:t xml:space="preserve"> et </w:t>
      </w:r>
      <w:r w:rsidR="00D12C83" w:rsidRPr="00F407AF">
        <w:rPr>
          <w:lang w:val="fr-BE"/>
        </w:rPr>
        <w:t xml:space="preserve">de </w:t>
      </w:r>
      <w:r w:rsidRPr="00F407AF">
        <w:rPr>
          <w:lang w:val="fr-BE"/>
        </w:rPr>
        <w:t xml:space="preserve">supprimer les frais d'itinérance </w:t>
      </w:r>
      <w:r w:rsidR="00CD323A" w:rsidRPr="00F407AF">
        <w:rPr>
          <w:lang w:val="fr-BE"/>
        </w:rPr>
        <w:t>au</w:t>
      </w:r>
      <w:r w:rsidRPr="00F407AF">
        <w:rPr>
          <w:lang w:val="fr-BE"/>
        </w:rPr>
        <w:t xml:space="preserve"> détail</w:t>
      </w:r>
      <w:r w:rsidR="00CD323A" w:rsidRPr="00F407AF">
        <w:rPr>
          <w:lang w:val="fr-BE"/>
        </w:rPr>
        <w:t xml:space="preserve"> supplémentaires</w:t>
      </w:r>
      <w:r w:rsidRPr="00F407AF">
        <w:rPr>
          <w:lang w:val="fr-BE"/>
        </w:rPr>
        <w:t xml:space="preserve">, ne peut </w:t>
      </w:r>
      <w:r w:rsidR="00646E8B" w:rsidRPr="00F407AF">
        <w:rPr>
          <w:lang w:val="fr-BE"/>
        </w:rPr>
        <w:t xml:space="preserve">pas </w:t>
      </w:r>
      <w:r w:rsidRPr="00F407AF">
        <w:rPr>
          <w:lang w:val="fr-BE"/>
        </w:rPr>
        <w:t xml:space="preserve">être atteint de manière suffisante par les États membres </w:t>
      </w:r>
      <w:r w:rsidR="00A64388" w:rsidRPr="00F407AF">
        <w:rPr>
          <w:lang w:val="fr-BE"/>
        </w:rPr>
        <w:t>mais</w:t>
      </w:r>
      <w:r w:rsidRPr="00F407AF">
        <w:rPr>
          <w:lang w:val="fr-BE"/>
        </w:rPr>
        <w:t xml:space="preserve"> peut, en raison de sa dimension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r w:rsidR="00D93674" w:rsidRPr="00F407AF">
        <w:rPr>
          <w:lang w:val="fr-BE"/>
        </w:rPr>
        <w:t>.</w:t>
      </w:r>
    </w:p>
    <w:p w:rsidR="00E0708C" w:rsidRPr="00F407AF" w:rsidRDefault="00E0708C" w:rsidP="00F407AF">
      <w:pPr>
        <w:pStyle w:val="ManualConsidrant"/>
        <w:rPr>
          <w:lang w:val="fr-BE"/>
        </w:rPr>
      </w:pPr>
      <w:r w:rsidRPr="00F407AF">
        <w:rPr>
          <w:lang w:val="fr-BE"/>
        </w:rPr>
        <w:t>(</w:t>
      </w:r>
      <w:r w:rsidR="000E3634" w:rsidRPr="00F407AF">
        <w:rPr>
          <w:lang w:val="fr-BE"/>
        </w:rPr>
        <w:t>35</w:t>
      </w:r>
      <w:r w:rsidRPr="00F407AF">
        <w:rPr>
          <w:lang w:val="fr-BE"/>
        </w:rPr>
        <w:t>)</w:t>
      </w:r>
      <w:r w:rsidRPr="00F407AF">
        <w:rPr>
          <w:lang w:val="fr-BE"/>
        </w:rPr>
        <w:tab/>
      </w:r>
      <w:r w:rsidR="007024DF" w:rsidRPr="00F407AF">
        <w:rPr>
          <w:lang w:val="fr-BE"/>
        </w:rPr>
        <w:t xml:space="preserve">Le </w:t>
      </w:r>
      <w:r w:rsidR="00D93674" w:rsidRPr="00F407AF">
        <w:rPr>
          <w:lang w:val="fr-BE"/>
        </w:rPr>
        <w:t>C</w:t>
      </w:r>
      <w:r w:rsidR="007024DF" w:rsidRPr="00F407AF">
        <w:rPr>
          <w:lang w:val="fr-BE"/>
        </w:rPr>
        <w:t>ontrôleur européen de la protection des données a été consulté conformément à l'article 28, paragraphe 2</w:t>
      </w:r>
      <w:r w:rsidR="001148B9" w:rsidRPr="00F407AF">
        <w:rPr>
          <w:lang w:val="fr-BE"/>
        </w:rPr>
        <w:t>,</w:t>
      </w:r>
      <w:r w:rsidR="007024DF" w:rsidRPr="00F407AF">
        <w:rPr>
          <w:lang w:val="fr-BE"/>
        </w:rPr>
        <w:t xml:space="preserve"> du règlement (CE) n° 45/2001 du Parlement </w:t>
      </w:r>
      <w:r w:rsidR="00D93674" w:rsidRPr="00F407AF">
        <w:rPr>
          <w:lang w:val="fr-BE"/>
        </w:rPr>
        <w:t>e</w:t>
      </w:r>
      <w:r w:rsidR="007024DF" w:rsidRPr="00F407AF">
        <w:rPr>
          <w:lang w:val="fr-BE"/>
        </w:rPr>
        <w:t>uropéen et du Conseil</w:t>
      </w:r>
      <w:r w:rsidR="007024DF" w:rsidRPr="00F407AF">
        <w:rPr>
          <w:rStyle w:val="FootnoteReference"/>
          <w:bCs/>
          <w:lang w:val="fr-BE"/>
        </w:rPr>
        <w:footnoteReference w:id="9"/>
      </w:r>
      <w:r w:rsidR="007024DF" w:rsidRPr="00F407AF">
        <w:rPr>
          <w:lang w:val="fr-BE"/>
        </w:rPr>
        <w:t xml:space="preserve"> </w:t>
      </w:r>
      <w:r w:rsidR="00916581" w:rsidRPr="00F407AF">
        <w:rPr>
          <w:lang w:val="fr-BE"/>
        </w:rPr>
        <w:t>et a rendu un avis le 24 novembre 2013,</w:t>
      </w:r>
    </w:p>
    <w:p w:rsidR="00EE7F32" w:rsidRPr="00CF3546" w:rsidRDefault="00EE7F32" w:rsidP="00BB7AB7">
      <w:pPr>
        <w:pStyle w:val="Formuledadoption"/>
        <w:rPr>
          <w:lang w:val="fr-BE"/>
        </w:rPr>
      </w:pPr>
      <w:r w:rsidRPr="00CF3546">
        <w:rPr>
          <w:lang w:val="fr-BE"/>
        </w:rPr>
        <w:t>ONT ADOPTÉ LE PRÉSENT RÈGLEMENT:</w:t>
      </w:r>
    </w:p>
    <w:p w:rsidR="00EE7F32" w:rsidRPr="00543B6E" w:rsidRDefault="00EE7F32" w:rsidP="00F407AF">
      <w:pPr>
        <w:pStyle w:val="Titrearticle"/>
        <w:rPr>
          <w:lang w:val="fr-BE"/>
        </w:rPr>
      </w:pPr>
      <w:r w:rsidRPr="00543B6E">
        <w:rPr>
          <w:lang w:val="fr-BE"/>
        </w:rPr>
        <w:br w:type="page"/>
      </w:r>
      <w:r w:rsidR="00F407AF" w:rsidRPr="00481C3F">
        <w:rPr>
          <w:lang w:val="fr-BE"/>
        </w:rPr>
        <w:lastRenderedPageBreak/>
        <w:t>Article premier</w:t>
      </w:r>
      <w:r w:rsidR="00F407AF" w:rsidRPr="00481C3F">
        <w:rPr>
          <w:lang w:val="fr-BE"/>
        </w:rPr>
        <w:br/>
      </w:r>
      <w:r w:rsidRPr="00481C3F">
        <w:rPr>
          <w:lang w:val="fr-BE"/>
        </w:rPr>
        <w:t>Obje</w:t>
      </w:r>
      <w:r w:rsidR="00D93674" w:rsidRPr="00481C3F">
        <w:rPr>
          <w:lang w:val="fr-BE"/>
        </w:rPr>
        <w:t>t</w:t>
      </w:r>
      <w:r w:rsidRPr="00481C3F">
        <w:rPr>
          <w:lang w:val="fr-BE"/>
        </w:rPr>
        <w:t xml:space="preserve"> et champ d'application</w:t>
      </w:r>
    </w:p>
    <w:p w:rsidR="00EE7F32" w:rsidRPr="00F407AF" w:rsidRDefault="00EE7F32" w:rsidP="00F407AF">
      <w:pPr>
        <w:pStyle w:val="ManualNumPar1"/>
        <w:rPr>
          <w:lang w:val="fr-BE"/>
        </w:rPr>
      </w:pPr>
      <w:r w:rsidRPr="00F407AF">
        <w:rPr>
          <w:lang w:val="fr-BE"/>
        </w:rPr>
        <w:t>1.</w:t>
      </w:r>
      <w:r w:rsidRPr="00F407AF">
        <w:rPr>
          <w:lang w:val="fr-BE"/>
        </w:rPr>
        <w:tab/>
        <w:t xml:space="preserve">Le présent règlement établit des règles communes destinées à garantir le traitement </w:t>
      </w:r>
      <w:r w:rsidR="00685731" w:rsidRPr="00F407AF">
        <w:rPr>
          <w:lang w:val="fr-BE"/>
        </w:rPr>
        <w:t xml:space="preserve">égal </w:t>
      </w:r>
      <w:r w:rsidRPr="00F407AF">
        <w:rPr>
          <w:lang w:val="fr-BE"/>
        </w:rPr>
        <w:t>et non discriminatoire du trafic dans le cadre de la fourniture de services d'accès à l'internet et les droits connexes des utilisateurs finals.</w:t>
      </w:r>
    </w:p>
    <w:p w:rsidR="00EE7F32" w:rsidRPr="00F407AF" w:rsidRDefault="00EE7F32" w:rsidP="00F407AF">
      <w:pPr>
        <w:pStyle w:val="ManualNumPar1"/>
        <w:rPr>
          <w:lang w:val="fr-BE"/>
        </w:rPr>
      </w:pPr>
      <w:r w:rsidRPr="00F407AF">
        <w:rPr>
          <w:lang w:val="fr-BE"/>
        </w:rPr>
        <w:t>2.</w:t>
      </w:r>
      <w:r w:rsidRPr="00F407AF">
        <w:rPr>
          <w:lang w:val="fr-BE"/>
        </w:rPr>
        <w:tab/>
        <w:t xml:space="preserve">Le présent règlement instaure un nouveau mécanisme de fixation des prix de détail pour les services d'itinérance réglementés dans l'ensemble de l'Union, en vue de supprimer les frais d'itinérance </w:t>
      </w:r>
      <w:r w:rsidR="00CD323A" w:rsidRPr="00F407AF">
        <w:rPr>
          <w:lang w:val="fr-BE"/>
        </w:rPr>
        <w:t>au</w:t>
      </w:r>
      <w:r w:rsidRPr="00F407AF">
        <w:rPr>
          <w:lang w:val="fr-BE"/>
        </w:rPr>
        <w:t xml:space="preserve"> détail supplémentaires sans provoquer de distorsion sur le marché </w:t>
      </w:r>
      <w:r w:rsidR="00695739" w:rsidRPr="00F407AF">
        <w:rPr>
          <w:lang w:val="fr-BE"/>
        </w:rPr>
        <w:t xml:space="preserve">national </w:t>
      </w:r>
      <w:r w:rsidR="00685731" w:rsidRPr="00F407AF">
        <w:rPr>
          <w:lang w:val="fr-BE"/>
        </w:rPr>
        <w:t>ou</w:t>
      </w:r>
      <w:r w:rsidRPr="00F407AF">
        <w:rPr>
          <w:lang w:val="fr-BE"/>
        </w:rPr>
        <w:t xml:space="preserve"> sur le marché visité.</w:t>
      </w:r>
    </w:p>
    <w:p w:rsidR="00EE7F32" w:rsidRPr="00543B6E" w:rsidRDefault="00F407AF" w:rsidP="00BB7AB7">
      <w:pPr>
        <w:pStyle w:val="Titrearticle"/>
        <w:rPr>
          <w:lang w:val="fr-BE"/>
        </w:rPr>
      </w:pPr>
      <w:r>
        <w:rPr>
          <w:lang w:val="fr-BE"/>
        </w:rPr>
        <w:t>Article 2</w:t>
      </w:r>
      <w:r>
        <w:rPr>
          <w:lang w:val="fr-BE"/>
        </w:rPr>
        <w:br/>
      </w:r>
      <w:r w:rsidR="00EE7F32" w:rsidRPr="00543B6E">
        <w:rPr>
          <w:lang w:val="fr-BE"/>
        </w:rPr>
        <w:t>Définitions</w:t>
      </w:r>
    </w:p>
    <w:p w:rsidR="00EE7F32" w:rsidRPr="00F407AF" w:rsidRDefault="00695739" w:rsidP="00695739">
      <w:pPr>
        <w:rPr>
          <w:lang w:val="fr-BE"/>
        </w:rPr>
      </w:pPr>
      <w:r w:rsidRPr="00F407AF">
        <w:rPr>
          <w:lang w:val="fr-BE"/>
        </w:rPr>
        <w:t>Aux fins du présent règlement, l</w:t>
      </w:r>
      <w:r w:rsidR="00EE7F32" w:rsidRPr="00F407AF">
        <w:rPr>
          <w:lang w:val="fr-BE"/>
        </w:rPr>
        <w:t xml:space="preserve">es définitions figurant </w:t>
      </w:r>
      <w:r w:rsidRPr="00F407AF">
        <w:rPr>
          <w:lang w:val="fr-BE"/>
        </w:rPr>
        <w:t xml:space="preserve">à </w:t>
      </w:r>
      <w:r w:rsidR="00A76D62" w:rsidRPr="00F407AF">
        <w:rPr>
          <w:lang w:val="fr-BE"/>
        </w:rPr>
        <w:t>l'artic</w:t>
      </w:r>
      <w:r w:rsidR="00685731" w:rsidRPr="00F407AF">
        <w:rPr>
          <w:lang w:val="fr-BE"/>
        </w:rPr>
        <w:t>l</w:t>
      </w:r>
      <w:r w:rsidR="00A76D62" w:rsidRPr="00F407AF">
        <w:rPr>
          <w:lang w:val="fr-BE"/>
        </w:rPr>
        <w:t xml:space="preserve">e 2 de </w:t>
      </w:r>
      <w:r w:rsidR="00EE7F32" w:rsidRPr="00F407AF">
        <w:rPr>
          <w:lang w:val="fr-BE"/>
        </w:rPr>
        <w:t>la directive 2002/21/CE s'appliquent.</w:t>
      </w:r>
    </w:p>
    <w:p w:rsidR="00EE7F32" w:rsidRPr="00F407AF" w:rsidRDefault="00EE7F32" w:rsidP="00BB7AB7">
      <w:pPr>
        <w:rPr>
          <w:lang w:val="fr-BE"/>
        </w:rPr>
      </w:pPr>
      <w:r w:rsidRPr="00F407AF">
        <w:rPr>
          <w:lang w:val="fr-BE"/>
        </w:rPr>
        <w:t>En outre, on entend par:</w:t>
      </w:r>
    </w:p>
    <w:p w:rsidR="00EE7F32" w:rsidRPr="00F407AF" w:rsidRDefault="00EE7F32" w:rsidP="00F407AF">
      <w:pPr>
        <w:pStyle w:val="Point0"/>
        <w:rPr>
          <w:lang w:val="fr-BE"/>
        </w:rPr>
      </w:pPr>
      <w:r w:rsidRPr="00F407AF">
        <w:rPr>
          <w:lang w:val="fr-BE"/>
        </w:rPr>
        <w:t>1)</w:t>
      </w:r>
      <w:r w:rsidRPr="00F407AF">
        <w:rPr>
          <w:lang w:val="fr-BE"/>
        </w:rPr>
        <w:tab/>
        <w:t>"fournisseur de communications électroniques au public", une entreprise qui fournit des réseaux de communications</w:t>
      </w:r>
      <w:r w:rsidR="00695739" w:rsidRPr="00F407AF">
        <w:rPr>
          <w:lang w:val="fr-BE"/>
        </w:rPr>
        <w:t xml:space="preserve"> publics</w:t>
      </w:r>
      <w:r w:rsidR="00695739" w:rsidRPr="00F407AF" w:rsidDel="00A76D62">
        <w:rPr>
          <w:lang w:val="fr-BE"/>
        </w:rPr>
        <w:t xml:space="preserve"> </w:t>
      </w:r>
      <w:r w:rsidRPr="00F407AF">
        <w:rPr>
          <w:lang w:val="fr-BE"/>
        </w:rPr>
        <w:t>ou des services de communications électroniques accessibles au public;</w:t>
      </w:r>
    </w:p>
    <w:p w:rsidR="00EE7F32" w:rsidRPr="00F407AF" w:rsidRDefault="00EE7F32" w:rsidP="00F407AF">
      <w:pPr>
        <w:pStyle w:val="Point0"/>
        <w:rPr>
          <w:lang w:val="fr-BE"/>
        </w:rPr>
      </w:pPr>
      <w:r w:rsidRPr="00F407AF">
        <w:rPr>
          <w:lang w:val="fr-BE"/>
        </w:rPr>
        <w:t>2)</w:t>
      </w:r>
      <w:r w:rsidRPr="00F407AF">
        <w:rPr>
          <w:lang w:val="fr-BE"/>
        </w:rPr>
        <w:tab/>
        <w:t xml:space="preserve">"service d'accès à l'internet", un service de communications électroniques accessible au public, qui fournit un accès à l'internet et, partant, une connectivité </w:t>
      </w:r>
      <w:r w:rsidR="00612DD0" w:rsidRPr="00F407AF">
        <w:rPr>
          <w:lang w:val="fr-BE"/>
        </w:rPr>
        <w:t>entre la quasi-totalité des</w:t>
      </w:r>
      <w:r w:rsidRPr="00F407AF">
        <w:rPr>
          <w:lang w:val="fr-BE"/>
        </w:rPr>
        <w:t xml:space="preserve"> points terminaux de l'internet, quelle que soit la technologie de réseau ou les équipements terminaux utilisés;</w:t>
      </w:r>
    </w:p>
    <w:p w:rsidR="00EE7F32" w:rsidRPr="00F407AF" w:rsidRDefault="00F407AF" w:rsidP="00886000">
      <w:pPr>
        <w:pStyle w:val="Titrearticle"/>
        <w:rPr>
          <w:lang w:val="fr-BE"/>
        </w:rPr>
      </w:pPr>
      <w:r>
        <w:rPr>
          <w:lang w:val="fr-BE"/>
        </w:rPr>
        <w:br w:type="page"/>
      </w:r>
      <w:r w:rsidRPr="00F407AF">
        <w:rPr>
          <w:lang w:val="fr-BE"/>
        </w:rPr>
        <w:lastRenderedPageBreak/>
        <w:t>Article 3</w:t>
      </w:r>
      <w:r w:rsidRPr="00F407AF">
        <w:rPr>
          <w:lang w:val="fr-BE"/>
        </w:rPr>
        <w:br/>
      </w:r>
      <w:r w:rsidR="00EE7F32" w:rsidRPr="00F407AF">
        <w:rPr>
          <w:lang w:val="fr-BE"/>
        </w:rPr>
        <w:t xml:space="preserve">Garantir l'accès à </w:t>
      </w:r>
      <w:r w:rsidR="00886000" w:rsidRPr="00F407AF">
        <w:rPr>
          <w:lang w:val="fr-BE"/>
        </w:rPr>
        <w:t xml:space="preserve">un </w:t>
      </w:r>
      <w:r w:rsidR="00EE7F32" w:rsidRPr="00F407AF">
        <w:rPr>
          <w:lang w:val="fr-BE"/>
        </w:rPr>
        <w:t>internet</w:t>
      </w:r>
      <w:r w:rsidR="00886000" w:rsidRPr="00F407AF">
        <w:rPr>
          <w:lang w:val="fr-BE"/>
        </w:rPr>
        <w:t xml:space="preserve"> ouvert</w:t>
      </w:r>
    </w:p>
    <w:p w:rsidR="00EE7F32" w:rsidRPr="00F407AF" w:rsidRDefault="00EE7F32" w:rsidP="00F407AF">
      <w:pPr>
        <w:pStyle w:val="ManualNumPar1"/>
        <w:rPr>
          <w:lang w:val="fr-BE"/>
        </w:rPr>
      </w:pPr>
      <w:r w:rsidRPr="00F407AF">
        <w:rPr>
          <w:lang w:val="fr-BE"/>
        </w:rPr>
        <w:t>1.</w:t>
      </w:r>
      <w:r w:rsidRPr="00F407AF">
        <w:rPr>
          <w:lang w:val="fr-BE"/>
        </w:rPr>
        <w:tab/>
        <w:t xml:space="preserve">Les utilisateurs finals ont le droit d'accéder aux informations et aux contenus et de les diffuser, d'utiliser et de fournir </w:t>
      </w:r>
      <w:r w:rsidR="002D7C87" w:rsidRPr="00F407AF">
        <w:rPr>
          <w:lang w:val="fr-BE"/>
        </w:rPr>
        <w:t>d</w:t>
      </w:r>
      <w:r w:rsidRPr="00F407AF">
        <w:rPr>
          <w:lang w:val="fr-BE"/>
        </w:rPr>
        <w:t xml:space="preserve">es applications et </w:t>
      </w:r>
      <w:r w:rsidR="002D7C87" w:rsidRPr="00F407AF">
        <w:rPr>
          <w:lang w:val="fr-BE"/>
        </w:rPr>
        <w:t>d</w:t>
      </w:r>
      <w:r w:rsidRPr="00F407AF">
        <w:rPr>
          <w:lang w:val="fr-BE"/>
        </w:rPr>
        <w:t xml:space="preserve">es services et d'utiliser les équipements terminaux de leur choix, quel que soit le lieu où se trouve l'utilisateur final ou le fournisseur, et quels que soient le lieu, l'origine ou la destination </w:t>
      </w:r>
      <w:r w:rsidR="008C0FBD" w:rsidRPr="00F407AF">
        <w:rPr>
          <w:lang w:val="fr-BE"/>
        </w:rPr>
        <w:t>de l'informatio</w:t>
      </w:r>
      <w:r w:rsidR="00506A07" w:rsidRPr="00F407AF">
        <w:rPr>
          <w:lang w:val="fr-BE"/>
        </w:rPr>
        <w:t>n</w:t>
      </w:r>
      <w:r w:rsidR="008C0FBD" w:rsidRPr="00F407AF">
        <w:rPr>
          <w:lang w:val="fr-BE"/>
        </w:rPr>
        <w:t xml:space="preserve">, du contenu, de l'application ou </w:t>
      </w:r>
      <w:r w:rsidRPr="00F407AF">
        <w:rPr>
          <w:lang w:val="fr-BE"/>
        </w:rPr>
        <w:t>du service, par l'intermédiaire de leur service d'accès à l'internet.</w:t>
      </w:r>
    </w:p>
    <w:p w:rsidR="003D3BE1" w:rsidRPr="00F407AF" w:rsidRDefault="00EE7F32" w:rsidP="00F407AF">
      <w:pPr>
        <w:pStyle w:val="Text1"/>
        <w:rPr>
          <w:lang w:val="fr-BE"/>
        </w:rPr>
      </w:pPr>
      <w:r w:rsidRPr="00F407AF">
        <w:rPr>
          <w:lang w:val="fr-BE"/>
        </w:rPr>
        <w:t xml:space="preserve">Le présent paragraphe s'entend sans préjudice du droit de l'Union </w:t>
      </w:r>
      <w:r w:rsidR="003D3BE1" w:rsidRPr="00F407AF">
        <w:rPr>
          <w:lang w:val="fr-BE"/>
        </w:rPr>
        <w:t>ou</w:t>
      </w:r>
      <w:r w:rsidRPr="00F407AF">
        <w:rPr>
          <w:lang w:val="fr-BE"/>
        </w:rPr>
        <w:t xml:space="preserve"> du droit national </w:t>
      </w:r>
      <w:r w:rsidR="003D6470" w:rsidRPr="00F407AF">
        <w:rPr>
          <w:lang w:val="fr-BE"/>
        </w:rPr>
        <w:t xml:space="preserve">qui est </w:t>
      </w:r>
      <w:r w:rsidRPr="00F407AF">
        <w:rPr>
          <w:lang w:val="fr-BE"/>
        </w:rPr>
        <w:t>conforme au droit de l'Union</w:t>
      </w:r>
      <w:r w:rsidR="003D6470" w:rsidRPr="00F407AF">
        <w:rPr>
          <w:lang w:val="fr-BE"/>
        </w:rPr>
        <w:t xml:space="preserve">, en ce qui </w:t>
      </w:r>
      <w:r w:rsidRPr="00F407AF">
        <w:rPr>
          <w:lang w:val="fr-BE"/>
        </w:rPr>
        <w:t>concern</w:t>
      </w:r>
      <w:r w:rsidR="003D6470" w:rsidRPr="00F407AF">
        <w:rPr>
          <w:lang w:val="fr-BE"/>
        </w:rPr>
        <w:t>e</w:t>
      </w:r>
      <w:r w:rsidRPr="00F407AF">
        <w:rPr>
          <w:lang w:val="fr-BE"/>
        </w:rPr>
        <w:t xml:space="preserve"> la légalité des contenus, des applications et des services.</w:t>
      </w:r>
    </w:p>
    <w:p w:rsidR="00EE7F32" w:rsidRPr="00F407AF" w:rsidRDefault="00EE7F32" w:rsidP="002275EE">
      <w:pPr>
        <w:pStyle w:val="ManualNumPar1"/>
        <w:rPr>
          <w:lang w:val="fr-BE"/>
        </w:rPr>
      </w:pPr>
      <w:r w:rsidRPr="00F407AF">
        <w:rPr>
          <w:lang w:val="fr-BE"/>
        </w:rPr>
        <w:t>2.</w:t>
      </w:r>
      <w:r w:rsidRPr="00F407AF">
        <w:rPr>
          <w:lang w:val="fr-BE"/>
        </w:rPr>
        <w:tab/>
        <w:t xml:space="preserve">Les accords entre les fournisseurs de services d'accès à l'internet et les utilisateurs finals </w:t>
      </w:r>
      <w:r w:rsidR="007554B4" w:rsidRPr="00F407AF">
        <w:rPr>
          <w:lang w:val="fr-BE"/>
        </w:rPr>
        <w:t>sur les</w:t>
      </w:r>
      <w:r w:rsidRPr="00F407AF">
        <w:rPr>
          <w:lang w:val="fr-BE"/>
        </w:rPr>
        <w:t xml:space="preserve"> conditions commerciales et techniques et </w:t>
      </w:r>
      <w:r w:rsidR="007554B4" w:rsidRPr="00F407AF">
        <w:rPr>
          <w:lang w:val="fr-BE"/>
        </w:rPr>
        <w:t>les</w:t>
      </w:r>
      <w:r w:rsidRPr="00F407AF">
        <w:rPr>
          <w:lang w:val="fr-BE"/>
        </w:rPr>
        <w:t xml:space="preserve"> caractéristiques des services d'accès à l'internet, telles que les prix, les volumes de données ou le débit, et </w:t>
      </w:r>
      <w:r w:rsidR="003D3BE1" w:rsidRPr="00F407AF">
        <w:rPr>
          <w:lang w:val="fr-BE"/>
        </w:rPr>
        <w:t>toutes</w:t>
      </w:r>
      <w:r w:rsidRPr="00F407AF">
        <w:rPr>
          <w:lang w:val="fr-BE"/>
        </w:rPr>
        <w:t xml:space="preserve"> pratiques commerciales </w:t>
      </w:r>
      <w:r w:rsidR="002D7C87" w:rsidRPr="00F407AF">
        <w:rPr>
          <w:lang w:val="fr-BE"/>
        </w:rPr>
        <w:t xml:space="preserve">mises en œuvre </w:t>
      </w:r>
      <w:r w:rsidRPr="00F407AF">
        <w:rPr>
          <w:lang w:val="fr-BE"/>
        </w:rPr>
        <w:t>par les fournisseurs de services d'accès à l'internet</w:t>
      </w:r>
      <w:r w:rsidR="003D3BE1" w:rsidRPr="00F407AF">
        <w:rPr>
          <w:lang w:val="fr-BE"/>
        </w:rPr>
        <w:t>,</w:t>
      </w:r>
      <w:r w:rsidRPr="00F407AF">
        <w:rPr>
          <w:lang w:val="fr-BE"/>
        </w:rPr>
        <w:t xml:space="preserve"> ne limitent pas l'exercice par les utilisateurs finals des droits </w:t>
      </w:r>
      <w:r w:rsidR="002B034A" w:rsidRPr="00F407AF">
        <w:rPr>
          <w:lang w:val="fr-BE"/>
        </w:rPr>
        <w:t xml:space="preserve">énoncés </w:t>
      </w:r>
      <w:r w:rsidRPr="00F407AF">
        <w:rPr>
          <w:lang w:val="fr-BE"/>
        </w:rPr>
        <w:t>au paragraphe 1.</w:t>
      </w:r>
    </w:p>
    <w:p w:rsidR="00EE7F32" w:rsidRPr="00F407AF" w:rsidRDefault="00EE7F32" w:rsidP="00F407AF">
      <w:pPr>
        <w:pStyle w:val="ManualNumPar1"/>
        <w:rPr>
          <w:lang w:val="fr-BE"/>
        </w:rPr>
      </w:pPr>
      <w:r w:rsidRPr="00F407AF">
        <w:rPr>
          <w:lang w:val="fr-BE"/>
        </w:rPr>
        <w:t>3.</w:t>
      </w:r>
      <w:r w:rsidRPr="00F407AF">
        <w:rPr>
          <w:lang w:val="fr-BE"/>
        </w:rPr>
        <w:tab/>
        <w:t xml:space="preserve">Dans le cadre de la fourniture de services d'accès à l'internet, les fournisseurs </w:t>
      </w:r>
      <w:r w:rsidR="002D7C87" w:rsidRPr="00F407AF">
        <w:rPr>
          <w:lang w:val="fr-BE"/>
        </w:rPr>
        <w:t xml:space="preserve">de services d'accès à l'internet </w:t>
      </w:r>
      <w:r w:rsidRPr="00F407AF">
        <w:rPr>
          <w:lang w:val="fr-BE"/>
        </w:rPr>
        <w:t xml:space="preserve">traitent </w:t>
      </w:r>
      <w:r w:rsidR="003D3BE1" w:rsidRPr="00F407AF">
        <w:rPr>
          <w:lang w:val="fr-BE"/>
        </w:rPr>
        <w:t xml:space="preserve">tout </w:t>
      </w:r>
      <w:r w:rsidRPr="00F407AF">
        <w:rPr>
          <w:lang w:val="fr-BE"/>
        </w:rPr>
        <w:t xml:space="preserve">le trafic de façon égale et sans discrimination, restriction </w:t>
      </w:r>
      <w:r w:rsidR="003D3BE1" w:rsidRPr="00F407AF">
        <w:rPr>
          <w:lang w:val="fr-BE"/>
        </w:rPr>
        <w:t>ou</w:t>
      </w:r>
      <w:r w:rsidRPr="00F407AF">
        <w:rPr>
          <w:lang w:val="fr-BE"/>
        </w:rPr>
        <w:t xml:space="preserve"> interférence, quels que soient l'expéditeur et le destinataire, les contenus consultés ou diffusés, les applications ou les services utilisés ou fournis </w:t>
      </w:r>
      <w:r w:rsidR="003D3BE1" w:rsidRPr="00F407AF">
        <w:rPr>
          <w:lang w:val="fr-BE"/>
        </w:rPr>
        <w:t>ou</w:t>
      </w:r>
      <w:r w:rsidRPr="00F407AF">
        <w:rPr>
          <w:lang w:val="fr-BE"/>
        </w:rPr>
        <w:t xml:space="preserve"> les équipements terminaux utilisés.</w:t>
      </w:r>
    </w:p>
    <w:p w:rsidR="00EE7F32" w:rsidRPr="00F407AF" w:rsidRDefault="00F407AF" w:rsidP="00F407AF">
      <w:pPr>
        <w:pStyle w:val="Text1"/>
        <w:rPr>
          <w:lang w:val="fr-BE"/>
        </w:rPr>
      </w:pPr>
      <w:r>
        <w:rPr>
          <w:lang w:val="fr-BE"/>
        </w:rPr>
        <w:br w:type="page"/>
      </w:r>
      <w:r w:rsidR="00EE7F32" w:rsidRPr="00F407AF">
        <w:rPr>
          <w:lang w:val="fr-BE"/>
        </w:rPr>
        <w:lastRenderedPageBreak/>
        <w:t xml:space="preserve">Le premier alinéa n'empêche pas les fournisseurs de services d'accès à l'internet </w:t>
      </w:r>
      <w:r w:rsidR="002B034A" w:rsidRPr="00F407AF">
        <w:rPr>
          <w:lang w:val="fr-BE"/>
        </w:rPr>
        <w:t>de mettre e</w:t>
      </w:r>
      <w:r w:rsidR="00E0503A" w:rsidRPr="00F407AF">
        <w:rPr>
          <w:lang w:val="fr-BE"/>
        </w:rPr>
        <w:t>n</w:t>
      </w:r>
      <w:r w:rsidR="002B034A" w:rsidRPr="00F407AF">
        <w:rPr>
          <w:lang w:val="fr-BE"/>
        </w:rPr>
        <w:t xml:space="preserve"> œuvre </w:t>
      </w:r>
      <w:r w:rsidR="00EE7F32" w:rsidRPr="00F407AF">
        <w:rPr>
          <w:lang w:val="fr-BE"/>
        </w:rPr>
        <w:t xml:space="preserve">des mesures </w:t>
      </w:r>
      <w:r w:rsidR="005951FD" w:rsidRPr="00F407AF">
        <w:rPr>
          <w:lang w:val="fr-BE"/>
        </w:rPr>
        <w:t xml:space="preserve">raisonnables </w:t>
      </w:r>
      <w:r w:rsidR="00EE7F32" w:rsidRPr="00F407AF">
        <w:rPr>
          <w:lang w:val="fr-BE"/>
        </w:rPr>
        <w:t>de gestion du trafic. Pour être réputées raisonnables, les mesures sont transparentes, non discriminatoires et proportionnées</w:t>
      </w:r>
      <w:r w:rsidR="00E0503A" w:rsidRPr="00F407AF">
        <w:rPr>
          <w:lang w:val="fr-BE"/>
        </w:rPr>
        <w:t>,</w:t>
      </w:r>
      <w:r w:rsidR="00EE7F32" w:rsidRPr="00F407AF">
        <w:rPr>
          <w:lang w:val="fr-BE"/>
        </w:rPr>
        <w:t xml:space="preserve"> et elles </w:t>
      </w:r>
      <w:r w:rsidR="00E0503A" w:rsidRPr="00F407AF">
        <w:rPr>
          <w:lang w:val="fr-BE"/>
        </w:rPr>
        <w:t xml:space="preserve">ne </w:t>
      </w:r>
      <w:r w:rsidR="00EE7F32" w:rsidRPr="00F407AF">
        <w:rPr>
          <w:lang w:val="fr-BE"/>
        </w:rPr>
        <w:t xml:space="preserve">sont </w:t>
      </w:r>
      <w:r w:rsidR="00E0503A" w:rsidRPr="00F407AF">
        <w:rPr>
          <w:lang w:val="fr-BE"/>
        </w:rPr>
        <w:t xml:space="preserve">pas </w:t>
      </w:r>
      <w:r w:rsidR="00EE7F32" w:rsidRPr="00F407AF">
        <w:rPr>
          <w:lang w:val="fr-BE"/>
        </w:rPr>
        <w:t>fondées sur des considérations commerciales</w:t>
      </w:r>
      <w:r w:rsidR="00E0503A" w:rsidRPr="00F407AF">
        <w:rPr>
          <w:lang w:val="fr-BE"/>
        </w:rPr>
        <w:t xml:space="preserve">, </w:t>
      </w:r>
      <w:r w:rsidR="00EE7F32" w:rsidRPr="00F407AF">
        <w:rPr>
          <w:lang w:val="fr-BE"/>
        </w:rPr>
        <w:t xml:space="preserve">mais sur des différences objectives entre les exigences techniques en matière de qualité de service de certaines catégories spécifiques de trafic. Ces mesures </w:t>
      </w:r>
      <w:r w:rsidR="003B717B" w:rsidRPr="00F407AF">
        <w:rPr>
          <w:lang w:val="fr-BE"/>
        </w:rPr>
        <w:t xml:space="preserve">ne concernent </w:t>
      </w:r>
      <w:r w:rsidR="00EE7F32" w:rsidRPr="00F407AF">
        <w:rPr>
          <w:lang w:val="fr-BE"/>
        </w:rPr>
        <w:t xml:space="preserve">pas </w:t>
      </w:r>
      <w:r w:rsidR="00E0503A" w:rsidRPr="00F407AF">
        <w:rPr>
          <w:lang w:val="fr-BE"/>
        </w:rPr>
        <w:t>la</w:t>
      </w:r>
      <w:r w:rsidR="00EE7F32" w:rsidRPr="00F407AF">
        <w:rPr>
          <w:lang w:val="fr-BE"/>
        </w:rPr>
        <w:t xml:space="preserve"> surveillance du contenu particulier et ne sont pas maintenues plus longtemps que nécessaire.</w:t>
      </w:r>
    </w:p>
    <w:p w:rsidR="00EE7F32" w:rsidRPr="00F407AF" w:rsidRDefault="00EE7F32" w:rsidP="00F407AF">
      <w:pPr>
        <w:pStyle w:val="Text1"/>
        <w:rPr>
          <w:lang w:val="fr-BE"/>
        </w:rPr>
      </w:pPr>
      <w:r w:rsidRPr="00F407AF">
        <w:rPr>
          <w:lang w:val="fr-BE"/>
        </w:rPr>
        <w:t xml:space="preserve">Les fournisseurs de services d'accès à l'internet n'appliquent pas de mesures de gestion du trafic qui </w:t>
      </w:r>
      <w:r w:rsidR="00E0503A" w:rsidRPr="00F407AF">
        <w:rPr>
          <w:lang w:val="fr-BE"/>
        </w:rPr>
        <w:t xml:space="preserve">vont </w:t>
      </w:r>
      <w:r w:rsidRPr="00F407AF">
        <w:rPr>
          <w:lang w:val="fr-BE"/>
        </w:rPr>
        <w:t xml:space="preserve">au-delà de </w:t>
      </w:r>
      <w:r w:rsidR="0022388A" w:rsidRPr="00F407AF">
        <w:rPr>
          <w:lang w:val="fr-BE"/>
        </w:rPr>
        <w:t xml:space="preserve">celles </w:t>
      </w:r>
      <w:r w:rsidRPr="00F407AF">
        <w:rPr>
          <w:lang w:val="fr-BE"/>
        </w:rPr>
        <w:t xml:space="preserve">visées au deuxième alinéa et, en particulier, s'abstiennent de bloquer, de ralentir, de modifier, de restreindre, de perturber, de dégrader ou de traiter de manière discriminatoire des contenus, des applications ou des services </w:t>
      </w:r>
      <w:r w:rsidR="00E0503A" w:rsidRPr="00F407AF">
        <w:rPr>
          <w:lang w:val="fr-BE"/>
        </w:rPr>
        <w:t xml:space="preserve">spécifiques </w:t>
      </w:r>
      <w:r w:rsidRPr="00F407AF">
        <w:rPr>
          <w:lang w:val="fr-BE"/>
        </w:rPr>
        <w:t xml:space="preserve">ou </w:t>
      </w:r>
      <w:r w:rsidR="00E0503A" w:rsidRPr="00F407AF">
        <w:rPr>
          <w:lang w:val="fr-BE"/>
        </w:rPr>
        <w:t xml:space="preserve">des </w:t>
      </w:r>
      <w:r w:rsidRPr="00F407AF">
        <w:rPr>
          <w:lang w:val="fr-BE"/>
        </w:rPr>
        <w:t xml:space="preserve">catégories </w:t>
      </w:r>
      <w:r w:rsidR="00E0503A" w:rsidRPr="00F407AF">
        <w:rPr>
          <w:lang w:val="fr-BE"/>
        </w:rPr>
        <w:t xml:space="preserve">spécifiques </w:t>
      </w:r>
      <w:r w:rsidRPr="00F407AF">
        <w:rPr>
          <w:lang w:val="fr-BE"/>
        </w:rPr>
        <w:t xml:space="preserve">de contenus, d'applications ou de services, </w:t>
      </w:r>
      <w:r w:rsidR="00DB626D" w:rsidRPr="00F407AF">
        <w:rPr>
          <w:lang w:val="fr-BE"/>
        </w:rPr>
        <w:t>sauf si</w:t>
      </w:r>
      <w:r w:rsidRPr="00F407AF">
        <w:rPr>
          <w:lang w:val="fr-BE"/>
        </w:rPr>
        <w:t xml:space="preserve"> nécessaire et seulement le temps nécessaire, pour:</w:t>
      </w:r>
    </w:p>
    <w:p w:rsidR="00EE7F32" w:rsidRPr="00F407AF" w:rsidRDefault="00EE7F32" w:rsidP="00F407AF">
      <w:pPr>
        <w:pStyle w:val="Point1"/>
        <w:rPr>
          <w:lang w:val="fr-BE"/>
        </w:rPr>
      </w:pPr>
      <w:r w:rsidRPr="00F407AF">
        <w:rPr>
          <w:lang w:val="fr-BE"/>
        </w:rPr>
        <w:t>a)</w:t>
      </w:r>
      <w:r w:rsidRPr="00F407AF">
        <w:rPr>
          <w:lang w:val="fr-BE"/>
        </w:rPr>
        <w:tab/>
        <w:t xml:space="preserve">se conformer </w:t>
      </w:r>
      <w:r w:rsidR="00DB626D" w:rsidRPr="00F407AF">
        <w:rPr>
          <w:lang w:val="fr-BE"/>
        </w:rPr>
        <w:t>aux actes législatifs</w:t>
      </w:r>
      <w:r w:rsidRPr="00F407AF">
        <w:rPr>
          <w:lang w:val="fr-BE"/>
        </w:rPr>
        <w:t xml:space="preserve"> de l'Union ou à la législation nationale </w:t>
      </w:r>
      <w:r w:rsidR="00602D28" w:rsidRPr="00F407AF">
        <w:rPr>
          <w:lang w:val="fr-BE"/>
        </w:rPr>
        <w:t xml:space="preserve">qui est </w:t>
      </w:r>
      <w:r w:rsidRPr="00F407AF">
        <w:rPr>
          <w:lang w:val="fr-BE"/>
        </w:rPr>
        <w:t>conforme au droit de l'Union</w:t>
      </w:r>
      <w:r w:rsidR="003B717B" w:rsidRPr="00F407AF">
        <w:rPr>
          <w:lang w:val="fr-BE"/>
        </w:rPr>
        <w:t>,</w:t>
      </w:r>
      <w:r w:rsidRPr="00F407AF">
        <w:rPr>
          <w:lang w:val="fr-BE"/>
        </w:rPr>
        <w:t xml:space="preserve"> à laquelle le fournisseur de services d'accès à l'internet </w:t>
      </w:r>
      <w:r w:rsidR="00672D70" w:rsidRPr="00F407AF">
        <w:rPr>
          <w:lang w:val="fr-BE"/>
        </w:rPr>
        <w:t>est</w:t>
      </w:r>
      <w:r w:rsidRPr="00F407AF">
        <w:rPr>
          <w:lang w:val="fr-BE"/>
        </w:rPr>
        <w:t xml:space="preserve"> soumis</w:t>
      </w:r>
      <w:r w:rsidR="00E0503A" w:rsidRPr="00F407AF">
        <w:rPr>
          <w:lang w:val="fr-BE"/>
        </w:rPr>
        <w:t>,</w:t>
      </w:r>
      <w:r w:rsidRPr="00F407AF">
        <w:rPr>
          <w:lang w:val="fr-BE"/>
        </w:rPr>
        <w:t xml:space="preserve"> ou aux </w:t>
      </w:r>
      <w:r w:rsidR="00E0503A" w:rsidRPr="00F407AF">
        <w:rPr>
          <w:lang w:val="fr-BE"/>
        </w:rPr>
        <w:t>mesures</w:t>
      </w:r>
      <w:r w:rsidR="00223F02" w:rsidRPr="00F407AF">
        <w:rPr>
          <w:lang w:val="fr-BE"/>
        </w:rPr>
        <w:t>, conformes au droit de l</w:t>
      </w:r>
      <w:r w:rsidR="00F407AF" w:rsidRPr="00F407AF">
        <w:rPr>
          <w:lang w:val="fr-BE"/>
        </w:rPr>
        <w:t>'</w:t>
      </w:r>
      <w:r w:rsidR="00223F02" w:rsidRPr="00F407AF">
        <w:rPr>
          <w:lang w:val="fr-BE"/>
        </w:rPr>
        <w:t>Union,</w:t>
      </w:r>
      <w:r w:rsidR="00E0503A" w:rsidRPr="00F407AF">
        <w:rPr>
          <w:lang w:val="fr-BE"/>
        </w:rPr>
        <w:t xml:space="preserve"> </w:t>
      </w:r>
      <w:r w:rsidR="00223F02" w:rsidRPr="00F407AF">
        <w:rPr>
          <w:lang w:val="fr-BE"/>
        </w:rPr>
        <w:t>donn</w:t>
      </w:r>
      <w:r w:rsidR="00DB626D" w:rsidRPr="00F407AF">
        <w:rPr>
          <w:lang w:val="fr-BE"/>
        </w:rPr>
        <w:t>ant</w:t>
      </w:r>
      <w:r w:rsidR="00223F02" w:rsidRPr="00F407AF">
        <w:rPr>
          <w:lang w:val="fr-BE"/>
        </w:rPr>
        <w:t xml:space="preserve"> effet à</w:t>
      </w:r>
      <w:r w:rsidRPr="00F407AF">
        <w:rPr>
          <w:lang w:val="fr-BE"/>
        </w:rPr>
        <w:t xml:space="preserve"> </w:t>
      </w:r>
      <w:r w:rsidR="00DB626D" w:rsidRPr="00F407AF">
        <w:rPr>
          <w:lang w:val="fr-BE"/>
        </w:rPr>
        <w:t xml:space="preserve">ces actes législatifs </w:t>
      </w:r>
      <w:r w:rsidR="003B717B" w:rsidRPr="00F407AF">
        <w:rPr>
          <w:lang w:val="fr-BE"/>
        </w:rPr>
        <w:t xml:space="preserve">de l'Union ou </w:t>
      </w:r>
      <w:r w:rsidR="00DB626D" w:rsidRPr="00F407AF">
        <w:rPr>
          <w:lang w:val="fr-BE"/>
        </w:rPr>
        <w:t xml:space="preserve">à </w:t>
      </w:r>
      <w:r w:rsidR="00223F02" w:rsidRPr="00F407AF">
        <w:rPr>
          <w:lang w:val="fr-BE"/>
        </w:rPr>
        <w:t xml:space="preserve">cette législation </w:t>
      </w:r>
      <w:r w:rsidR="003B717B" w:rsidRPr="00F407AF">
        <w:rPr>
          <w:lang w:val="fr-BE"/>
        </w:rPr>
        <w:t>nationale</w:t>
      </w:r>
      <w:r w:rsidRPr="00F407AF">
        <w:rPr>
          <w:lang w:val="fr-BE"/>
        </w:rPr>
        <w:t>,</w:t>
      </w:r>
      <w:r w:rsidR="003B717B" w:rsidRPr="00F407AF">
        <w:rPr>
          <w:lang w:val="fr-BE"/>
        </w:rPr>
        <w:t xml:space="preserve"> </w:t>
      </w:r>
      <w:r w:rsidRPr="00F407AF">
        <w:rPr>
          <w:lang w:val="fr-BE"/>
        </w:rPr>
        <w:t xml:space="preserve">y compris les décisions </w:t>
      </w:r>
      <w:r w:rsidR="00223F02" w:rsidRPr="00F407AF">
        <w:rPr>
          <w:lang w:val="fr-BE"/>
        </w:rPr>
        <w:t>d</w:t>
      </w:r>
      <w:r w:rsidR="00F407AF" w:rsidRPr="00F407AF">
        <w:rPr>
          <w:lang w:val="fr-BE"/>
        </w:rPr>
        <w:t>'</w:t>
      </w:r>
      <w:r w:rsidR="00223F02" w:rsidRPr="00F407AF">
        <w:rPr>
          <w:lang w:val="fr-BE"/>
        </w:rPr>
        <w:t>une juridiction</w:t>
      </w:r>
      <w:r w:rsidRPr="00F407AF">
        <w:rPr>
          <w:lang w:val="fr-BE"/>
        </w:rPr>
        <w:t xml:space="preserve"> ou d'une autorité publique investie de</w:t>
      </w:r>
      <w:r w:rsidR="00223F02" w:rsidRPr="00F407AF">
        <w:rPr>
          <w:lang w:val="fr-BE"/>
        </w:rPr>
        <w:t>s</w:t>
      </w:r>
      <w:r w:rsidRPr="00F407AF">
        <w:rPr>
          <w:lang w:val="fr-BE"/>
        </w:rPr>
        <w:t xml:space="preserve"> pouvoirs </w:t>
      </w:r>
      <w:r w:rsidR="00223F02" w:rsidRPr="00F407AF">
        <w:rPr>
          <w:lang w:val="fr-BE"/>
        </w:rPr>
        <w:t>nécessaires</w:t>
      </w:r>
      <w:r w:rsidRPr="00F407AF">
        <w:rPr>
          <w:lang w:val="fr-BE"/>
        </w:rPr>
        <w:t>;</w:t>
      </w:r>
    </w:p>
    <w:p w:rsidR="00EE7F32" w:rsidRPr="00F407AF" w:rsidRDefault="00EE7F32" w:rsidP="00F407AF">
      <w:pPr>
        <w:pStyle w:val="Point1"/>
        <w:rPr>
          <w:lang w:val="fr-BE"/>
        </w:rPr>
      </w:pPr>
      <w:r w:rsidRPr="00F407AF">
        <w:rPr>
          <w:lang w:val="fr-BE"/>
        </w:rPr>
        <w:t>b)</w:t>
      </w:r>
      <w:r w:rsidRPr="00F407AF">
        <w:rPr>
          <w:lang w:val="fr-BE"/>
        </w:rPr>
        <w:tab/>
        <w:t>préserver l'intégrité et la sûreté du réseau, des services fournis par l'intermédiaire de ce réseau et des équipements terminaux des utilisateurs finals;</w:t>
      </w:r>
    </w:p>
    <w:p w:rsidR="00EE7F32" w:rsidRPr="00F407AF" w:rsidRDefault="00EE7F32" w:rsidP="00F407AF">
      <w:pPr>
        <w:pStyle w:val="Point1"/>
        <w:rPr>
          <w:lang w:val="fr-BE"/>
        </w:rPr>
      </w:pPr>
      <w:r w:rsidRPr="00F407AF">
        <w:rPr>
          <w:lang w:val="fr-BE"/>
        </w:rPr>
        <w:t>c)</w:t>
      </w:r>
      <w:r w:rsidRPr="00F407AF">
        <w:rPr>
          <w:lang w:val="fr-BE"/>
        </w:rPr>
        <w:tab/>
        <w:t xml:space="preserve">prévenir une congestion imminente du réseau et atténuer les effets d'une congestion </w:t>
      </w:r>
      <w:r w:rsidR="00223F02" w:rsidRPr="00F407AF">
        <w:rPr>
          <w:lang w:val="fr-BE"/>
        </w:rPr>
        <w:t xml:space="preserve">exceptionnelle ou </w:t>
      </w:r>
      <w:r w:rsidRPr="00F407AF">
        <w:rPr>
          <w:lang w:val="fr-BE"/>
        </w:rPr>
        <w:t xml:space="preserve">temporaire du réseau, pour autant que les catégories équivalentes de trafic fassent l'objet d'un traitement </w:t>
      </w:r>
      <w:r w:rsidR="00223F02" w:rsidRPr="00F407AF">
        <w:rPr>
          <w:lang w:val="fr-BE"/>
        </w:rPr>
        <w:t>égal</w:t>
      </w:r>
      <w:r w:rsidRPr="00F407AF">
        <w:rPr>
          <w:lang w:val="fr-BE"/>
        </w:rPr>
        <w:t>.</w:t>
      </w:r>
    </w:p>
    <w:p w:rsidR="00EE7F32" w:rsidRPr="00F407AF" w:rsidRDefault="00F407AF" w:rsidP="007768E7">
      <w:pPr>
        <w:pStyle w:val="ManualNumPar1"/>
        <w:rPr>
          <w:lang w:val="fr-BE"/>
        </w:rPr>
      </w:pPr>
      <w:r>
        <w:rPr>
          <w:lang w:val="fr-BE"/>
        </w:rPr>
        <w:br w:type="page"/>
      </w:r>
      <w:r w:rsidR="00EE7F32" w:rsidRPr="00F407AF">
        <w:rPr>
          <w:lang w:val="fr-BE"/>
        </w:rPr>
        <w:lastRenderedPageBreak/>
        <w:t>4.</w:t>
      </w:r>
      <w:r w:rsidR="00EE7F32" w:rsidRPr="00F407AF">
        <w:rPr>
          <w:lang w:val="fr-BE"/>
        </w:rPr>
        <w:tab/>
        <w:t xml:space="preserve">Les mesures de gestion du trafic </w:t>
      </w:r>
      <w:r w:rsidR="007554B4" w:rsidRPr="00F407AF">
        <w:rPr>
          <w:lang w:val="fr-BE"/>
        </w:rPr>
        <w:t xml:space="preserve">ne </w:t>
      </w:r>
      <w:r w:rsidR="00DB626D" w:rsidRPr="00F407AF">
        <w:rPr>
          <w:lang w:val="fr-BE"/>
        </w:rPr>
        <w:t>peuvent</w:t>
      </w:r>
      <w:r w:rsidR="0002709D" w:rsidRPr="00F407AF">
        <w:rPr>
          <w:lang w:val="fr-BE"/>
        </w:rPr>
        <w:t xml:space="preserve"> </w:t>
      </w:r>
      <w:r w:rsidR="00EE7F32" w:rsidRPr="00F407AF">
        <w:rPr>
          <w:lang w:val="fr-BE"/>
        </w:rPr>
        <w:t>donne</w:t>
      </w:r>
      <w:r w:rsidR="00DB626D" w:rsidRPr="00F407AF">
        <w:rPr>
          <w:lang w:val="fr-BE"/>
        </w:rPr>
        <w:t>r</w:t>
      </w:r>
      <w:r w:rsidR="00EE7F32" w:rsidRPr="00F407AF">
        <w:rPr>
          <w:lang w:val="fr-BE"/>
        </w:rPr>
        <w:t xml:space="preserve"> lieu au traitement de données à caractère personnel </w:t>
      </w:r>
      <w:r w:rsidR="00DB626D" w:rsidRPr="00F407AF">
        <w:rPr>
          <w:lang w:val="fr-BE"/>
        </w:rPr>
        <w:t xml:space="preserve">que </w:t>
      </w:r>
      <w:r w:rsidR="007554B4" w:rsidRPr="00F407AF">
        <w:rPr>
          <w:lang w:val="fr-BE"/>
        </w:rPr>
        <w:t xml:space="preserve">si ce traitement </w:t>
      </w:r>
      <w:r w:rsidR="00EE7F32" w:rsidRPr="00F407AF">
        <w:rPr>
          <w:lang w:val="fr-BE"/>
        </w:rPr>
        <w:t xml:space="preserve">est nécessaire et proportionné à la réalisation des objectifs fixés au paragraphe 3. Ce traitement est effectué </w:t>
      </w:r>
      <w:r w:rsidR="00CC09BB" w:rsidRPr="00F407AF">
        <w:rPr>
          <w:lang w:val="fr-BE"/>
        </w:rPr>
        <w:t>conformément à</w:t>
      </w:r>
      <w:r w:rsidR="00EE7F32" w:rsidRPr="00F407AF">
        <w:rPr>
          <w:lang w:val="fr-BE"/>
        </w:rPr>
        <w:t xml:space="preserve"> la directive 95/46/CE</w:t>
      </w:r>
      <w:r w:rsidR="00602D28" w:rsidRPr="00F407AF">
        <w:rPr>
          <w:lang w:val="fr-BE"/>
        </w:rPr>
        <w:t xml:space="preserve"> du Parlement européen et du Conseil</w:t>
      </w:r>
      <w:r w:rsidR="00602D28" w:rsidRPr="007768E7">
        <w:rPr>
          <w:rStyle w:val="FootnoteReference"/>
        </w:rPr>
        <w:footnoteReference w:id="10"/>
      </w:r>
      <w:r w:rsidR="00EE7F32" w:rsidRPr="00F407AF">
        <w:rPr>
          <w:lang w:val="fr-BE"/>
        </w:rPr>
        <w:t xml:space="preserve">. Les mesures de gestion du trafic </w:t>
      </w:r>
      <w:r w:rsidR="00CC09BB" w:rsidRPr="00F407AF">
        <w:rPr>
          <w:lang w:val="fr-BE"/>
        </w:rPr>
        <w:t>respectent également</w:t>
      </w:r>
      <w:r w:rsidR="00EE7F32" w:rsidRPr="00F407AF">
        <w:rPr>
          <w:lang w:val="fr-BE"/>
        </w:rPr>
        <w:t xml:space="preserve"> la directive 2002/58/CE</w:t>
      </w:r>
      <w:r w:rsidR="00602D28" w:rsidRPr="00F407AF">
        <w:rPr>
          <w:lang w:val="fr-BE"/>
        </w:rPr>
        <w:t xml:space="preserve"> du Parlement européen et du Conseil</w:t>
      </w:r>
      <w:r w:rsidR="00602D28" w:rsidRPr="007768E7">
        <w:rPr>
          <w:rStyle w:val="FootnoteReference"/>
        </w:rPr>
        <w:footnoteReference w:id="11"/>
      </w:r>
      <w:r w:rsidR="00EE7F32" w:rsidRPr="00F407AF">
        <w:rPr>
          <w:lang w:val="fr-BE"/>
        </w:rPr>
        <w:t>.</w:t>
      </w:r>
    </w:p>
    <w:p w:rsidR="00EE7F32" w:rsidRPr="00F407AF" w:rsidRDefault="00EE7F32" w:rsidP="00F407AF">
      <w:pPr>
        <w:pStyle w:val="ManualNumPar1"/>
        <w:rPr>
          <w:rFonts w:eastAsiaTheme="minorHAnsi"/>
          <w:lang w:val="fr-BE"/>
        </w:rPr>
      </w:pPr>
      <w:r w:rsidRPr="00F407AF">
        <w:rPr>
          <w:lang w:val="fr-BE"/>
        </w:rPr>
        <w:t>5.</w:t>
      </w:r>
      <w:r w:rsidRPr="00F407AF">
        <w:rPr>
          <w:lang w:val="fr-BE"/>
        </w:rPr>
        <w:tab/>
        <w:t xml:space="preserve">Les fournisseurs de communications électroniques au public, y compris les fournisseurs de services d'accès à l'internet et les fournisseurs de contenus, d'applications et de services sont libres de proposer des services autres que les services d'accès à l'internet qui sont optimisés pour des contenus, des applications ou des services spécifiques, ou une combinaison de ceux-ci, </w:t>
      </w:r>
      <w:r w:rsidRPr="00F407AF">
        <w:rPr>
          <w:rFonts w:eastAsiaTheme="minorHAnsi"/>
          <w:lang w:val="fr-BE"/>
        </w:rPr>
        <w:t>lorsque l'optimisation est nécessaire</w:t>
      </w:r>
      <w:r w:rsidRPr="00F407AF">
        <w:rPr>
          <w:lang w:val="fr-BE"/>
        </w:rPr>
        <w:t xml:space="preserve"> </w:t>
      </w:r>
      <w:r w:rsidR="00CC09BB" w:rsidRPr="00F407AF">
        <w:rPr>
          <w:lang w:val="fr-BE"/>
        </w:rPr>
        <w:t>pour</w:t>
      </w:r>
      <w:r w:rsidRPr="00F407AF">
        <w:rPr>
          <w:lang w:val="fr-BE"/>
        </w:rPr>
        <w:t xml:space="preserve"> que les contenus, les applications ou les services satisfassent </w:t>
      </w:r>
      <w:r w:rsidR="00CC09BB" w:rsidRPr="00F407AF">
        <w:rPr>
          <w:lang w:val="fr-BE"/>
        </w:rPr>
        <w:t>aux</w:t>
      </w:r>
      <w:r w:rsidR="00457BB7" w:rsidRPr="00F407AF">
        <w:rPr>
          <w:lang w:val="fr-BE"/>
        </w:rPr>
        <w:t xml:space="preserve"> exigence</w:t>
      </w:r>
      <w:r w:rsidR="00CC09BB" w:rsidRPr="00F407AF">
        <w:rPr>
          <w:lang w:val="fr-BE"/>
        </w:rPr>
        <w:t>s correspondant à un</w:t>
      </w:r>
      <w:r w:rsidRPr="00F407AF">
        <w:rPr>
          <w:lang w:val="fr-BE"/>
        </w:rPr>
        <w:t xml:space="preserve"> niveau de qualité </w:t>
      </w:r>
      <w:r w:rsidR="00CC09BB" w:rsidRPr="00F407AF">
        <w:rPr>
          <w:lang w:val="fr-BE"/>
        </w:rPr>
        <w:t>spécifique</w:t>
      </w:r>
      <w:r w:rsidRPr="00F407AF">
        <w:rPr>
          <w:lang w:val="fr-BE"/>
        </w:rPr>
        <w:t>.</w:t>
      </w:r>
    </w:p>
    <w:p w:rsidR="00EE7F32" w:rsidRPr="00F407AF" w:rsidRDefault="00EE7F32" w:rsidP="00F407AF">
      <w:pPr>
        <w:pStyle w:val="Text1"/>
        <w:rPr>
          <w:rFonts w:eastAsiaTheme="minorHAnsi"/>
          <w:lang w:val="fr-BE"/>
        </w:rPr>
      </w:pPr>
      <w:r w:rsidRPr="00F407AF">
        <w:rPr>
          <w:lang w:val="fr-BE"/>
        </w:rPr>
        <w:t xml:space="preserve">Les fournisseurs de communications électroniques au public, y compris les fournisseurs de services d'accès à l'internet, </w:t>
      </w:r>
      <w:r w:rsidR="0002709D" w:rsidRPr="00F407AF">
        <w:rPr>
          <w:lang w:val="fr-BE"/>
        </w:rPr>
        <w:t xml:space="preserve">ne </w:t>
      </w:r>
      <w:r w:rsidRPr="00F407AF">
        <w:rPr>
          <w:lang w:val="fr-BE"/>
        </w:rPr>
        <w:t xml:space="preserve">peuvent proposer ou faciliter ce type de services </w:t>
      </w:r>
      <w:r w:rsidR="0002709D" w:rsidRPr="00F407AF">
        <w:rPr>
          <w:lang w:val="fr-BE"/>
        </w:rPr>
        <w:t xml:space="preserve">que </w:t>
      </w:r>
      <w:r w:rsidRPr="00F407AF">
        <w:rPr>
          <w:lang w:val="fr-BE"/>
        </w:rPr>
        <w:t>si les capacités du réseau sont suffisantes pour les fournir en plus de</w:t>
      </w:r>
      <w:r w:rsidR="002D7C87" w:rsidRPr="00F407AF">
        <w:rPr>
          <w:lang w:val="fr-BE"/>
        </w:rPr>
        <w:t xml:space="preserve"> tou</w:t>
      </w:r>
      <w:r w:rsidRPr="00F407AF">
        <w:rPr>
          <w:lang w:val="fr-BE"/>
        </w:rPr>
        <w:t>s services d'accès à l'internet fournis. Ces services ne sont pas utilisables comme services d'accès à l'internet ni proposés en remplacement de ces derniers, et ils ne sont pas proposés au détriment de la disponibilité ou de la qualité générale des services d'accès à l'internet pour les utilisateurs finals.</w:t>
      </w:r>
    </w:p>
    <w:p w:rsidR="00EE7F32" w:rsidRPr="00543B6E" w:rsidRDefault="00F407AF" w:rsidP="00F407AF">
      <w:pPr>
        <w:pStyle w:val="Titrearticle"/>
        <w:rPr>
          <w:lang w:val="fr-BE"/>
        </w:rPr>
      </w:pPr>
      <w:r>
        <w:rPr>
          <w:lang w:val="fr-BE"/>
        </w:rPr>
        <w:br w:type="page"/>
      </w:r>
      <w:r>
        <w:rPr>
          <w:lang w:val="fr-BE"/>
        </w:rPr>
        <w:lastRenderedPageBreak/>
        <w:t>Article 4</w:t>
      </w:r>
      <w:r>
        <w:rPr>
          <w:lang w:val="fr-BE"/>
        </w:rPr>
        <w:br/>
      </w:r>
      <w:r w:rsidR="00EE7F32" w:rsidRPr="00543B6E">
        <w:rPr>
          <w:lang w:val="fr-BE"/>
        </w:rPr>
        <w:t xml:space="preserve">Mesures de transparence garantissant l'accès à </w:t>
      </w:r>
      <w:r w:rsidR="00886000" w:rsidRPr="00543B6E">
        <w:rPr>
          <w:lang w:val="fr-BE"/>
        </w:rPr>
        <w:t xml:space="preserve">un </w:t>
      </w:r>
      <w:r w:rsidR="00EE7F32" w:rsidRPr="00543B6E">
        <w:rPr>
          <w:lang w:val="fr-BE"/>
        </w:rPr>
        <w:t>internet</w:t>
      </w:r>
      <w:r w:rsidR="00886000" w:rsidRPr="00543B6E">
        <w:rPr>
          <w:lang w:val="fr-BE"/>
        </w:rPr>
        <w:t xml:space="preserve"> ouvert</w:t>
      </w:r>
    </w:p>
    <w:p w:rsidR="00EE7F32" w:rsidRPr="00F407AF" w:rsidRDefault="00411D28" w:rsidP="00F407AF">
      <w:pPr>
        <w:pStyle w:val="ManualNumPar1"/>
        <w:rPr>
          <w:lang w:val="fr-BE"/>
        </w:rPr>
      </w:pPr>
      <w:r w:rsidRPr="00F407AF">
        <w:rPr>
          <w:lang w:val="fr-BE"/>
        </w:rPr>
        <w:t>1</w:t>
      </w:r>
      <w:r w:rsidR="00EE7F32" w:rsidRPr="00F407AF">
        <w:rPr>
          <w:lang w:val="fr-BE"/>
        </w:rPr>
        <w:t>.</w:t>
      </w:r>
      <w:r w:rsidR="00EE7F32" w:rsidRPr="00F407AF">
        <w:rPr>
          <w:lang w:val="fr-BE"/>
        </w:rPr>
        <w:tab/>
        <w:t>Les fournisseurs de services d'accès à l'internet veillent à ce qu</w:t>
      </w:r>
      <w:r w:rsidR="004C0D1B" w:rsidRPr="00F407AF">
        <w:rPr>
          <w:lang w:val="fr-BE"/>
        </w:rPr>
        <w:t xml:space="preserve">e tout </w:t>
      </w:r>
      <w:r w:rsidR="00EE7F32" w:rsidRPr="00F407AF">
        <w:rPr>
          <w:lang w:val="fr-BE"/>
        </w:rPr>
        <w:t xml:space="preserve">contrat incluant </w:t>
      </w:r>
      <w:r w:rsidR="0002709D" w:rsidRPr="00F407AF">
        <w:rPr>
          <w:lang w:val="fr-BE"/>
        </w:rPr>
        <w:t xml:space="preserve">des </w:t>
      </w:r>
      <w:r w:rsidR="00EE7F32" w:rsidRPr="00F407AF">
        <w:rPr>
          <w:lang w:val="fr-BE"/>
        </w:rPr>
        <w:t>service</w:t>
      </w:r>
      <w:r w:rsidR="0002709D" w:rsidRPr="00F407AF">
        <w:rPr>
          <w:lang w:val="fr-BE"/>
        </w:rPr>
        <w:t>s</w:t>
      </w:r>
      <w:r w:rsidR="00EE7F32" w:rsidRPr="00F407AF">
        <w:rPr>
          <w:lang w:val="fr-BE"/>
        </w:rPr>
        <w:t xml:space="preserve"> d'accès à l'internet contienne</w:t>
      </w:r>
      <w:r w:rsidR="0002709D" w:rsidRPr="00F407AF">
        <w:rPr>
          <w:lang w:val="fr-BE"/>
        </w:rPr>
        <w:t>, au moins, ce qui suit</w:t>
      </w:r>
      <w:r w:rsidR="00EE7F32" w:rsidRPr="00F407AF">
        <w:rPr>
          <w:lang w:val="fr-BE"/>
        </w:rPr>
        <w:t>:</w:t>
      </w:r>
    </w:p>
    <w:p w:rsidR="00EE7F32" w:rsidRPr="00F407AF" w:rsidRDefault="00EE7F32" w:rsidP="00F407AF">
      <w:pPr>
        <w:pStyle w:val="Point1"/>
        <w:rPr>
          <w:lang w:val="fr-BE"/>
        </w:rPr>
      </w:pPr>
      <w:r w:rsidRPr="00F407AF">
        <w:rPr>
          <w:lang w:val="fr-BE"/>
        </w:rPr>
        <w:t>a)</w:t>
      </w:r>
      <w:r w:rsidRPr="00F407AF">
        <w:rPr>
          <w:lang w:val="fr-BE"/>
        </w:rPr>
        <w:tab/>
        <w:t xml:space="preserve">des informations sur la manière dont les mesures de gestion du trafic </w:t>
      </w:r>
      <w:r w:rsidR="0002709D" w:rsidRPr="00F407AF">
        <w:rPr>
          <w:lang w:val="fr-BE"/>
        </w:rPr>
        <w:t xml:space="preserve">appliquées par le fournisseur concerné </w:t>
      </w:r>
      <w:r w:rsidR="00E63D41" w:rsidRPr="00F407AF">
        <w:rPr>
          <w:lang w:val="fr-BE"/>
        </w:rPr>
        <w:t xml:space="preserve">peuvent </w:t>
      </w:r>
      <w:r w:rsidRPr="00F407AF">
        <w:rPr>
          <w:lang w:val="fr-BE"/>
        </w:rPr>
        <w:t>avoir une incidence sur la qualité d</w:t>
      </w:r>
      <w:r w:rsidR="0002709D" w:rsidRPr="00F407AF">
        <w:rPr>
          <w:lang w:val="fr-BE"/>
        </w:rPr>
        <w:t>es</w:t>
      </w:r>
      <w:r w:rsidRPr="00F407AF">
        <w:rPr>
          <w:lang w:val="fr-BE"/>
        </w:rPr>
        <w:t xml:space="preserve"> service</w:t>
      </w:r>
      <w:r w:rsidR="0002709D" w:rsidRPr="00F407AF">
        <w:rPr>
          <w:lang w:val="fr-BE"/>
        </w:rPr>
        <w:t>s</w:t>
      </w:r>
      <w:r w:rsidR="00B309AA" w:rsidRPr="00F407AF">
        <w:rPr>
          <w:lang w:val="fr-BE"/>
        </w:rPr>
        <w:t xml:space="preserve"> d'accès à l'internet</w:t>
      </w:r>
      <w:r w:rsidRPr="00F407AF">
        <w:rPr>
          <w:lang w:val="fr-BE"/>
        </w:rPr>
        <w:t xml:space="preserve">, </w:t>
      </w:r>
      <w:r w:rsidR="00B309AA" w:rsidRPr="00F407AF">
        <w:rPr>
          <w:lang w:val="fr-BE"/>
        </w:rPr>
        <w:t xml:space="preserve">sur </w:t>
      </w:r>
      <w:r w:rsidRPr="00F407AF">
        <w:rPr>
          <w:lang w:val="fr-BE"/>
        </w:rPr>
        <w:t xml:space="preserve">le respect de la vie privée des utilisateurs finals et </w:t>
      </w:r>
      <w:r w:rsidR="004C0D1B" w:rsidRPr="00F407AF">
        <w:rPr>
          <w:lang w:val="fr-BE"/>
        </w:rPr>
        <w:t xml:space="preserve">sur </w:t>
      </w:r>
      <w:r w:rsidRPr="00F407AF">
        <w:rPr>
          <w:lang w:val="fr-BE"/>
        </w:rPr>
        <w:t>la protection de</w:t>
      </w:r>
      <w:r w:rsidR="004C0D1B" w:rsidRPr="00F407AF">
        <w:rPr>
          <w:lang w:val="fr-BE"/>
        </w:rPr>
        <w:t xml:space="preserve"> leurs</w:t>
      </w:r>
      <w:r w:rsidRPr="00F407AF">
        <w:rPr>
          <w:lang w:val="fr-BE"/>
        </w:rPr>
        <w:t xml:space="preserve"> données à caractère personnel;</w:t>
      </w:r>
    </w:p>
    <w:p w:rsidR="00EE7F32" w:rsidRPr="00F407AF" w:rsidRDefault="00EE7F32" w:rsidP="00F407AF">
      <w:pPr>
        <w:pStyle w:val="Point1"/>
        <w:rPr>
          <w:lang w:val="fr-BE"/>
        </w:rPr>
      </w:pPr>
      <w:r w:rsidRPr="00F407AF">
        <w:rPr>
          <w:lang w:val="fr-BE"/>
        </w:rPr>
        <w:t>b)</w:t>
      </w:r>
      <w:r w:rsidRPr="00F407AF">
        <w:rPr>
          <w:lang w:val="fr-BE"/>
        </w:rPr>
        <w:tab/>
        <w:t xml:space="preserve">une explication claire et compréhensible en ce qui concerne </w:t>
      </w:r>
      <w:r w:rsidR="0002709D" w:rsidRPr="00F407AF">
        <w:rPr>
          <w:lang w:val="fr-BE"/>
        </w:rPr>
        <w:t>la manière dont les</w:t>
      </w:r>
      <w:r w:rsidRPr="00F407AF">
        <w:rPr>
          <w:lang w:val="fr-BE"/>
        </w:rPr>
        <w:t xml:space="preserve"> éventuelles limit</w:t>
      </w:r>
      <w:r w:rsidR="0002709D" w:rsidRPr="00F407AF">
        <w:rPr>
          <w:lang w:val="fr-BE"/>
        </w:rPr>
        <w:t>ations</w:t>
      </w:r>
      <w:r w:rsidRPr="00F407AF">
        <w:rPr>
          <w:lang w:val="fr-BE"/>
        </w:rPr>
        <w:t xml:space="preserve"> de volume, </w:t>
      </w:r>
      <w:r w:rsidR="0002709D" w:rsidRPr="00F407AF">
        <w:rPr>
          <w:lang w:val="fr-BE"/>
        </w:rPr>
        <w:t>le</w:t>
      </w:r>
      <w:r w:rsidRPr="00F407AF">
        <w:rPr>
          <w:lang w:val="fr-BE"/>
        </w:rPr>
        <w:t xml:space="preserve"> débit et d'autres paramètres de qualité de service </w:t>
      </w:r>
      <w:r w:rsidR="00E63D41" w:rsidRPr="00F407AF">
        <w:rPr>
          <w:lang w:val="fr-BE"/>
        </w:rPr>
        <w:t xml:space="preserve">peuvent </w:t>
      </w:r>
      <w:r w:rsidR="0002709D" w:rsidRPr="00F407AF">
        <w:rPr>
          <w:lang w:val="fr-BE"/>
        </w:rPr>
        <w:t xml:space="preserve">avoir une incidence concrète </w:t>
      </w:r>
      <w:r w:rsidRPr="00F407AF">
        <w:rPr>
          <w:lang w:val="fr-BE"/>
        </w:rPr>
        <w:t xml:space="preserve">sur les services d'accès à l'internet, </w:t>
      </w:r>
      <w:r w:rsidR="00672D70" w:rsidRPr="00F407AF">
        <w:rPr>
          <w:lang w:val="fr-BE"/>
        </w:rPr>
        <w:t xml:space="preserve">et </w:t>
      </w:r>
      <w:r w:rsidRPr="00F407AF">
        <w:rPr>
          <w:lang w:val="fr-BE"/>
        </w:rPr>
        <w:t xml:space="preserve">en particulier </w:t>
      </w:r>
      <w:r w:rsidR="00D4419D" w:rsidRPr="00F407AF">
        <w:rPr>
          <w:lang w:val="fr-BE"/>
        </w:rPr>
        <w:t xml:space="preserve">sur </w:t>
      </w:r>
      <w:r w:rsidRPr="00F407AF">
        <w:rPr>
          <w:lang w:val="fr-BE"/>
        </w:rPr>
        <w:t>l'utilisation de contenus, d'applications et de services;</w:t>
      </w:r>
    </w:p>
    <w:p w:rsidR="00EE7F32" w:rsidRPr="00F407AF" w:rsidRDefault="00EE7F32" w:rsidP="00F407AF">
      <w:pPr>
        <w:pStyle w:val="Point1"/>
        <w:rPr>
          <w:rFonts w:eastAsiaTheme="minorHAnsi"/>
          <w:lang w:val="fr-BE"/>
        </w:rPr>
      </w:pPr>
      <w:r w:rsidRPr="00F407AF">
        <w:rPr>
          <w:lang w:val="fr-BE"/>
        </w:rPr>
        <w:t>c)</w:t>
      </w:r>
      <w:r w:rsidRPr="00F407AF">
        <w:rPr>
          <w:lang w:val="fr-BE"/>
        </w:rPr>
        <w:tab/>
        <w:t xml:space="preserve">une explication claire et compréhensible en ce qui concerne </w:t>
      </w:r>
      <w:r w:rsidR="00E63D41" w:rsidRPr="00F407AF">
        <w:rPr>
          <w:lang w:val="fr-BE"/>
        </w:rPr>
        <w:t>la manière dont</w:t>
      </w:r>
      <w:r w:rsidRPr="00F407AF">
        <w:rPr>
          <w:lang w:val="fr-BE"/>
        </w:rPr>
        <w:t xml:space="preserve"> </w:t>
      </w:r>
      <w:r w:rsidR="00E63D41" w:rsidRPr="00F407AF">
        <w:rPr>
          <w:lang w:val="fr-BE"/>
        </w:rPr>
        <w:t>l</w:t>
      </w:r>
      <w:r w:rsidRPr="00F407AF">
        <w:rPr>
          <w:lang w:val="fr-BE"/>
        </w:rPr>
        <w:t xml:space="preserve">es services </w:t>
      </w:r>
      <w:r w:rsidR="00B309AA" w:rsidRPr="00F407AF">
        <w:rPr>
          <w:lang w:val="fr-BE"/>
        </w:rPr>
        <w:t>visé</w:t>
      </w:r>
      <w:r w:rsidR="00E63D41" w:rsidRPr="00F407AF">
        <w:rPr>
          <w:lang w:val="fr-BE"/>
        </w:rPr>
        <w:t>s</w:t>
      </w:r>
      <w:r w:rsidR="00B309AA" w:rsidRPr="00F407AF">
        <w:rPr>
          <w:lang w:val="fr-BE"/>
        </w:rPr>
        <w:t xml:space="preserve"> à </w:t>
      </w:r>
      <w:r w:rsidRPr="00F407AF">
        <w:rPr>
          <w:lang w:val="fr-BE"/>
        </w:rPr>
        <w:t xml:space="preserve">l'article 3, paragraphe 5, </w:t>
      </w:r>
      <w:r w:rsidR="00E63D41" w:rsidRPr="00F407AF">
        <w:rPr>
          <w:lang w:val="fr-BE"/>
        </w:rPr>
        <w:t>auxquels</w:t>
      </w:r>
      <w:r w:rsidRPr="00F407AF">
        <w:rPr>
          <w:lang w:val="fr-BE"/>
        </w:rPr>
        <w:t xml:space="preserve"> l'utilisateur final souscrit</w:t>
      </w:r>
      <w:r w:rsidR="00B309AA" w:rsidRPr="00F407AF">
        <w:rPr>
          <w:lang w:val="fr-BE"/>
        </w:rPr>
        <w:t>,</w:t>
      </w:r>
      <w:r w:rsidRPr="00F407AF">
        <w:rPr>
          <w:lang w:val="fr-BE"/>
        </w:rPr>
        <w:t xml:space="preserve"> </w:t>
      </w:r>
      <w:r w:rsidR="007554B4" w:rsidRPr="00F407AF">
        <w:rPr>
          <w:lang w:val="fr-BE"/>
        </w:rPr>
        <w:t xml:space="preserve">pourraient </w:t>
      </w:r>
      <w:r w:rsidR="00E63D41" w:rsidRPr="00F407AF">
        <w:rPr>
          <w:lang w:val="fr-BE"/>
        </w:rPr>
        <w:t xml:space="preserve">avoir une incidence concrète </w:t>
      </w:r>
      <w:r w:rsidRPr="00F407AF">
        <w:rPr>
          <w:lang w:val="fr-BE"/>
        </w:rPr>
        <w:t xml:space="preserve">sur les services d'accès à l'internet </w:t>
      </w:r>
      <w:r w:rsidR="00605CDC" w:rsidRPr="00F407AF">
        <w:rPr>
          <w:lang w:val="fr-BE"/>
        </w:rPr>
        <w:t xml:space="preserve">fournis à cet </w:t>
      </w:r>
      <w:r w:rsidRPr="00F407AF">
        <w:rPr>
          <w:lang w:val="fr-BE"/>
        </w:rPr>
        <w:t>utilisateur final;</w:t>
      </w:r>
    </w:p>
    <w:p w:rsidR="00EE7F32" w:rsidRPr="00F407AF" w:rsidRDefault="00EE7F32" w:rsidP="00F407AF">
      <w:pPr>
        <w:pStyle w:val="Point1"/>
        <w:rPr>
          <w:lang w:val="fr-BE"/>
        </w:rPr>
      </w:pPr>
      <w:r w:rsidRPr="00F407AF">
        <w:rPr>
          <w:lang w:val="fr-BE"/>
        </w:rPr>
        <w:t>d)</w:t>
      </w:r>
      <w:r w:rsidRPr="00F407AF">
        <w:rPr>
          <w:lang w:val="fr-BE"/>
        </w:rPr>
        <w:tab/>
        <w:t>une explication claire et compréhensible, pour les réseaux fixes, en ce qui concerne le débit minimal, normalement disponible, maximal et annoncé pour le téléchargement descendant et ascendant de</w:t>
      </w:r>
      <w:r w:rsidR="00E63D41" w:rsidRPr="00F407AF">
        <w:rPr>
          <w:lang w:val="fr-BE"/>
        </w:rPr>
        <w:t>s</w:t>
      </w:r>
      <w:r w:rsidRPr="00F407AF">
        <w:rPr>
          <w:lang w:val="fr-BE"/>
        </w:rPr>
        <w:t xml:space="preserve"> services d'accès à l'internet ou, dans le cas des réseaux mobiles, le débit maximal estimé et annoncé pour le téléchargement descendant et ascendant de</w:t>
      </w:r>
      <w:r w:rsidR="00E63D41" w:rsidRPr="00F407AF">
        <w:rPr>
          <w:lang w:val="fr-BE"/>
        </w:rPr>
        <w:t>s</w:t>
      </w:r>
      <w:r w:rsidRPr="00F407AF">
        <w:rPr>
          <w:lang w:val="fr-BE"/>
        </w:rPr>
        <w:t xml:space="preserve"> services d'accès à l'internet, ainsi que </w:t>
      </w:r>
      <w:r w:rsidR="00E63D41" w:rsidRPr="00F407AF">
        <w:rPr>
          <w:lang w:val="fr-BE"/>
        </w:rPr>
        <w:t xml:space="preserve">la manière dont </w:t>
      </w:r>
      <w:r w:rsidRPr="00F407AF">
        <w:rPr>
          <w:lang w:val="fr-BE"/>
        </w:rPr>
        <w:t xml:space="preserve">des écarts significatifs par rapport aux débits annoncés de téléchargement descendant et ascendant </w:t>
      </w:r>
      <w:r w:rsidR="00E63D41" w:rsidRPr="00F407AF">
        <w:rPr>
          <w:lang w:val="fr-BE"/>
        </w:rPr>
        <w:t xml:space="preserve">peuvent avoir une incidence </w:t>
      </w:r>
      <w:r w:rsidRPr="00F407AF">
        <w:rPr>
          <w:lang w:val="fr-BE"/>
        </w:rPr>
        <w:t xml:space="preserve">sur </w:t>
      </w:r>
      <w:r w:rsidR="00FD06DA" w:rsidRPr="00F407AF">
        <w:rPr>
          <w:lang w:val="fr-BE"/>
        </w:rPr>
        <w:t>l'exercice d</w:t>
      </w:r>
      <w:r w:rsidRPr="00F407AF">
        <w:rPr>
          <w:lang w:val="fr-BE"/>
        </w:rPr>
        <w:t xml:space="preserve">es droits des utilisateurs finals </w:t>
      </w:r>
      <w:r w:rsidR="00B309AA" w:rsidRPr="00F407AF">
        <w:rPr>
          <w:lang w:val="fr-BE"/>
        </w:rPr>
        <w:t xml:space="preserve">énoncés </w:t>
      </w:r>
      <w:r w:rsidRPr="00F407AF">
        <w:rPr>
          <w:lang w:val="fr-BE"/>
        </w:rPr>
        <w:t>à l'article 3, paragraphe 1;</w:t>
      </w:r>
    </w:p>
    <w:p w:rsidR="00EE7F32" w:rsidRPr="00F407AF" w:rsidRDefault="00EE7F32" w:rsidP="00F407AF">
      <w:pPr>
        <w:pStyle w:val="Point1"/>
        <w:rPr>
          <w:lang w:val="fr-BE"/>
        </w:rPr>
      </w:pPr>
      <w:r w:rsidRPr="00F407AF">
        <w:rPr>
          <w:lang w:val="fr-BE"/>
        </w:rPr>
        <w:br w:type="page"/>
      </w:r>
      <w:r w:rsidRPr="00F407AF">
        <w:rPr>
          <w:lang w:val="fr-BE"/>
        </w:rPr>
        <w:lastRenderedPageBreak/>
        <w:t>e)</w:t>
      </w:r>
      <w:r w:rsidRPr="00F407AF">
        <w:rPr>
          <w:lang w:val="fr-BE"/>
        </w:rPr>
        <w:tab/>
        <w:t xml:space="preserve">une explication claire et compréhensible des voies de recours ouvertes </w:t>
      </w:r>
      <w:r w:rsidR="000974DA" w:rsidRPr="00F407AF">
        <w:rPr>
          <w:lang w:val="fr-BE"/>
        </w:rPr>
        <w:t>au consommateur</w:t>
      </w:r>
      <w:r w:rsidRPr="00F407AF">
        <w:rPr>
          <w:lang w:val="fr-BE"/>
        </w:rPr>
        <w:t xml:space="preserve"> conformément </w:t>
      </w:r>
      <w:r w:rsidR="003726FF" w:rsidRPr="00F407AF">
        <w:rPr>
          <w:lang w:val="fr-BE"/>
        </w:rPr>
        <w:t>au droit</w:t>
      </w:r>
      <w:r w:rsidRPr="00F407AF">
        <w:rPr>
          <w:lang w:val="fr-BE"/>
        </w:rPr>
        <w:t xml:space="preserve"> national en cas d'écart permanent ou récurrent entre les performances réelles des services d'accès à l'internet en matière de débit ou d'autres paramètres de qualité de service et les performances indiquées conformément aux points a) à d).</w:t>
      </w:r>
    </w:p>
    <w:p w:rsidR="00EE7F32" w:rsidRPr="00F407AF" w:rsidRDefault="00EE7F32" w:rsidP="00F407AF">
      <w:pPr>
        <w:pStyle w:val="Text1"/>
        <w:rPr>
          <w:lang w:val="fr-BE"/>
        </w:rPr>
      </w:pPr>
      <w:r w:rsidRPr="00F407AF">
        <w:rPr>
          <w:lang w:val="fr-BE"/>
        </w:rPr>
        <w:t>Les fournisseurs de services d'accès à l'internet publient les informations visées au premier alinéa.</w:t>
      </w:r>
    </w:p>
    <w:p w:rsidR="0041755A" w:rsidRPr="00F407AF" w:rsidRDefault="00F407AF" w:rsidP="00F407AF">
      <w:pPr>
        <w:pStyle w:val="ManualNumPar1"/>
        <w:rPr>
          <w:lang w:val="fr-BE"/>
        </w:rPr>
      </w:pPr>
      <w:r w:rsidRPr="00F407AF">
        <w:rPr>
          <w:lang w:val="fr-BE"/>
        </w:rPr>
        <w:t>2.</w:t>
      </w:r>
      <w:r w:rsidR="00E63D41" w:rsidRPr="00F407AF">
        <w:rPr>
          <w:lang w:val="fr-BE"/>
        </w:rPr>
        <w:tab/>
      </w:r>
      <w:r w:rsidR="0041755A" w:rsidRPr="00F407AF">
        <w:rPr>
          <w:lang w:val="fr-BE"/>
        </w:rPr>
        <w:t xml:space="preserve">Les fournisseurs de services d'accès à l'internet établissent des procédures transparentes, simples et efficaces pour traiter les réclamations des utilisateurs finals concernant les droits et les obligations </w:t>
      </w:r>
      <w:r w:rsidR="003726FF" w:rsidRPr="00F407AF">
        <w:rPr>
          <w:lang w:val="fr-BE"/>
        </w:rPr>
        <w:t>énoncés</w:t>
      </w:r>
      <w:r w:rsidR="0041755A" w:rsidRPr="00F407AF">
        <w:rPr>
          <w:lang w:val="fr-BE"/>
        </w:rPr>
        <w:t xml:space="preserve"> à l'article 3 et au paragraphe 1 du présent article.</w:t>
      </w:r>
    </w:p>
    <w:p w:rsidR="00EE7F32" w:rsidRPr="00F407AF" w:rsidRDefault="00EE7F32" w:rsidP="00F407AF">
      <w:pPr>
        <w:pStyle w:val="ManualNumPar1"/>
        <w:rPr>
          <w:lang w:val="fr-BE"/>
        </w:rPr>
      </w:pPr>
      <w:r w:rsidRPr="00F407AF">
        <w:rPr>
          <w:lang w:val="fr-BE"/>
        </w:rPr>
        <w:t>3.</w:t>
      </w:r>
      <w:r w:rsidRPr="00F407AF">
        <w:rPr>
          <w:lang w:val="fr-BE"/>
        </w:rPr>
        <w:tab/>
        <w:t xml:space="preserve">Les exigences </w:t>
      </w:r>
      <w:r w:rsidR="00E63D41" w:rsidRPr="00F407AF">
        <w:rPr>
          <w:lang w:val="fr-BE"/>
        </w:rPr>
        <w:t xml:space="preserve">prévues </w:t>
      </w:r>
      <w:r w:rsidRPr="00F407AF">
        <w:rPr>
          <w:lang w:val="fr-BE"/>
        </w:rPr>
        <w:t xml:space="preserve">aux paragraphes </w:t>
      </w:r>
      <w:r w:rsidR="00E64950" w:rsidRPr="00F407AF">
        <w:rPr>
          <w:lang w:val="fr-BE"/>
        </w:rPr>
        <w:t>1</w:t>
      </w:r>
      <w:r w:rsidRPr="00F407AF">
        <w:rPr>
          <w:lang w:val="fr-BE"/>
        </w:rPr>
        <w:t xml:space="preserve"> et </w:t>
      </w:r>
      <w:r w:rsidR="00E64950" w:rsidRPr="00F407AF">
        <w:rPr>
          <w:lang w:val="fr-BE"/>
        </w:rPr>
        <w:t>2</w:t>
      </w:r>
      <w:r w:rsidRPr="00F407AF">
        <w:rPr>
          <w:lang w:val="fr-BE"/>
        </w:rPr>
        <w:t xml:space="preserve"> s'ajoutent à celles prévues par la directive 2002/22/CE</w:t>
      </w:r>
      <w:r w:rsidR="002634F4" w:rsidRPr="00F407AF">
        <w:rPr>
          <w:lang w:val="fr-BE"/>
        </w:rPr>
        <w:t xml:space="preserve"> </w:t>
      </w:r>
      <w:r w:rsidRPr="00F407AF">
        <w:rPr>
          <w:lang w:val="fr-BE"/>
        </w:rPr>
        <w:t xml:space="preserve">et </w:t>
      </w:r>
      <w:r w:rsidR="00E63D41" w:rsidRPr="00F407AF">
        <w:rPr>
          <w:lang w:val="fr-BE"/>
        </w:rPr>
        <w:t>n</w:t>
      </w:r>
      <w:r w:rsidR="00F407AF" w:rsidRPr="00F407AF">
        <w:rPr>
          <w:lang w:val="fr-BE"/>
        </w:rPr>
        <w:t>'</w:t>
      </w:r>
      <w:r w:rsidR="00E63D41" w:rsidRPr="00F407AF">
        <w:rPr>
          <w:lang w:val="fr-BE"/>
        </w:rPr>
        <w:t xml:space="preserve">empêchent </w:t>
      </w:r>
      <w:r w:rsidRPr="00F407AF">
        <w:rPr>
          <w:lang w:val="fr-BE"/>
        </w:rPr>
        <w:t xml:space="preserve">pas </w:t>
      </w:r>
      <w:r w:rsidR="00E63D41" w:rsidRPr="00F407AF">
        <w:rPr>
          <w:lang w:val="fr-BE"/>
        </w:rPr>
        <w:t>les</w:t>
      </w:r>
      <w:r w:rsidRPr="00F407AF">
        <w:rPr>
          <w:lang w:val="fr-BE"/>
        </w:rPr>
        <w:t xml:space="preserve"> États membres de maintenir ou d'instaurer des exigences supplémentaires en matière de surveillance, d'information et de transparence, y compris </w:t>
      </w:r>
      <w:r w:rsidR="002634F4" w:rsidRPr="00F407AF">
        <w:rPr>
          <w:lang w:val="fr-BE"/>
        </w:rPr>
        <w:t>celles</w:t>
      </w:r>
      <w:r w:rsidRPr="00F407AF">
        <w:rPr>
          <w:lang w:val="fr-BE"/>
        </w:rPr>
        <w:t xml:space="preserve"> qui concerne</w:t>
      </w:r>
      <w:r w:rsidR="002634F4" w:rsidRPr="00F407AF">
        <w:rPr>
          <w:lang w:val="fr-BE"/>
        </w:rPr>
        <w:t>nt</w:t>
      </w:r>
      <w:r w:rsidRPr="00F407AF">
        <w:rPr>
          <w:lang w:val="fr-BE"/>
        </w:rPr>
        <w:t xml:space="preserve"> le contenu, la forme et </w:t>
      </w:r>
      <w:r w:rsidR="00A42224" w:rsidRPr="00F407AF">
        <w:rPr>
          <w:lang w:val="fr-BE"/>
        </w:rPr>
        <w:t>la méthode de publication</w:t>
      </w:r>
      <w:r w:rsidRPr="00F407AF">
        <w:rPr>
          <w:lang w:val="fr-BE"/>
        </w:rPr>
        <w:t xml:space="preserve"> des informations. Les exigences précitées </w:t>
      </w:r>
      <w:r w:rsidR="00A42224" w:rsidRPr="00F407AF">
        <w:rPr>
          <w:lang w:val="fr-BE"/>
        </w:rPr>
        <w:t>respectent le</w:t>
      </w:r>
      <w:r w:rsidRPr="00F407AF">
        <w:rPr>
          <w:lang w:val="fr-BE"/>
        </w:rPr>
        <w:t xml:space="preserve"> présent règlement et </w:t>
      </w:r>
      <w:r w:rsidR="00A42224" w:rsidRPr="00F407AF">
        <w:rPr>
          <w:lang w:val="fr-BE"/>
        </w:rPr>
        <w:t>les</w:t>
      </w:r>
      <w:r w:rsidRPr="00F407AF">
        <w:rPr>
          <w:lang w:val="fr-BE"/>
        </w:rPr>
        <w:t xml:space="preserve"> dispositions pertinentes de</w:t>
      </w:r>
      <w:r w:rsidR="002634F4" w:rsidRPr="00F407AF">
        <w:rPr>
          <w:lang w:val="fr-BE"/>
        </w:rPr>
        <w:t>s</w:t>
      </w:r>
      <w:r w:rsidRPr="00F407AF">
        <w:rPr>
          <w:lang w:val="fr-BE"/>
        </w:rPr>
        <w:t xml:space="preserve"> directive</w:t>
      </w:r>
      <w:r w:rsidR="002634F4" w:rsidRPr="00F407AF">
        <w:rPr>
          <w:lang w:val="fr-BE"/>
        </w:rPr>
        <w:t>s</w:t>
      </w:r>
      <w:r w:rsidR="00F407AF">
        <w:rPr>
          <w:lang w:val="fr-BE"/>
        </w:rPr>
        <w:t xml:space="preserve"> 2002/21/CE et </w:t>
      </w:r>
      <w:r w:rsidRPr="00F407AF">
        <w:rPr>
          <w:lang w:val="fr-BE"/>
        </w:rPr>
        <w:t>2002/22/CE.</w:t>
      </w:r>
    </w:p>
    <w:p w:rsidR="000974DA" w:rsidRPr="00F407AF" w:rsidRDefault="00F407AF" w:rsidP="00F407AF">
      <w:pPr>
        <w:pStyle w:val="ManualNumPar1"/>
        <w:rPr>
          <w:lang w:val="fr-BE"/>
        </w:rPr>
      </w:pPr>
      <w:r>
        <w:rPr>
          <w:lang w:val="fr-BE"/>
        </w:rPr>
        <w:br w:type="page"/>
      </w:r>
      <w:r w:rsidR="0041755A" w:rsidRPr="00F407AF">
        <w:rPr>
          <w:lang w:val="fr-BE"/>
        </w:rPr>
        <w:lastRenderedPageBreak/>
        <w:t>4</w:t>
      </w:r>
      <w:r w:rsidR="00EE7F32" w:rsidRPr="00F407AF">
        <w:rPr>
          <w:lang w:val="fr-BE"/>
        </w:rPr>
        <w:t>.</w:t>
      </w:r>
      <w:r w:rsidR="00EE7F32" w:rsidRPr="00F407AF">
        <w:rPr>
          <w:lang w:val="fr-BE"/>
        </w:rPr>
        <w:tab/>
      </w:r>
      <w:r w:rsidR="00A42224" w:rsidRPr="00F407AF">
        <w:rPr>
          <w:lang w:val="fr-BE"/>
        </w:rPr>
        <w:t xml:space="preserve">Tout </w:t>
      </w:r>
      <w:r w:rsidR="00EE7F32" w:rsidRPr="00F407AF">
        <w:rPr>
          <w:lang w:val="fr-BE"/>
        </w:rPr>
        <w:t xml:space="preserve">écart significatif, permanent ou récurrent, entre les performances réelles </w:t>
      </w:r>
      <w:r w:rsidR="009749AC" w:rsidRPr="00F407AF">
        <w:rPr>
          <w:lang w:val="fr-BE"/>
        </w:rPr>
        <w:t xml:space="preserve">des services d'accès à </w:t>
      </w:r>
      <w:r w:rsidR="00254D1F" w:rsidRPr="00F407AF">
        <w:rPr>
          <w:lang w:val="fr-BE"/>
        </w:rPr>
        <w:t>l'</w:t>
      </w:r>
      <w:r w:rsidR="009749AC" w:rsidRPr="00F407AF">
        <w:rPr>
          <w:lang w:val="fr-BE"/>
        </w:rPr>
        <w:t xml:space="preserve">internet </w:t>
      </w:r>
      <w:r w:rsidR="00EE7F32" w:rsidRPr="00F407AF">
        <w:rPr>
          <w:lang w:val="fr-BE"/>
        </w:rPr>
        <w:t xml:space="preserve">en matière de débit ou d'autres paramètres de qualité de service et les performances indiquées par le fournisseur de </w:t>
      </w:r>
      <w:r w:rsidR="009749AC" w:rsidRPr="00F407AF">
        <w:rPr>
          <w:lang w:val="fr-BE"/>
        </w:rPr>
        <w:t xml:space="preserve">services d'accès à </w:t>
      </w:r>
      <w:r w:rsidR="00254D1F" w:rsidRPr="00F407AF">
        <w:rPr>
          <w:lang w:val="fr-BE"/>
        </w:rPr>
        <w:t>l'</w:t>
      </w:r>
      <w:r w:rsidR="009749AC" w:rsidRPr="00F407AF">
        <w:rPr>
          <w:lang w:val="fr-BE"/>
        </w:rPr>
        <w:t xml:space="preserve">internet </w:t>
      </w:r>
      <w:r w:rsidR="00EE7F32" w:rsidRPr="00F407AF">
        <w:rPr>
          <w:lang w:val="fr-BE"/>
        </w:rPr>
        <w:t xml:space="preserve">conformément </w:t>
      </w:r>
      <w:r w:rsidR="009749AC" w:rsidRPr="00F407AF">
        <w:rPr>
          <w:lang w:val="fr-BE"/>
        </w:rPr>
        <w:t>aux points a) à d) du</w:t>
      </w:r>
      <w:r w:rsidR="00EE7F32" w:rsidRPr="00F407AF">
        <w:rPr>
          <w:lang w:val="fr-BE"/>
        </w:rPr>
        <w:t xml:space="preserve"> paragraphe </w:t>
      </w:r>
      <w:r w:rsidR="009749AC" w:rsidRPr="00F407AF">
        <w:rPr>
          <w:lang w:val="fr-BE"/>
        </w:rPr>
        <w:t>1</w:t>
      </w:r>
      <w:r w:rsidR="00EE7F32" w:rsidRPr="00F407AF">
        <w:rPr>
          <w:lang w:val="fr-BE"/>
        </w:rPr>
        <w:t xml:space="preserve">, </w:t>
      </w:r>
      <w:r w:rsidR="00A42224" w:rsidRPr="00F407AF">
        <w:rPr>
          <w:lang w:val="fr-BE"/>
        </w:rPr>
        <w:t xml:space="preserve">est, </w:t>
      </w:r>
      <w:r w:rsidR="00EE7F32" w:rsidRPr="00F407AF">
        <w:rPr>
          <w:lang w:val="fr-BE"/>
        </w:rPr>
        <w:t xml:space="preserve">lorsque les faits </w:t>
      </w:r>
      <w:r w:rsidR="00A42224" w:rsidRPr="00F407AF">
        <w:rPr>
          <w:lang w:val="fr-BE"/>
        </w:rPr>
        <w:t xml:space="preserve">pertinents </w:t>
      </w:r>
      <w:r w:rsidR="00EE7F32" w:rsidRPr="00F407AF">
        <w:rPr>
          <w:lang w:val="fr-BE"/>
        </w:rPr>
        <w:t xml:space="preserve">sont établis par un mécanisme de surveillance agréé par l'autorité réglementaire nationale, </w:t>
      </w:r>
      <w:r w:rsidR="00A42224" w:rsidRPr="00F407AF">
        <w:rPr>
          <w:lang w:val="fr-BE"/>
        </w:rPr>
        <w:t>réputé constituer une performance</w:t>
      </w:r>
      <w:r w:rsidR="00EE7F32" w:rsidRPr="00F407AF">
        <w:rPr>
          <w:lang w:val="fr-BE"/>
        </w:rPr>
        <w:t xml:space="preserve"> non conforme, aux fins </w:t>
      </w:r>
      <w:r w:rsidR="007554B4" w:rsidRPr="00F407AF">
        <w:rPr>
          <w:lang w:val="fr-BE"/>
        </w:rPr>
        <w:t>du déclenchement</w:t>
      </w:r>
      <w:r w:rsidR="00EE7F32" w:rsidRPr="00F407AF">
        <w:rPr>
          <w:lang w:val="fr-BE"/>
        </w:rPr>
        <w:t xml:space="preserve"> des voies de recours ouvertes </w:t>
      </w:r>
      <w:r w:rsidR="000974DA" w:rsidRPr="00F407AF">
        <w:rPr>
          <w:lang w:val="fr-BE"/>
        </w:rPr>
        <w:t xml:space="preserve">au consommateur </w:t>
      </w:r>
      <w:r w:rsidR="00EE7F32" w:rsidRPr="00F407AF">
        <w:rPr>
          <w:lang w:val="fr-BE"/>
        </w:rPr>
        <w:t>conformément au droit national.</w:t>
      </w:r>
    </w:p>
    <w:p w:rsidR="00C169B1" w:rsidRPr="00F407AF" w:rsidRDefault="00EE7F32" w:rsidP="00F407AF">
      <w:pPr>
        <w:pStyle w:val="Text1"/>
        <w:rPr>
          <w:lang w:val="fr-BE"/>
        </w:rPr>
      </w:pPr>
      <w:r w:rsidRPr="00F407AF">
        <w:rPr>
          <w:lang w:val="fr-BE"/>
        </w:rPr>
        <w:t xml:space="preserve">Le présent paragraphe </w:t>
      </w:r>
      <w:r w:rsidR="00A42224" w:rsidRPr="00F407AF">
        <w:rPr>
          <w:lang w:val="fr-BE"/>
        </w:rPr>
        <w:t xml:space="preserve">ne </w:t>
      </w:r>
      <w:r w:rsidRPr="00F407AF">
        <w:rPr>
          <w:lang w:val="fr-BE"/>
        </w:rPr>
        <w:t xml:space="preserve">s'applique </w:t>
      </w:r>
      <w:r w:rsidR="00A42224" w:rsidRPr="00F407AF">
        <w:rPr>
          <w:lang w:val="fr-BE"/>
        </w:rPr>
        <w:t>qu</w:t>
      </w:r>
      <w:r w:rsidR="00F407AF" w:rsidRPr="00F407AF">
        <w:rPr>
          <w:lang w:val="fr-BE"/>
        </w:rPr>
        <w:t>'</w:t>
      </w:r>
      <w:r w:rsidRPr="00F407AF">
        <w:rPr>
          <w:lang w:val="fr-BE"/>
        </w:rPr>
        <w:t xml:space="preserve">aux contrats conclus ou reconduits </w:t>
      </w:r>
      <w:r w:rsidR="009749AC" w:rsidRPr="00F407AF">
        <w:rPr>
          <w:lang w:val="fr-BE"/>
        </w:rPr>
        <w:t>à partir d</w:t>
      </w:r>
      <w:r w:rsidR="00254D1F" w:rsidRPr="00F407AF">
        <w:rPr>
          <w:lang w:val="fr-BE"/>
        </w:rPr>
        <w:t>u</w:t>
      </w:r>
      <w:r w:rsidR="00F407AF" w:rsidRPr="00F407AF">
        <w:rPr>
          <w:lang w:val="fr-BE"/>
        </w:rPr>
        <w:t xml:space="preserve"> </w:t>
      </w:r>
      <w:r w:rsidR="00254D1F" w:rsidRPr="00F407AF">
        <w:rPr>
          <w:lang w:val="fr-BE"/>
        </w:rPr>
        <w:t>…</w:t>
      </w:r>
      <w:r w:rsidR="009749AC" w:rsidRPr="00481C3F">
        <w:rPr>
          <w:b/>
          <w:bCs/>
          <w:vertAlign w:val="superscript"/>
          <w:lang w:val="fr-BE"/>
        </w:rPr>
        <w:footnoteReference w:customMarkFollows="1" w:id="12"/>
        <w:t>*</w:t>
      </w:r>
      <w:r w:rsidR="00254D1F" w:rsidRPr="00F407AF">
        <w:rPr>
          <w:lang w:val="fr-BE"/>
        </w:rPr>
        <w:t>.</w:t>
      </w:r>
    </w:p>
    <w:p w:rsidR="00474EA6" w:rsidRPr="00543B6E" w:rsidRDefault="00F407AF" w:rsidP="00F407AF">
      <w:pPr>
        <w:pStyle w:val="Titrearticle"/>
        <w:rPr>
          <w:bCs/>
          <w:iCs/>
          <w:lang w:val="fr-BE"/>
        </w:rPr>
      </w:pPr>
      <w:r>
        <w:rPr>
          <w:lang w:val="fr-BE"/>
        </w:rPr>
        <w:t>Article 5</w:t>
      </w:r>
      <w:r>
        <w:rPr>
          <w:lang w:val="fr-BE"/>
        </w:rPr>
        <w:br/>
      </w:r>
      <w:r w:rsidR="00474EA6" w:rsidRPr="00543B6E">
        <w:rPr>
          <w:lang w:val="fr-BE"/>
        </w:rPr>
        <w:t xml:space="preserve">Surveillance et </w:t>
      </w:r>
      <w:r w:rsidR="00EF5A97" w:rsidRPr="00543B6E">
        <w:rPr>
          <w:lang w:val="fr-BE"/>
        </w:rPr>
        <w:t>exécution</w:t>
      </w:r>
    </w:p>
    <w:p w:rsidR="00EF5A97" w:rsidRPr="00F407AF" w:rsidRDefault="00474EA6" w:rsidP="002D7C87">
      <w:pPr>
        <w:pStyle w:val="ManualNumPar1"/>
        <w:rPr>
          <w:lang w:val="fr-BE"/>
        </w:rPr>
      </w:pPr>
      <w:r w:rsidRPr="00F407AF">
        <w:rPr>
          <w:lang w:val="fr-BE"/>
        </w:rPr>
        <w:t>1</w:t>
      </w:r>
      <w:r w:rsidR="00EF5A97" w:rsidRPr="00F407AF">
        <w:rPr>
          <w:lang w:val="fr-BE"/>
        </w:rPr>
        <w:t>.</w:t>
      </w:r>
      <w:r w:rsidR="005317CC" w:rsidRPr="00F407AF">
        <w:rPr>
          <w:lang w:val="fr-BE"/>
        </w:rPr>
        <w:tab/>
      </w:r>
      <w:r w:rsidRPr="00F407AF">
        <w:rPr>
          <w:lang w:val="fr-BE"/>
        </w:rPr>
        <w:t xml:space="preserve">Les autorités réglementaires nationales surveillent étroitement et </w:t>
      </w:r>
      <w:r w:rsidR="005317CC" w:rsidRPr="00F407AF">
        <w:rPr>
          <w:lang w:val="fr-BE"/>
        </w:rPr>
        <w:t>veillent au respect des</w:t>
      </w:r>
      <w:r w:rsidRPr="00F407AF">
        <w:rPr>
          <w:lang w:val="fr-BE"/>
        </w:rPr>
        <w:t xml:space="preserve"> articles 3 et 4, et encouragent </w:t>
      </w:r>
      <w:r w:rsidR="005317CC" w:rsidRPr="00F407AF">
        <w:rPr>
          <w:lang w:val="fr-BE"/>
        </w:rPr>
        <w:t>la disponibilité permanente</w:t>
      </w:r>
      <w:r w:rsidRPr="00F407AF">
        <w:rPr>
          <w:lang w:val="fr-BE"/>
        </w:rPr>
        <w:t xml:space="preserve"> </w:t>
      </w:r>
      <w:r w:rsidR="00254D1F" w:rsidRPr="00F407AF">
        <w:rPr>
          <w:lang w:val="fr-BE"/>
        </w:rPr>
        <w:t>de services d'</w:t>
      </w:r>
      <w:r w:rsidRPr="00F407AF">
        <w:rPr>
          <w:lang w:val="fr-BE"/>
        </w:rPr>
        <w:t>accès à l'internet non discriminatoire</w:t>
      </w:r>
      <w:r w:rsidR="005317CC" w:rsidRPr="00F407AF">
        <w:rPr>
          <w:lang w:val="fr-BE"/>
        </w:rPr>
        <w:t xml:space="preserve">s </w:t>
      </w:r>
      <w:r w:rsidRPr="00F407AF">
        <w:rPr>
          <w:lang w:val="fr-BE"/>
        </w:rPr>
        <w:t xml:space="preserve">à des niveaux de qualité qui correspondent à l'état </w:t>
      </w:r>
      <w:r w:rsidR="005317CC" w:rsidRPr="00F407AF">
        <w:rPr>
          <w:lang w:val="fr-BE"/>
        </w:rPr>
        <w:t>d</w:t>
      </w:r>
      <w:r w:rsidR="00F407AF" w:rsidRPr="00F407AF">
        <w:rPr>
          <w:lang w:val="fr-BE"/>
        </w:rPr>
        <w:t>'</w:t>
      </w:r>
      <w:r w:rsidR="005317CC" w:rsidRPr="00F407AF">
        <w:rPr>
          <w:lang w:val="fr-BE"/>
        </w:rPr>
        <w:t xml:space="preserve">avancement </w:t>
      </w:r>
      <w:r w:rsidR="00F407AF">
        <w:rPr>
          <w:lang w:val="fr-BE"/>
        </w:rPr>
        <w:t xml:space="preserve">des technologies. À </w:t>
      </w:r>
      <w:r w:rsidRPr="00F407AF">
        <w:rPr>
          <w:lang w:val="fr-BE"/>
        </w:rPr>
        <w:t xml:space="preserve">cette fin, les autorités réglementaires nationales peuvent imposer des exigences concernant des caractéristiques techniques, des exigences minimales de qualité du service et d'autres mesures </w:t>
      </w:r>
      <w:r w:rsidR="002D7C87" w:rsidRPr="00F407AF">
        <w:rPr>
          <w:lang w:val="fr-BE"/>
        </w:rPr>
        <w:t xml:space="preserve">adéquates </w:t>
      </w:r>
      <w:r w:rsidRPr="00F407AF">
        <w:rPr>
          <w:lang w:val="fr-BE"/>
        </w:rPr>
        <w:t>et nécessaires à un ou plusieurs fournisseurs de communications électroniques au public, y compris les fournisseurs de services d'accès à l'internet.</w:t>
      </w:r>
    </w:p>
    <w:p w:rsidR="00474EA6" w:rsidRPr="00F407AF" w:rsidRDefault="00EF5A97" w:rsidP="00F407AF">
      <w:pPr>
        <w:pStyle w:val="Text1"/>
        <w:rPr>
          <w:lang w:val="fr-BE"/>
        </w:rPr>
      </w:pPr>
      <w:r w:rsidRPr="00F407AF">
        <w:rPr>
          <w:lang w:val="fr-BE"/>
        </w:rPr>
        <w:t>Les autorités réglementaires nationales</w:t>
      </w:r>
      <w:r w:rsidR="00474EA6" w:rsidRPr="00F407AF">
        <w:rPr>
          <w:lang w:val="fr-BE"/>
        </w:rPr>
        <w:t xml:space="preserve"> publient tous les ans des rapports sur la surveillance qu'elles exercent et sur leurs constatations</w:t>
      </w:r>
      <w:r w:rsidR="005317CC" w:rsidRPr="00F407AF">
        <w:rPr>
          <w:lang w:val="fr-BE"/>
        </w:rPr>
        <w:t>,</w:t>
      </w:r>
      <w:r w:rsidR="00474EA6" w:rsidRPr="00F407AF">
        <w:rPr>
          <w:lang w:val="fr-BE"/>
        </w:rPr>
        <w:t xml:space="preserve"> et remettent ces rapports à la Commission et à l'ORECE.</w:t>
      </w:r>
    </w:p>
    <w:p w:rsidR="00474EA6" w:rsidRPr="00F407AF" w:rsidRDefault="00474EA6" w:rsidP="00AD1EE0">
      <w:pPr>
        <w:pStyle w:val="ManualNumPar1"/>
        <w:rPr>
          <w:lang w:val="fr-BE"/>
        </w:rPr>
      </w:pPr>
      <w:r w:rsidRPr="00543B6E">
        <w:rPr>
          <w:lang w:val="fr-BE"/>
        </w:rPr>
        <w:br w:type="page"/>
      </w:r>
      <w:r w:rsidRPr="00F407AF">
        <w:rPr>
          <w:lang w:val="fr-BE"/>
        </w:rPr>
        <w:lastRenderedPageBreak/>
        <w:t>2.</w:t>
      </w:r>
      <w:r w:rsidRPr="00F407AF">
        <w:rPr>
          <w:lang w:val="fr-BE"/>
        </w:rPr>
        <w:tab/>
      </w:r>
      <w:r w:rsidR="005317CC" w:rsidRPr="00F407AF">
        <w:rPr>
          <w:lang w:val="fr-BE"/>
        </w:rPr>
        <w:t>À</w:t>
      </w:r>
      <w:r w:rsidRPr="00F407AF">
        <w:rPr>
          <w:lang w:val="fr-BE"/>
        </w:rPr>
        <w:t xml:space="preserve"> la demande de l'autorité réglementaire nationale, les fournisseurs de communications électroniques au public, y compris les fournisseurs de services d'accès à l'internet, </w:t>
      </w:r>
      <w:r w:rsidR="005317CC" w:rsidRPr="00F407AF">
        <w:rPr>
          <w:lang w:val="fr-BE"/>
        </w:rPr>
        <w:t>mettent à la disposition</w:t>
      </w:r>
      <w:r w:rsidRPr="00F407AF">
        <w:rPr>
          <w:lang w:val="fr-BE"/>
        </w:rPr>
        <w:t xml:space="preserve"> de cette autorité réglementaire nationale, des informations relatives aux obligations énoncées aux articles 3 et 4</w:t>
      </w:r>
      <w:r w:rsidR="005317CC" w:rsidRPr="00F407AF">
        <w:rPr>
          <w:lang w:val="fr-BE"/>
        </w:rPr>
        <w:t>,</w:t>
      </w:r>
      <w:r w:rsidRPr="00F407AF">
        <w:rPr>
          <w:lang w:val="fr-BE"/>
        </w:rPr>
        <w:t xml:space="preserve"> notamment des informations concernant la gestion de la capacité de leur réseau et du trafic ainsi que des justifications de toute mesure de gestion du trafic appliquée. </w:t>
      </w:r>
      <w:r w:rsidR="00DE5909" w:rsidRPr="00F407AF">
        <w:rPr>
          <w:lang w:val="fr-BE"/>
        </w:rPr>
        <w:t>C</w:t>
      </w:r>
      <w:r w:rsidRPr="00F407AF">
        <w:rPr>
          <w:lang w:val="fr-BE"/>
        </w:rPr>
        <w:t xml:space="preserve">es fournisseurs </w:t>
      </w:r>
      <w:r w:rsidR="005317CC" w:rsidRPr="00F407AF">
        <w:rPr>
          <w:lang w:val="fr-BE"/>
        </w:rPr>
        <w:t>fournissent</w:t>
      </w:r>
      <w:r w:rsidRPr="00F407AF">
        <w:rPr>
          <w:lang w:val="fr-BE"/>
        </w:rPr>
        <w:t xml:space="preserve"> les informations </w:t>
      </w:r>
      <w:r w:rsidR="00AD1EE0" w:rsidRPr="00F407AF">
        <w:rPr>
          <w:lang w:val="fr-BE"/>
        </w:rPr>
        <w:t>demandées</w:t>
      </w:r>
      <w:r w:rsidR="005317CC" w:rsidRPr="00F407AF">
        <w:rPr>
          <w:lang w:val="fr-BE"/>
        </w:rPr>
        <w:t xml:space="preserve"> dans les</w:t>
      </w:r>
      <w:r w:rsidR="00AD1EE0" w:rsidRPr="00F407AF">
        <w:rPr>
          <w:lang w:val="fr-BE"/>
        </w:rPr>
        <w:t xml:space="preserve"> </w:t>
      </w:r>
      <w:r w:rsidRPr="00F407AF">
        <w:rPr>
          <w:lang w:val="fr-BE"/>
        </w:rPr>
        <w:t xml:space="preserve">délais et </w:t>
      </w:r>
      <w:r w:rsidR="005317CC" w:rsidRPr="00F407AF">
        <w:rPr>
          <w:lang w:val="fr-BE"/>
        </w:rPr>
        <w:t>selon le</w:t>
      </w:r>
      <w:r w:rsidRPr="00F407AF">
        <w:rPr>
          <w:lang w:val="fr-BE"/>
        </w:rPr>
        <w:t xml:space="preserve"> degré de précision exigés par l'autorité réglementaire nationale.</w:t>
      </w:r>
    </w:p>
    <w:p w:rsidR="00EE7F32" w:rsidRPr="00F407AF" w:rsidRDefault="00474EA6" w:rsidP="00D3584F">
      <w:pPr>
        <w:pStyle w:val="ManualNumPar1"/>
        <w:rPr>
          <w:lang w:val="fr-BE"/>
          <w:specVanish/>
        </w:rPr>
      </w:pPr>
      <w:r w:rsidRPr="00F407AF">
        <w:rPr>
          <w:lang w:val="fr-BE"/>
        </w:rPr>
        <w:t>3</w:t>
      </w:r>
      <w:r w:rsidR="00EE7F32" w:rsidRPr="00F407AF">
        <w:rPr>
          <w:lang w:val="fr-BE"/>
        </w:rPr>
        <w:t>.</w:t>
      </w:r>
      <w:r w:rsidR="00EE7F32" w:rsidRPr="00F407AF">
        <w:rPr>
          <w:lang w:val="fr-BE"/>
        </w:rPr>
        <w:tab/>
      </w:r>
      <w:r w:rsidR="00D3584F" w:rsidRPr="00F407AF">
        <w:rPr>
          <w:lang w:val="fr-BE"/>
        </w:rPr>
        <w:t>Au plus tard</w:t>
      </w:r>
      <w:r w:rsidR="00E213C5" w:rsidRPr="00F407AF">
        <w:rPr>
          <w:lang w:val="fr-BE"/>
        </w:rPr>
        <w:t xml:space="preserve"> le</w:t>
      </w:r>
      <w:r w:rsidR="00F407AF">
        <w:rPr>
          <w:lang w:val="fr-BE"/>
        </w:rPr>
        <w:t xml:space="preserve"> </w:t>
      </w:r>
      <w:r w:rsidR="00D3584F" w:rsidRPr="00F407AF">
        <w:rPr>
          <w:lang w:val="fr-BE"/>
        </w:rPr>
        <w:t>…</w:t>
      </w:r>
      <w:r w:rsidR="00E213C5" w:rsidRPr="00F407AF">
        <w:rPr>
          <w:b/>
          <w:bCs/>
          <w:vertAlign w:val="superscript"/>
          <w:lang w:val="fr-BE"/>
        </w:rPr>
        <w:footnoteReference w:customMarkFollows="1" w:id="13"/>
        <w:t>*</w:t>
      </w:r>
      <w:r w:rsidR="00EE7F32" w:rsidRPr="00F407AF">
        <w:rPr>
          <w:lang w:val="fr-BE"/>
        </w:rPr>
        <w:t xml:space="preserve">, afin de contribuer à l'application cohérente </w:t>
      </w:r>
      <w:r w:rsidR="00D3584F" w:rsidRPr="00F407AF">
        <w:rPr>
          <w:lang w:val="fr-BE"/>
        </w:rPr>
        <w:t>du présent règlement</w:t>
      </w:r>
      <w:r w:rsidR="00EE7F32" w:rsidRPr="00F407AF">
        <w:rPr>
          <w:lang w:val="fr-BE"/>
        </w:rPr>
        <w:t xml:space="preserve">, l'ORECE </w:t>
      </w:r>
      <w:r w:rsidR="00D3584F" w:rsidRPr="00F407AF">
        <w:rPr>
          <w:lang w:val="fr-BE"/>
        </w:rPr>
        <w:t>émet</w:t>
      </w:r>
      <w:r w:rsidR="00EE7F32" w:rsidRPr="00F407AF">
        <w:rPr>
          <w:lang w:val="fr-BE"/>
        </w:rPr>
        <w:t>, après consultation des parties intéressées et en étroite coopération avec la Commission, des lignes directrices pour la mise en œuvre des obligations incombant aux autorités réglementaires nationales en vertu du présent article.</w:t>
      </w:r>
    </w:p>
    <w:p w:rsidR="00EE7F32" w:rsidRPr="00F407AF" w:rsidRDefault="00474EA6" w:rsidP="00D3584F">
      <w:pPr>
        <w:pStyle w:val="ManualNumPar1"/>
        <w:rPr>
          <w:lang w:val="fr-BE"/>
        </w:rPr>
      </w:pPr>
      <w:r w:rsidRPr="00F407AF">
        <w:rPr>
          <w:lang w:val="fr-BE"/>
        </w:rPr>
        <w:t>4</w:t>
      </w:r>
      <w:r w:rsidR="00EE7F32" w:rsidRPr="00F407AF">
        <w:rPr>
          <w:lang w:val="fr-BE"/>
        </w:rPr>
        <w:t>.</w:t>
      </w:r>
      <w:r w:rsidR="00EE7F32" w:rsidRPr="00F407AF">
        <w:rPr>
          <w:lang w:val="fr-BE"/>
        </w:rPr>
        <w:tab/>
        <w:t xml:space="preserve">Le présent article s'entend sans préjudice des missions confiées </w:t>
      </w:r>
      <w:r w:rsidR="002748C1" w:rsidRPr="00F407AF">
        <w:rPr>
          <w:lang w:val="fr-BE"/>
        </w:rPr>
        <w:t xml:space="preserve">par les États membres </w:t>
      </w:r>
      <w:r w:rsidR="00D3584F" w:rsidRPr="00F407AF">
        <w:rPr>
          <w:lang w:val="fr-BE"/>
        </w:rPr>
        <w:t xml:space="preserve">aux </w:t>
      </w:r>
      <w:r w:rsidR="00EE7F32" w:rsidRPr="00F407AF">
        <w:rPr>
          <w:lang w:val="fr-BE"/>
        </w:rPr>
        <w:t>autorité</w:t>
      </w:r>
      <w:r w:rsidR="00506A07" w:rsidRPr="00F407AF">
        <w:rPr>
          <w:lang w:val="fr-BE"/>
        </w:rPr>
        <w:t>s réglementaires nationales</w:t>
      </w:r>
      <w:r w:rsidR="00EE7F32" w:rsidRPr="00F407AF">
        <w:rPr>
          <w:lang w:val="fr-BE"/>
        </w:rPr>
        <w:t xml:space="preserve"> ou à d'autres autorités compétentes </w:t>
      </w:r>
      <w:r w:rsidR="00D3584F" w:rsidRPr="00F407AF">
        <w:rPr>
          <w:lang w:val="fr-BE"/>
        </w:rPr>
        <w:t>conformément au</w:t>
      </w:r>
      <w:r w:rsidR="00EE7F32" w:rsidRPr="00F407AF">
        <w:rPr>
          <w:lang w:val="fr-BE"/>
        </w:rPr>
        <w:t xml:space="preserve"> droit de l'U</w:t>
      </w:r>
      <w:r w:rsidR="000F715D" w:rsidRPr="00F407AF">
        <w:rPr>
          <w:lang w:val="fr-BE"/>
        </w:rPr>
        <w:t>nion</w:t>
      </w:r>
      <w:r w:rsidR="00EE7F32" w:rsidRPr="00F407AF">
        <w:rPr>
          <w:lang w:val="fr-BE"/>
        </w:rPr>
        <w:t>.</w:t>
      </w:r>
    </w:p>
    <w:p w:rsidR="00EE7F32" w:rsidRPr="00CF3546" w:rsidRDefault="00EE7F32" w:rsidP="00F407AF">
      <w:pPr>
        <w:pStyle w:val="Titrearticle"/>
        <w:rPr>
          <w:lang w:val="fr-BE"/>
        </w:rPr>
      </w:pPr>
      <w:r w:rsidRPr="00CF3546">
        <w:rPr>
          <w:lang w:val="fr-BE"/>
        </w:rPr>
        <w:t xml:space="preserve">Article </w:t>
      </w:r>
      <w:r w:rsidR="00474EA6" w:rsidRPr="00CF3546">
        <w:rPr>
          <w:lang w:val="fr-BE"/>
        </w:rPr>
        <w:t>6</w:t>
      </w:r>
      <w:r w:rsidR="00F407AF" w:rsidRPr="00CF3546">
        <w:rPr>
          <w:lang w:val="fr-BE"/>
        </w:rPr>
        <w:br/>
      </w:r>
      <w:r w:rsidRPr="00CF3546">
        <w:rPr>
          <w:lang w:val="fr-BE"/>
        </w:rPr>
        <w:t>Sanctions</w:t>
      </w:r>
    </w:p>
    <w:p w:rsidR="00EE7F32" w:rsidRPr="00F407AF" w:rsidRDefault="00EE7F32" w:rsidP="00F407AF">
      <w:pPr>
        <w:rPr>
          <w:lang w:val="fr-BE"/>
        </w:rPr>
      </w:pPr>
      <w:r w:rsidRPr="00F407AF">
        <w:rPr>
          <w:lang w:val="fr-BE"/>
        </w:rPr>
        <w:t>Les États membres déterminent le régime des sanctions applicables aux violations des articles 3</w:t>
      </w:r>
      <w:r w:rsidR="00495962" w:rsidRPr="00F407AF">
        <w:rPr>
          <w:lang w:val="fr-BE"/>
        </w:rPr>
        <w:t>, 4</w:t>
      </w:r>
      <w:r w:rsidRPr="00F407AF">
        <w:rPr>
          <w:lang w:val="fr-BE"/>
        </w:rPr>
        <w:t xml:space="preserve"> et </w:t>
      </w:r>
      <w:r w:rsidR="00495962" w:rsidRPr="00F407AF">
        <w:rPr>
          <w:lang w:val="fr-BE"/>
        </w:rPr>
        <w:t>5</w:t>
      </w:r>
      <w:r w:rsidRPr="00F407AF">
        <w:rPr>
          <w:lang w:val="fr-BE"/>
        </w:rPr>
        <w:t xml:space="preserve"> et prennent toute mesure nécessaire pour assurer la mise en œuvre de celles-ci. Les sanctions ainsi prévues doivent être effectives, proportionnées et dissuasives. Les États membres notifient ces </w:t>
      </w:r>
      <w:r w:rsidR="00E72929" w:rsidRPr="00F407AF">
        <w:rPr>
          <w:lang w:val="fr-BE"/>
        </w:rPr>
        <w:t>règles et mesures</w:t>
      </w:r>
      <w:r w:rsidRPr="00F407AF">
        <w:rPr>
          <w:lang w:val="fr-BE"/>
        </w:rPr>
        <w:t xml:space="preserve"> à la Commission au plus tard le 30 avril 2016 et toute modification ultérieure les concernant dans les meilleurs délais.</w:t>
      </w:r>
    </w:p>
    <w:p w:rsidR="00EE7F32" w:rsidRPr="00F407AF" w:rsidRDefault="00EE7F32" w:rsidP="00F407AF">
      <w:pPr>
        <w:pStyle w:val="Titrearticle"/>
        <w:rPr>
          <w:lang w:val="fr-BE"/>
        </w:rPr>
      </w:pPr>
      <w:r w:rsidRPr="00F407AF">
        <w:rPr>
          <w:lang w:val="fr-BE"/>
        </w:rPr>
        <w:br w:type="page"/>
      </w:r>
      <w:r w:rsidRPr="00F407AF">
        <w:rPr>
          <w:lang w:val="fr-BE"/>
        </w:rPr>
        <w:lastRenderedPageBreak/>
        <w:t xml:space="preserve">Article </w:t>
      </w:r>
      <w:r w:rsidR="00E72929" w:rsidRPr="00F407AF">
        <w:rPr>
          <w:lang w:val="fr-BE"/>
        </w:rPr>
        <w:t>7</w:t>
      </w:r>
      <w:r w:rsidR="00F407AF" w:rsidRPr="00F407AF">
        <w:rPr>
          <w:lang w:val="fr-BE"/>
        </w:rPr>
        <w:br/>
      </w:r>
      <w:r w:rsidRPr="00F407AF">
        <w:rPr>
          <w:lang w:val="fr-BE"/>
        </w:rPr>
        <w:t>Modification</w:t>
      </w:r>
      <w:r w:rsidR="005317CC" w:rsidRPr="00F407AF">
        <w:rPr>
          <w:lang w:val="fr-BE"/>
        </w:rPr>
        <w:t>s</w:t>
      </w:r>
      <w:r w:rsidR="00F407AF" w:rsidRPr="00F407AF">
        <w:rPr>
          <w:lang w:val="fr-BE"/>
        </w:rPr>
        <w:t xml:space="preserve"> du règlement </w:t>
      </w:r>
      <w:r w:rsidRPr="00F407AF">
        <w:rPr>
          <w:lang w:val="fr-BE"/>
        </w:rPr>
        <w:t>(UE) n° 531/2012</w:t>
      </w:r>
    </w:p>
    <w:p w:rsidR="00EE7F32" w:rsidRPr="00F407AF" w:rsidRDefault="00EE7F32" w:rsidP="00D17214">
      <w:pPr>
        <w:rPr>
          <w:lang w:val="fr-BE"/>
        </w:rPr>
      </w:pPr>
      <w:r w:rsidRPr="00F407AF">
        <w:rPr>
          <w:lang w:val="fr-BE"/>
        </w:rPr>
        <w:t>Le règlement (UE) n° 531/2012 est modifié comme suit:</w:t>
      </w:r>
    </w:p>
    <w:p w:rsidR="00EE7F32" w:rsidRPr="00F407AF" w:rsidRDefault="00F407AF" w:rsidP="00F407AF">
      <w:pPr>
        <w:pStyle w:val="Point0"/>
        <w:rPr>
          <w:rFonts w:eastAsia="Calibri"/>
          <w:lang w:val="fr-BE"/>
        </w:rPr>
      </w:pPr>
      <w:r w:rsidRPr="00F407AF">
        <w:rPr>
          <w:lang w:val="fr-BE"/>
        </w:rPr>
        <w:t>1)</w:t>
      </w:r>
      <w:r>
        <w:rPr>
          <w:lang w:val="fr-BE"/>
        </w:rPr>
        <w:tab/>
        <w:t xml:space="preserve">À l'article 2, le paragraphe </w:t>
      </w:r>
      <w:r w:rsidR="00EE7F32" w:rsidRPr="00F407AF">
        <w:rPr>
          <w:lang w:val="fr-BE"/>
        </w:rPr>
        <w:t>2 est modifié comme suit:</w:t>
      </w:r>
    </w:p>
    <w:p w:rsidR="00EE7F32" w:rsidRPr="00F407AF" w:rsidRDefault="00F407AF" w:rsidP="00F407AF">
      <w:pPr>
        <w:pStyle w:val="Point1"/>
        <w:rPr>
          <w:rFonts w:eastAsia="Calibri"/>
          <w:lang w:val="fr-BE"/>
        </w:rPr>
      </w:pPr>
      <w:r>
        <w:rPr>
          <w:lang w:val="fr-BE"/>
        </w:rPr>
        <w:t>a)</w:t>
      </w:r>
      <w:r>
        <w:rPr>
          <w:lang w:val="fr-BE"/>
        </w:rPr>
        <w:tab/>
      </w:r>
      <w:r w:rsidR="00EE7F32" w:rsidRPr="00F407AF">
        <w:rPr>
          <w:lang w:val="fr-BE"/>
        </w:rPr>
        <w:t>les points i), l) et n) sont supprimés;</w:t>
      </w:r>
    </w:p>
    <w:p w:rsidR="00EE7F32" w:rsidRPr="00F407AF" w:rsidRDefault="00F407AF" w:rsidP="00F407AF">
      <w:pPr>
        <w:pStyle w:val="Point1"/>
        <w:rPr>
          <w:rFonts w:eastAsia="Calibri"/>
          <w:lang w:val="fr-BE"/>
        </w:rPr>
      </w:pPr>
      <w:r>
        <w:rPr>
          <w:lang w:val="fr-BE"/>
        </w:rPr>
        <w:t>b)</w:t>
      </w:r>
      <w:r>
        <w:rPr>
          <w:lang w:val="fr-BE"/>
        </w:rPr>
        <w:tab/>
      </w:r>
      <w:r w:rsidR="00EE7F32" w:rsidRPr="00F407AF">
        <w:rPr>
          <w:lang w:val="fr-BE"/>
        </w:rPr>
        <w:t>les points suivants sont ajoutés:</w:t>
      </w:r>
    </w:p>
    <w:p w:rsidR="00EE7F32" w:rsidRPr="00F407AF" w:rsidRDefault="00133095" w:rsidP="00F407AF">
      <w:pPr>
        <w:pStyle w:val="Point2"/>
        <w:rPr>
          <w:lang w:val="fr-BE"/>
        </w:rPr>
      </w:pPr>
      <w:r w:rsidRPr="00F407AF">
        <w:rPr>
          <w:lang w:val="fr-BE"/>
        </w:rPr>
        <w:t>"</w:t>
      </w:r>
      <w:r w:rsidR="00EE7F32" w:rsidRPr="00F407AF">
        <w:rPr>
          <w:lang w:val="fr-BE"/>
        </w:rPr>
        <w:t>r)</w:t>
      </w:r>
      <w:r w:rsidR="00EE7F32" w:rsidRPr="00F407AF">
        <w:rPr>
          <w:lang w:val="fr-BE"/>
        </w:rPr>
        <w:tab/>
        <w:t xml:space="preserve">"prix de détail national": le tarif unitaire de détail appliqué au niveau national par le fournisseur </w:t>
      </w:r>
      <w:r w:rsidR="005445BA" w:rsidRPr="00F407AF">
        <w:rPr>
          <w:lang w:val="fr-BE"/>
        </w:rPr>
        <w:t xml:space="preserve">de services </w:t>
      </w:r>
      <w:r w:rsidR="00EE7F32" w:rsidRPr="00F407AF">
        <w:rPr>
          <w:lang w:val="fr-BE"/>
        </w:rPr>
        <w:t>d'itinérance aux appels passés, aux SMS envoyés (à partir et à destination de réseaux publics de communications différents dans un même État membre) et aux données consommées par le client</w:t>
      </w:r>
      <w:r w:rsidR="00424044" w:rsidRPr="00F407AF">
        <w:rPr>
          <w:lang w:val="fr-BE"/>
        </w:rPr>
        <w:t>;</w:t>
      </w:r>
      <w:r w:rsidR="00EE7F32" w:rsidRPr="00F407AF">
        <w:rPr>
          <w:lang w:val="fr-BE"/>
        </w:rPr>
        <w:t xml:space="preserve"> </w:t>
      </w:r>
      <w:r w:rsidR="00424044" w:rsidRPr="00F407AF">
        <w:rPr>
          <w:lang w:val="fr-BE"/>
        </w:rPr>
        <w:t>l</w:t>
      </w:r>
      <w:r w:rsidR="00EE7F32" w:rsidRPr="00F407AF">
        <w:rPr>
          <w:lang w:val="fr-BE"/>
        </w:rPr>
        <w:t xml:space="preserve">orsqu'il n'existe pas de </w:t>
      </w:r>
      <w:r w:rsidR="00424044" w:rsidRPr="00F407AF">
        <w:rPr>
          <w:lang w:val="fr-BE"/>
        </w:rPr>
        <w:t>tarif</w:t>
      </w:r>
      <w:r w:rsidR="00EE7F32" w:rsidRPr="00F407AF">
        <w:rPr>
          <w:lang w:val="fr-BE"/>
        </w:rPr>
        <w:t xml:space="preserve"> unitaire de détail spécifique au niveau national, le prix de détail national est réputé </w:t>
      </w:r>
      <w:r w:rsidR="00CB00C9" w:rsidRPr="00F407AF">
        <w:rPr>
          <w:lang w:val="fr-BE"/>
        </w:rPr>
        <w:t xml:space="preserve">être basé sur une </w:t>
      </w:r>
      <w:r w:rsidR="00EE7F32" w:rsidRPr="00F407AF">
        <w:rPr>
          <w:lang w:val="fr-BE"/>
        </w:rPr>
        <w:t xml:space="preserve">tarification </w:t>
      </w:r>
      <w:r w:rsidR="00CB00C9" w:rsidRPr="00F407AF">
        <w:rPr>
          <w:lang w:val="fr-BE"/>
        </w:rPr>
        <w:t xml:space="preserve">identique à celle </w:t>
      </w:r>
      <w:r w:rsidR="00EE7F32" w:rsidRPr="00F407AF">
        <w:rPr>
          <w:lang w:val="fr-BE"/>
        </w:rPr>
        <w:t>qui s'applique</w:t>
      </w:r>
      <w:r w:rsidR="00424044" w:rsidRPr="00F407AF">
        <w:rPr>
          <w:lang w:val="fr-BE"/>
        </w:rPr>
        <w:t xml:space="preserve"> au</w:t>
      </w:r>
      <w:r w:rsidR="00EE7F32" w:rsidRPr="00F407AF">
        <w:rPr>
          <w:lang w:val="fr-BE"/>
        </w:rPr>
        <w:t xml:space="preserve"> client </w:t>
      </w:r>
      <w:r w:rsidR="00424044" w:rsidRPr="00F407AF">
        <w:rPr>
          <w:lang w:val="fr-BE"/>
        </w:rPr>
        <w:t>pour des</w:t>
      </w:r>
      <w:r w:rsidR="00EE7F32" w:rsidRPr="00F407AF">
        <w:rPr>
          <w:lang w:val="fr-BE"/>
        </w:rPr>
        <w:t xml:space="preserve"> </w:t>
      </w:r>
      <w:r w:rsidR="00424044" w:rsidRPr="00F407AF">
        <w:rPr>
          <w:lang w:val="fr-BE"/>
        </w:rPr>
        <w:t xml:space="preserve">appels passés, </w:t>
      </w:r>
      <w:r w:rsidR="005317CC" w:rsidRPr="00F407AF">
        <w:rPr>
          <w:lang w:val="fr-BE"/>
        </w:rPr>
        <w:t>des</w:t>
      </w:r>
      <w:r w:rsidR="00424044" w:rsidRPr="00F407AF">
        <w:rPr>
          <w:lang w:val="fr-BE"/>
        </w:rPr>
        <w:t xml:space="preserve"> SMS envoyés (à partir et à destination de réseaux publics de communications différents dans un même État membre) et </w:t>
      </w:r>
      <w:r w:rsidR="005317CC" w:rsidRPr="00F407AF">
        <w:rPr>
          <w:lang w:val="fr-BE"/>
        </w:rPr>
        <w:t>des</w:t>
      </w:r>
      <w:r w:rsidR="00424044" w:rsidRPr="00F407AF">
        <w:rPr>
          <w:lang w:val="fr-BE"/>
        </w:rPr>
        <w:t xml:space="preserve"> données consommées </w:t>
      </w:r>
      <w:r w:rsidR="00EE7F32" w:rsidRPr="00F407AF">
        <w:rPr>
          <w:lang w:val="fr-BE"/>
        </w:rPr>
        <w:t xml:space="preserve">dans </w:t>
      </w:r>
      <w:r w:rsidR="005317CC" w:rsidRPr="00F407AF">
        <w:rPr>
          <w:lang w:val="fr-BE"/>
        </w:rPr>
        <w:t>l</w:t>
      </w:r>
      <w:r w:rsidR="00F407AF" w:rsidRPr="00F407AF">
        <w:rPr>
          <w:lang w:val="fr-BE"/>
        </w:rPr>
        <w:t>'</w:t>
      </w:r>
      <w:r w:rsidR="00EE7F32" w:rsidRPr="00F407AF">
        <w:rPr>
          <w:lang w:val="fr-BE"/>
        </w:rPr>
        <w:t>État membre</w:t>
      </w:r>
      <w:r w:rsidR="00D90C16" w:rsidRPr="00F407AF">
        <w:rPr>
          <w:lang w:val="fr-BE"/>
        </w:rPr>
        <w:t xml:space="preserve"> </w:t>
      </w:r>
      <w:r w:rsidR="005317CC" w:rsidRPr="00F407AF">
        <w:rPr>
          <w:lang w:val="fr-BE"/>
        </w:rPr>
        <w:t xml:space="preserve">de ce </w:t>
      </w:r>
      <w:r w:rsidR="00424044" w:rsidRPr="00F407AF">
        <w:rPr>
          <w:lang w:val="fr-BE"/>
        </w:rPr>
        <w:t>client</w:t>
      </w:r>
      <w:r w:rsidR="00EE7F32" w:rsidRPr="00F407AF">
        <w:rPr>
          <w:lang w:val="fr-BE"/>
        </w:rPr>
        <w:t>;</w:t>
      </w:r>
    </w:p>
    <w:p w:rsidR="004E0002" w:rsidRPr="00F407AF" w:rsidRDefault="00EE7F32" w:rsidP="00F407AF">
      <w:pPr>
        <w:pStyle w:val="Point2"/>
        <w:rPr>
          <w:lang w:val="fr-BE"/>
        </w:rPr>
      </w:pPr>
      <w:r w:rsidRPr="00F407AF">
        <w:rPr>
          <w:lang w:val="fr-BE"/>
        </w:rPr>
        <w:t>s)</w:t>
      </w:r>
      <w:r w:rsidRPr="00F407AF">
        <w:rPr>
          <w:lang w:val="fr-BE"/>
        </w:rPr>
        <w:tab/>
        <w:t>"vente séparée de services de données en itinérance au détail réglementés": la fourniture directe sur un réseau visité, par un fournisseur de services d'itinérance alternatif, de services de données en itinérance réglementés à des clients en itinérance.</w:t>
      </w:r>
    </w:p>
    <w:p w:rsidR="00EE7F32" w:rsidRPr="00F407AF" w:rsidRDefault="004E0002" w:rsidP="00F407AF">
      <w:pPr>
        <w:pStyle w:val="Point0"/>
        <w:rPr>
          <w:rFonts w:eastAsia="Calibri"/>
          <w:lang w:val="fr-BE"/>
        </w:rPr>
      </w:pPr>
      <w:r w:rsidRPr="00F407AF">
        <w:rPr>
          <w:lang w:val="fr-BE"/>
        </w:rPr>
        <w:br w:type="page"/>
      </w:r>
      <w:r w:rsidR="00080E94" w:rsidRPr="00F407AF">
        <w:rPr>
          <w:lang w:val="fr-BE"/>
        </w:rPr>
        <w:lastRenderedPageBreak/>
        <w:t>2</w:t>
      </w:r>
      <w:r w:rsidR="00F407AF">
        <w:rPr>
          <w:lang w:val="fr-BE"/>
        </w:rPr>
        <w:t>)</w:t>
      </w:r>
      <w:r w:rsidR="00F407AF">
        <w:rPr>
          <w:lang w:val="fr-BE"/>
        </w:rPr>
        <w:tab/>
        <w:t xml:space="preserve">À l'article 3, le paragraphe </w:t>
      </w:r>
      <w:r w:rsidR="00EE7F32" w:rsidRPr="00F407AF">
        <w:rPr>
          <w:lang w:val="fr-BE"/>
        </w:rPr>
        <w:t>6 est remplacé par le texte suivant:</w:t>
      </w:r>
    </w:p>
    <w:p w:rsidR="00EE7F32" w:rsidRPr="00F407AF" w:rsidRDefault="00080E94" w:rsidP="00F407AF">
      <w:pPr>
        <w:pStyle w:val="Point1"/>
        <w:rPr>
          <w:lang w:val="fr-BE"/>
        </w:rPr>
      </w:pPr>
      <w:r w:rsidRPr="00F407AF">
        <w:rPr>
          <w:lang w:val="fr-BE"/>
        </w:rPr>
        <w:t>"</w:t>
      </w:r>
      <w:r w:rsidR="00EE7F32" w:rsidRPr="00F407AF">
        <w:rPr>
          <w:lang w:val="fr-BE"/>
        </w:rPr>
        <w:t>6.</w:t>
      </w:r>
      <w:r w:rsidR="00EE7F32" w:rsidRPr="00F407AF">
        <w:rPr>
          <w:lang w:val="fr-BE"/>
        </w:rPr>
        <w:tab/>
        <w:t xml:space="preserve">L'offre de référence visée au paragraphe 5 est suffisamment détaillée et comprend tous les composants nécessaires pour l'accès </w:t>
      </w:r>
      <w:r w:rsidR="00FD382E" w:rsidRPr="00F407AF">
        <w:rPr>
          <w:lang w:val="fr-BE"/>
        </w:rPr>
        <w:t xml:space="preserve">de gros </w:t>
      </w:r>
      <w:r w:rsidR="00EE7F32" w:rsidRPr="00F407AF">
        <w:rPr>
          <w:lang w:val="fr-BE"/>
        </w:rPr>
        <w:t>aux services d</w:t>
      </w:r>
      <w:r w:rsidR="00F407AF">
        <w:rPr>
          <w:lang w:val="fr-BE"/>
        </w:rPr>
        <w:t xml:space="preserve">'itinérance visés au paragraphe </w:t>
      </w:r>
      <w:r w:rsidR="00EE7F32" w:rsidRPr="00F407AF">
        <w:rPr>
          <w:lang w:val="fr-BE"/>
        </w:rPr>
        <w:t xml:space="preserve">3, en fournissant une description des offres présentant un intérêt pour l'accès direct aux services d'itinérance de gros et l'accès à la revente de services d'itinérance de gros ainsi que les modalités et conditions associées. </w:t>
      </w:r>
      <w:r w:rsidR="00D90C16" w:rsidRPr="00F407AF">
        <w:rPr>
          <w:lang w:val="fr-BE"/>
        </w:rPr>
        <w:t>Cette</w:t>
      </w:r>
      <w:r w:rsidR="00424044" w:rsidRPr="00F407AF">
        <w:rPr>
          <w:lang w:val="fr-BE"/>
        </w:rPr>
        <w:t xml:space="preserve"> </w:t>
      </w:r>
      <w:r w:rsidR="00EE7F32" w:rsidRPr="00F407AF">
        <w:rPr>
          <w:lang w:val="fr-BE"/>
        </w:rPr>
        <w:t xml:space="preserve">offre de référence peut comprendre des conditions destinées à empêcher l'itinérance permanente ou l'utilisation anormale ou abusive de l'accès de gros aux services d'itinérance à des fins autres que la fourniture de services d'itinérance réglementés aux </w:t>
      </w:r>
      <w:r w:rsidR="00EA7473" w:rsidRPr="00F407AF">
        <w:rPr>
          <w:lang w:val="fr-BE"/>
        </w:rPr>
        <w:t>clients</w:t>
      </w:r>
      <w:r w:rsidR="00EE7F32" w:rsidRPr="00F407AF">
        <w:rPr>
          <w:lang w:val="fr-BE"/>
        </w:rPr>
        <w:t xml:space="preserve"> du fournisseur </w:t>
      </w:r>
      <w:r w:rsidR="005445BA" w:rsidRPr="00F407AF">
        <w:rPr>
          <w:lang w:val="fr-BE"/>
        </w:rPr>
        <w:t xml:space="preserve">de services </w:t>
      </w:r>
      <w:r w:rsidR="00EE7F32" w:rsidRPr="00F407AF">
        <w:rPr>
          <w:lang w:val="fr-BE"/>
        </w:rPr>
        <w:t xml:space="preserve">d'itinérance lorsque ces derniers se déplacent </w:t>
      </w:r>
      <w:r w:rsidR="00F76FD8" w:rsidRPr="00F407AF">
        <w:rPr>
          <w:lang w:val="fr-BE"/>
        </w:rPr>
        <w:t>périodiqu</w:t>
      </w:r>
      <w:r w:rsidR="00FD382E" w:rsidRPr="00F407AF">
        <w:rPr>
          <w:lang w:val="fr-BE"/>
        </w:rPr>
        <w:t xml:space="preserve">ement </w:t>
      </w:r>
      <w:r w:rsidR="00EE7F32" w:rsidRPr="00F407AF">
        <w:rPr>
          <w:lang w:val="fr-BE"/>
        </w:rPr>
        <w:t>dans l'Union. Si nécessaire, les autorités réglementaires nationales imposent des modifications des offres de référence afin de donner effet aux obligations fixées dans le présent article.</w:t>
      </w:r>
      <w:r w:rsidR="00F407AF" w:rsidRPr="00F407AF">
        <w:rPr>
          <w:lang w:val="fr-BE"/>
        </w:rPr>
        <w:t>"</w:t>
      </w:r>
      <w:r w:rsidR="00FD382E" w:rsidRPr="00F407AF">
        <w:rPr>
          <w:lang w:val="fr-BE"/>
        </w:rPr>
        <w:t>.</w:t>
      </w:r>
    </w:p>
    <w:p w:rsidR="00EE7F32" w:rsidRPr="00F407AF" w:rsidRDefault="007F069E" w:rsidP="00F407AF">
      <w:pPr>
        <w:pStyle w:val="Point0"/>
        <w:rPr>
          <w:rFonts w:eastAsia="Calibri"/>
          <w:lang w:val="fr-BE"/>
        </w:rPr>
      </w:pPr>
      <w:r w:rsidRPr="00F407AF">
        <w:rPr>
          <w:lang w:val="fr-BE"/>
        </w:rPr>
        <w:t>3</w:t>
      </w:r>
      <w:r w:rsidR="00EE7F32" w:rsidRPr="00F407AF">
        <w:rPr>
          <w:lang w:val="fr-BE"/>
        </w:rPr>
        <w:t>)</w:t>
      </w:r>
      <w:r w:rsidR="00EE7F32" w:rsidRPr="00F407AF">
        <w:rPr>
          <w:lang w:val="fr-BE"/>
        </w:rPr>
        <w:tab/>
        <w:t>L'article 4 est modifié comme suit:</w:t>
      </w:r>
    </w:p>
    <w:p w:rsidR="00EE7F32" w:rsidRPr="00F407AF" w:rsidRDefault="00EE7F32" w:rsidP="00F407AF">
      <w:pPr>
        <w:pStyle w:val="Point1"/>
        <w:rPr>
          <w:rFonts w:eastAsia="Calibri"/>
          <w:lang w:val="fr-BE"/>
        </w:rPr>
      </w:pPr>
      <w:r w:rsidRPr="00F407AF">
        <w:rPr>
          <w:lang w:val="fr-BE"/>
        </w:rPr>
        <w:t>a)</w:t>
      </w:r>
      <w:r w:rsidR="00F407AF" w:rsidRPr="00F407AF">
        <w:rPr>
          <w:lang w:val="fr-BE"/>
        </w:rPr>
        <w:tab/>
      </w:r>
      <w:r w:rsidRPr="00F407AF">
        <w:rPr>
          <w:lang w:val="fr-BE"/>
        </w:rPr>
        <w:t>le titre est remplacé par le texte suivant:</w:t>
      </w:r>
    </w:p>
    <w:p w:rsidR="00EE7F32" w:rsidRPr="00F407AF" w:rsidRDefault="007F069E" w:rsidP="00F407AF">
      <w:pPr>
        <w:pStyle w:val="Text2"/>
        <w:rPr>
          <w:rFonts w:eastAsia="Calibri"/>
          <w:lang w:val="fr-BE"/>
        </w:rPr>
      </w:pPr>
      <w:r w:rsidRPr="00F407AF">
        <w:rPr>
          <w:lang w:val="fr-BE"/>
        </w:rPr>
        <w:t>"</w:t>
      </w:r>
      <w:r w:rsidR="00EE7F32" w:rsidRPr="00F407AF">
        <w:rPr>
          <w:lang w:val="fr-BE"/>
        </w:rPr>
        <w:t>Vente séparée de services de données en itinérance au détail réglementés</w:t>
      </w:r>
      <w:r w:rsidRPr="00F407AF">
        <w:rPr>
          <w:lang w:val="fr-BE"/>
        </w:rPr>
        <w:t>"</w:t>
      </w:r>
      <w:r w:rsidR="004E0002" w:rsidRPr="00F407AF">
        <w:rPr>
          <w:lang w:val="fr-BE"/>
        </w:rPr>
        <w:t>;</w:t>
      </w:r>
    </w:p>
    <w:p w:rsidR="00EE7F32" w:rsidRPr="00F407AF" w:rsidRDefault="00F407AF" w:rsidP="00F407AF">
      <w:pPr>
        <w:pStyle w:val="Point1"/>
        <w:rPr>
          <w:rFonts w:eastAsia="Calibri"/>
          <w:lang w:val="fr-BE"/>
        </w:rPr>
      </w:pPr>
      <w:r w:rsidRPr="00F407AF">
        <w:rPr>
          <w:lang w:val="fr-BE"/>
        </w:rPr>
        <w:t>b)</w:t>
      </w:r>
      <w:r w:rsidRPr="00F407AF">
        <w:rPr>
          <w:lang w:val="fr-BE"/>
        </w:rPr>
        <w:tab/>
      </w:r>
      <w:r>
        <w:rPr>
          <w:lang w:val="fr-BE"/>
        </w:rPr>
        <w:t xml:space="preserve">au paragraphe </w:t>
      </w:r>
      <w:r w:rsidR="00EE7F32" w:rsidRPr="00F407AF">
        <w:rPr>
          <w:lang w:val="fr-BE"/>
        </w:rPr>
        <w:t>1, le premier alinéa est supprimé;</w:t>
      </w:r>
    </w:p>
    <w:p w:rsidR="00EE7F32" w:rsidRPr="00F407AF" w:rsidRDefault="00F407AF" w:rsidP="00395C2E">
      <w:pPr>
        <w:pStyle w:val="Point1"/>
        <w:rPr>
          <w:rFonts w:eastAsia="Calibri"/>
          <w:lang w:val="fr-BE"/>
        </w:rPr>
      </w:pPr>
      <w:r w:rsidRPr="00F407AF">
        <w:rPr>
          <w:lang w:val="fr-BE"/>
        </w:rPr>
        <w:t>c)</w:t>
      </w:r>
      <w:r w:rsidRPr="00F407AF">
        <w:rPr>
          <w:lang w:val="fr-BE"/>
        </w:rPr>
        <w:tab/>
      </w:r>
      <w:r w:rsidR="00395C2E">
        <w:rPr>
          <w:lang w:val="fr-BE"/>
        </w:rPr>
        <w:t xml:space="preserve">les paragraphes </w:t>
      </w:r>
      <w:r w:rsidR="00EE7F32" w:rsidRPr="00F407AF">
        <w:rPr>
          <w:lang w:val="fr-BE"/>
        </w:rPr>
        <w:t>4 et</w:t>
      </w:r>
      <w:r w:rsidR="00395C2E">
        <w:rPr>
          <w:lang w:val="fr-BE"/>
        </w:rPr>
        <w:t xml:space="preserve"> </w:t>
      </w:r>
      <w:r w:rsidR="00EE7F32" w:rsidRPr="00F407AF">
        <w:rPr>
          <w:lang w:val="fr-BE"/>
        </w:rPr>
        <w:t>5 sont supprimés.</w:t>
      </w:r>
    </w:p>
    <w:p w:rsidR="00EE7F32" w:rsidRPr="00F407AF" w:rsidRDefault="00F407AF" w:rsidP="00F407AF">
      <w:pPr>
        <w:pStyle w:val="Point0"/>
        <w:rPr>
          <w:rFonts w:eastAsia="Calibri"/>
          <w:lang w:val="fr-BE"/>
        </w:rPr>
      </w:pPr>
      <w:r>
        <w:rPr>
          <w:lang w:val="fr-BE"/>
        </w:rPr>
        <w:br w:type="page"/>
      </w:r>
      <w:r w:rsidR="007F069E" w:rsidRPr="00F407AF">
        <w:rPr>
          <w:lang w:val="fr-BE"/>
        </w:rPr>
        <w:lastRenderedPageBreak/>
        <w:t>4</w:t>
      </w:r>
      <w:r w:rsidR="00EE7F32" w:rsidRPr="00F407AF">
        <w:rPr>
          <w:lang w:val="fr-BE"/>
        </w:rPr>
        <w:t>)</w:t>
      </w:r>
      <w:r w:rsidR="00EE7F32" w:rsidRPr="00F407AF">
        <w:rPr>
          <w:lang w:val="fr-BE"/>
        </w:rPr>
        <w:tab/>
        <w:t>L'article 5 est modifié comme suit:</w:t>
      </w:r>
    </w:p>
    <w:p w:rsidR="00EE7F32" w:rsidRPr="00F407AF" w:rsidRDefault="00F407AF" w:rsidP="00F407AF">
      <w:pPr>
        <w:pStyle w:val="Point1"/>
        <w:rPr>
          <w:rFonts w:eastAsia="Calibri"/>
          <w:lang w:val="fr-BE"/>
        </w:rPr>
      </w:pPr>
      <w:r w:rsidRPr="00F407AF">
        <w:rPr>
          <w:lang w:val="fr-BE"/>
        </w:rPr>
        <w:t>a)</w:t>
      </w:r>
      <w:r w:rsidRPr="00F407AF">
        <w:rPr>
          <w:lang w:val="fr-BE"/>
        </w:rPr>
        <w:tab/>
      </w:r>
      <w:r w:rsidR="00EE7F32" w:rsidRPr="00F407AF">
        <w:rPr>
          <w:lang w:val="fr-BE"/>
        </w:rPr>
        <w:t>le titre est remplacé par le texte suivant:</w:t>
      </w:r>
    </w:p>
    <w:p w:rsidR="00EE7F32" w:rsidRPr="00F407AF" w:rsidRDefault="007F069E" w:rsidP="00F407AF">
      <w:pPr>
        <w:pStyle w:val="Text2"/>
        <w:rPr>
          <w:rFonts w:eastAsia="Calibri"/>
          <w:lang w:val="fr-BE"/>
        </w:rPr>
      </w:pPr>
      <w:r w:rsidRPr="00F407AF">
        <w:rPr>
          <w:lang w:val="fr-BE"/>
        </w:rPr>
        <w:t>"</w:t>
      </w:r>
      <w:r w:rsidR="00EE7F32" w:rsidRPr="00F407AF">
        <w:rPr>
          <w:lang w:val="fr-BE"/>
        </w:rPr>
        <w:t>Mise en œuvre de la vente séparée de services de données en itinérance au détail réglementés</w:t>
      </w:r>
      <w:r w:rsidRPr="00F407AF">
        <w:rPr>
          <w:lang w:val="fr-BE"/>
        </w:rPr>
        <w:t>"</w:t>
      </w:r>
      <w:r w:rsidR="004E0002" w:rsidRPr="00F407AF">
        <w:rPr>
          <w:lang w:val="fr-BE"/>
        </w:rPr>
        <w:t>;</w:t>
      </w:r>
    </w:p>
    <w:p w:rsidR="00EE7F32" w:rsidRPr="00F407AF" w:rsidRDefault="00F407AF" w:rsidP="00F407AF">
      <w:pPr>
        <w:pStyle w:val="Point1"/>
        <w:rPr>
          <w:rFonts w:eastAsia="Calibri"/>
          <w:lang w:val="fr-BE"/>
        </w:rPr>
      </w:pPr>
      <w:r w:rsidRPr="00F407AF">
        <w:rPr>
          <w:lang w:val="fr-BE"/>
        </w:rPr>
        <w:t>b)</w:t>
      </w:r>
      <w:r w:rsidRPr="00F407AF">
        <w:rPr>
          <w:lang w:val="fr-BE"/>
        </w:rPr>
        <w:tab/>
      </w:r>
      <w:r w:rsidR="00EE7F32" w:rsidRPr="00F407AF">
        <w:rPr>
          <w:lang w:val="fr-BE"/>
        </w:rPr>
        <w:t>le paragraphe 1 est remplacé par le texte suivant:</w:t>
      </w:r>
    </w:p>
    <w:p w:rsidR="00EE7F32" w:rsidRPr="00F407AF" w:rsidRDefault="004E0002" w:rsidP="00F407AF">
      <w:pPr>
        <w:pStyle w:val="Point2"/>
        <w:rPr>
          <w:rFonts w:eastAsia="Calibri"/>
          <w:lang w:val="fr-BE"/>
        </w:rPr>
      </w:pPr>
      <w:r w:rsidRPr="00F407AF">
        <w:rPr>
          <w:lang w:val="fr-BE"/>
        </w:rPr>
        <w:t>"</w:t>
      </w:r>
      <w:r w:rsidR="00F407AF">
        <w:rPr>
          <w:lang w:val="fr-BE"/>
        </w:rPr>
        <w:t>1.</w:t>
      </w:r>
      <w:r w:rsidR="00F407AF">
        <w:rPr>
          <w:lang w:val="fr-BE"/>
        </w:rPr>
        <w:tab/>
      </w:r>
      <w:r w:rsidR="00EE7F32" w:rsidRPr="00F407AF">
        <w:rPr>
          <w:lang w:val="fr-BE"/>
        </w:rPr>
        <w:t xml:space="preserve">Les fournisseurs nationaux mettent en œuvre l'obligation liée à la vente séparée de services de données en itinérance au détail réglementés prévue à l'article 4 de manière </w:t>
      </w:r>
      <w:r w:rsidR="00444FDA" w:rsidRPr="00F407AF">
        <w:rPr>
          <w:lang w:val="fr-BE"/>
        </w:rPr>
        <w:t xml:space="preserve">à ce </w:t>
      </w:r>
      <w:r w:rsidR="00EE7F32" w:rsidRPr="00F407AF">
        <w:rPr>
          <w:lang w:val="fr-BE"/>
        </w:rPr>
        <w:t xml:space="preserve">que les clients en itinérance puissent utiliser des services de données en itinérance réglementés séparés. Les fournisseurs nationaux satisfont à toutes les demandes raisonnables d'accès aux ressources et aux services de soutien correspondants, nécessaires pour la vente séparée de services de données en itinérance au détail réglementés. L'accès à ces ressources et services de soutien qui sont nécessaires pour permettre la vente séparée de services de données en itinérance </w:t>
      </w:r>
      <w:r w:rsidR="00F84055" w:rsidRPr="00F407AF">
        <w:rPr>
          <w:lang w:val="fr-BE"/>
        </w:rPr>
        <w:t xml:space="preserve">au détail </w:t>
      </w:r>
      <w:r w:rsidR="00EE7F32" w:rsidRPr="00F407AF">
        <w:rPr>
          <w:lang w:val="fr-BE"/>
        </w:rPr>
        <w:t>réglementés, y compris les services d'authentification de l'utilisateur, est gratuit et n'entraîne aucun frais direct pour les clients en itinérance.</w:t>
      </w:r>
      <w:r w:rsidR="00F407AF" w:rsidRPr="00F407AF">
        <w:rPr>
          <w:lang w:val="fr-BE"/>
        </w:rPr>
        <w:t>"</w:t>
      </w:r>
      <w:r w:rsidR="007554B4" w:rsidRPr="00F407AF">
        <w:rPr>
          <w:lang w:val="fr-BE"/>
        </w:rPr>
        <w:t>;</w:t>
      </w:r>
    </w:p>
    <w:p w:rsidR="00EE7F32" w:rsidRPr="00F407AF" w:rsidRDefault="00EE7F32" w:rsidP="00F407AF">
      <w:pPr>
        <w:pStyle w:val="Point1"/>
        <w:rPr>
          <w:rFonts w:eastAsia="Calibri"/>
          <w:lang w:val="fr-BE"/>
        </w:rPr>
      </w:pPr>
      <w:r w:rsidRPr="00F407AF">
        <w:rPr>
          <w:lang w:val="fr-BE"/>
        </w:rPr>
        <w:t>c)</w:t>
      </w:r>
      <w:r w:rsidR="00F407AF" w:rsidRPr="00F407AF">
        <w:rPr>
          <w:lang w:val="fr-BE"/>
        </w:rPr>
        <w:tab/>
      </w:r>
      <w:r w:rsidRPr="00F407AF">
        <w:rPr>
          <w:lang w:val="fr-BE"/>
        </w:rPr>
        <w:t>le paragraphe 2 est remplacé par le texte suivant:</w:t>
      </w:r>
    </w:p>
    <w:p w:rsidR="00EE7F32" w:rsidRPr="00F407AF" w:rsidRDefault="00F407AF" w:rsidP="00F407AF">
      <w:pPr>
        <w:pStyle w:val="Point2"/>
        <w:rPr>
          <w:rFonts w:eastAsia="Calibri"/>
          <w:lang w:val="fr-BE"/>
        </w:rPr>
      </w:pPr>
      <w:r w:rsidRPr="00F407AF">
        <w:rPr>
          <w:lang w:val="fr-BE"/>
        </w:rPr>
        <w:t>"2.</w:t>
      </w:r>
      <w:r w:rsidRPr="00F407AF">
        <w:rPr>
          <w:lang w:val="fr-BE"/>
        </w:rPr>
        <w:tab/>
      </w:r>
      <w:r w:rsidR="00EE7F32" w:rsidRPr="00F407AF">
        <w:rPr>
          <w:lang w:val="fr-BE"/>
        </w:rPr>
        <w:t>Afin de garantir dans l'ensemble de l'Union la mise en œuvre cohérente et simultanée de la vente séparée de services de données en itinérance au détail réglementés, la Commission adopte, au moyen d'actes d'exécution et après avoir consulté l'ORECE, des règles détaillées sur une solution technique pour la mise en œuvre de la vente séparée de services de données en itinérance au détail réglementés. Ces actes d'exécution sont adoptés en conformité avec la procédure d'examen visée à l'article 6, paragraphe 2.</w:t>
      </w:r>
      <w:r w:rsidR="00496234" w:rsidRPr="00F407AF">
        <w:rPr>
          <w:lang w:val="fr-BE"/>
        </w:rPr>
        <w:t>"</w:t>
      </w:r>
      <w:r w:rsidR="007554B4" w:rsidRPr="00F407AF">
        <w:rPr>
          <w:lang w:val="fr-BE"/>
        </w:rPr>
        <w:t>;</w:t>
      </w:r>
    </w:p>
    <w:p w:rsidR="00EE7F32" w:rsidRPr="00F407AF" w:rsidRDefault="00F407AF" w:rsidP="00F407AF">
      <w:pPr>
        <w:pStyle w:val="Point1"/>
        <w:rPr>
          <w:rFonts w:eastAsia="Calibri"/>
          <w:lang w:val="fr-BE"/>
        </w:rPr>
      </w:pPr>
      <w:r>
        <w:rPr>
          <w:lang w:val="fr-BE"/>
        </w:rPr>
        <w:br w:type="page"/>
      </w:r>
      <w:r w:rsidRPr="00F407AF">
        <w:rPr>
          <w:lang w:val="fr-BE"/>
        </w:rPr>
        <w:lastRenderedPageBreak/>
        <w:t>d)</w:t>
      </w:r>
      <w:r w:rsidRPr="00F407AF">
        <w:rPr>
          <w:lang w:val="fr-BE"/>
        </w:rPr>
        <w:tab/>
      </w:r>
      <w:r w:rsidR="00EE7F32" w:rsidRPr="00F407AF">
        <w:rPr>
          <w:lang w:val="fr-BE"/>
        </w:rPr>
        <w:t xml:space="preserve">au paragraphe 3, </w:t>
      </w:r>
      <w:r w:rsidR="00EA7473" w:rsidRPr="00F407AF">
        <w:rPr>
          <w:lang w:val="fr-BE"/>
        </w:rPr>
        <w:t>la phrase introductive</w:t>
      </w:r>
      <w:r w:rsidR="00EE7F32" w:rsidRPr="00F407AF">
        <w:rPr>
          <w:lang w:val="fr-BE"/>
        </w:rPr>
        <w:t xml:space="preserve"> </w:t>
      </w:r>
      <w:r w:rsidR="00EA7473" w:rsidRPr="00F407AF">
        <w:rPr>
          <w:lang w:val="fr-BE"/>
        </w:rPr>
        <w:t>est</w:t>
      </w:r>
      <w:r w:rsidR="00EE7F32" w:rsidRPr="00F407AF">
        <w:rPr>
          <w:lang w:val="fr-BE"/>
        </w:rPr>
        <w:t xml:space="preserve"> </w:t>
      </w:r>
      <w:r w:rsidR="00AC3EF2" w:rsidRPr="00F407AF">
        <w:rPr>
          <w:lang w:val="fr-BE"/>
        </w:rPr>
        <w:t>remplacée par le texte suivant</w:t>
      </w:r>
      <w:r w:rsidR="00EE7F32" w:rsidRPr="00F407AF">
        <w:rPr>
          <w:lang w:val="fr-BE"/>
        </w:rPr>
        <w:t>:</w:t>
      </w:r>
    </w:p>
    <w:p w:rsidR="00EE7F32" w:rsidRPr="00F407AF" w:rsidRDefault="00F407AF" w:rsidP="00F407AF">
      <w:pPr>
        <w:pStyle w:val="Point2"/>
        <w:rPr>
          <w:rFonts w:eastAsia="Calibri"/>
          <w:lang w:val="fr-BE"/>
        </w:rPr>
      </w:pPr>
      <w:r w:rsidRPr="00F407AF">
        <w:rPr>
          <w:lang w:val="fr-BE"/>
        </w:rPr>
        <w:t>"3.</w:t>
      </w:r>
      <w:r w:rsidRPr="00F407AF">
        <w:rPr>
          <w:lang w:val="fr-BE"/>
        </w:rPr>
        <w:tab/>
      </w:r>
      <w:r w:rsidR="00EE7F32" w:rsidRPr="00F407AF">
        <w:rPr>
          <w:lang w:val="fr-BE"/>
        </w:rPr>
        <w:t>La solution technique permettant de mettre en œuvre la vente séparée de services de données en itinérance au détail réglementés respecte les critères suivants:</w:t>
      </w:r>
      <w:r w:rsidR="00496234" w:rsidRPr="00F407AF">
        <w:rPr>
          <w:lang w:val="fr-BE"/>
        </w:rPr>
        <w:t>"</w:t>
      </w:r>
      <w:r w:rsidR="00EA7473" w:rsidRPr="00F407AF">
        <w:rPr>
          <w:lang w:val="fr-BE"/>
        </w:rPr>
        <w:t>.</w:t>
      </w:r>
    </w:p>
    <w:p w:rsidR="00EE7F32" w:rsidRPr="00F407AF" w:rsidRDefault="00EE7F32" w:rsidP="00F407AF">
      <w:pPr>
        <w:pStyle w:val="Point0"/>
        <w:rPr>
          <w:rFonts w:eastAsia="Calibri"/>
          <w:lang w:val="fr-BE"/>
        </w:rPr>
      </w:pPr>
      <w:r w:rsidRPr="00F407AF">
        <w:rPr>
          <w:lang w:val="fr-BE"/>
        </w:rPr>
        <w:t>5)</w:t>
      </w:r>
      <w:r w:rsidRPr="00F407AF">
        <w:rPr>
          <w:lang w:val="fr-BE"/>
        </w:rPr>
        <w:tab/>
        <w:t xml:space="preserve">Les articles </w:t>
      </w:r>
      <w:r w:rsidR="00496234" w:rsidRPr="00F407AF">
        <w:rPr>
          <w:lang w:val="fr-BE"/>
        </w:rPr>
        <w:t xml:space="preserve">suivants </w:t>
      </w:r>
      <w:r w:rsidR="00FD382E" w:rsidRPr="00F407AF">
        <w:rPr>
          <w:lang w:val="fr-BE"/>
        </w:rPr>
        <w:t>sont insérés</w:t>
      </w:r>
      <w:r w:rsidRPr="00F407AF">
        <w:rPr>
          <w:lang w:val="fr-BE"/>
        </w:rPr>
        <w:t>:</w:t>
      </w:r>
    </w:p>
    <w:p w:rsidR="00EE7F32" w:rsidRPr="00F407AF" w:rsidRDefault="00F407AF" w:rsidP="00F407AF">
      <w:pPr>
        <w:pStyle w:val="Text1"/>
        <w:rPr>
          <w:rFonts w:eastAsia="Calibri"/>
          <w:lang w:val="fr-BE"/>
        </w:rPr>
      </w:pPr>
      <w:r w:rsidRPr="00F407AF">
        <w:rPr>
          <w:lang w:val="fr-BE"/>
        </w:rPr>
        <w:t>"</w:t>
      </w:r>
      <w:r w:rsidR="00EE7F32" w:rsidRPr="00F407AF">
        <w:rPr>
          <w:i/>
          <w:iCs/>
          <w:lang w:val="fr-BE"/>
        </w:rPr>
        <w:t xml:space="preserve">Article 6 </w:t>
      </w:r>
      <w:r w:rsidR="00EE7F32" w:rsidRPr="00F407AF">
        <w:rPr>
          <w:lang w:val="fr-BE"/>
        </w:rPr>
        <w:t>bis</w:t>
      </w:r>
      <w:r w:rsidR="00D17214" w:rsidRPr="00F407AF">
        <w:rPr>
          <w:i/>
          <w:iCs/>
          <w:lang w:val="fr-BE"/>
        </w:rPr>
        <w:br/>
      </w:r>
      <w:r w:rsidR="00EE7F32" w:rsidRPr="00F407AF">
        <w:rPr>
          <w:i/>
          <w:iCs/>
          <w:lang w:val="fr-BE"/>
        </w:rPr>
        <w:t>Suppression des frais d'itinérance au détail supplémentaires</w:t>
      </w:r>
    </w:p>
    <w:p w:rsidR="00EE7F32" w:rsidRPr="00F407AF" w:rsidRDefault="00EE7F32" w:rsidP="00F407AF">
      <w:pPr>
        <w:pStyle w:val="Text1"/>
        <w:rPr>
          <w:rFonts w:eastAsia="Calibri"/>
          <w:lang w:val="fr-BE"/>
        </w:rPr>
      </w:pPr>
      <w:r w:rsidRPr="00F407AF">
        <w:rPr>
          <w:lang w:val="fr-BE"/>
        </w:rPr>
        <w:t xml:space="preserve">Avec effet au </w:t>
      </w:r>
      <w:r w:rsidRPr="00F407AF">
        <w:rPr>
          <w:rFonts w:eastAsiaTheme="minorHAnsi"/>
          <w:lang w:val="fr-BE"/>
        </w:rPr>
        <w:t>15 juin 2017</w:t>
      </w:r>
      <w:r w:rsidRPr="00F407AF">
        <w:rPr>
          <w:lang w:val="fr-BE"/>
        </w:rPr>
        <w:t xml:space="preserve">, pour autant que l'acte législatif </w:t>
      </w:r>
      <w:r w:rsidR="007554B4" w:rsidRPr="00F407AF">
        <w:rPr>
          <w:lang w:val="fr-BE"/>
        </w:rPr>
        <w:t xml:space="preserve">devant être </w:t>
      </w:r>
      <w:r w:rsidR="00B859CE" w:rsidRPr="00F407AF">
        <w:rPr>
          <w:lang w:val="fr-BE"/>
        </w:rPr>
        <w:t xml:space="preserve">adopté </w:t>
      </w:r>
      <w:r w:rsidR="00FD382E" w:rsidRPr="00F407AF">
        <w:rPr>
          <w:lang w:val="fr-BE"/>
        </w:rPr>
        <w:t xml:space="preserve">à la suite de </w:t>
      </w:r>
      <w:r w:rsidR="00B859CE" w:rsidRPr="00F407AF">
        <w:rPr>
          <w:lang w:val="fr-BE"/>
        </w:rPr>
        <w:t xml:space="preserve">la proposition </w:t>
      </w:r>
      <w:r w:rsidR="00EA7473" w:rsidRPr="00F407AF">
        <w:rPr>
          <w:lang w:val="fr-BE"/>
        </w:rPr>
        <w:t>visée</w:t>
      </w:r>
      <w:r w:rsidR="00B859CE" w:rsidRPr="00F407AF">
        <w:rPr>
          <w:lang w:val="fr-BE"/>
        </w:rPr>
        <w:t xml:space="preserve"> </w:t>
      </w:r>
      <w:r w:rsidRPr="00F407AF">
        <w:rPr>
          <w:lang w:val="fr-BE"/>
        </w:rPr>
        <w:t xml:space="preserve">à l'article 19, paragraphe 2, soit applicable à cette date, les fournisseurs de services d'itinérance ne facturent pas de frais supplémentaires aux clients en itinérance dans un État membre </w:t>
      </w:r>
      <w:r w:rsidR="005C7EAA" w:rsidRPr="00F407AF">
        <w:rPr>
          <w:lang w:val="fr-BE"/>
        </w:rPr>
        <w:t>en plus du</w:t>
      </w:r>
      <w:r w:rsidRPr="00F407AF">
        <w:rPr>
          <w:lang w:val="fr-BE"/>
        </w:rPr>
        <w:t xml:space="preserve"> prix de détail national pour des appels en itinérance réglementés passés ou reçus, pour l'envoi de SMS en itinérance réglementés et pour l'utilisation de services de données en itinérance réglementés,</w:t>
      </w:r>
      <w:r w:rsidR="004A29FC" w:rsidRPr="00F407AF">
        <w:rPr>
          <w:lang w:val="fr-BE"/>
        </w:rPr>
        <w:t xml:space="preserve"> </w:t>
      </w:r>
      <w:r w:rsidR="00EA7473" w:rsidRPr="00F407AF">
        <w:rPr>
          <w:lang w:val="fr-BE"/>
        </w:rPr>
        <w:t>y compris</w:t>
      </w:r>
      <w:r w:rsidR="004A29FC" w:rsidRPr="00F407AF">
        <w:rPr>
          <w:lang w:val="fr-BE"/>
        </w:rPr>
        <w:t xml:space="preserve"> les MMS</w:t>
      </w:r>
      <w:r w:rsidR="00EA7473" w:rsidRPr="00F407AF">
        <w:rPr>
          <w:lang w:val="fr-BE"/>
        </w:rPr>
        <w:t>,</w:t>
      </w:r>
      <w:r w:rsidRPr="00F407AF">
        <w:rPr>
          <w:lang w:val="fr-BE"/>
        </w:rPr>
        <w:t xml:space="preserve"> et ne facturent pas de frais généraux liés à l'activation des services ou des équipements terminaux à utiliser à l'étranger, sous réserve des articles 6 </w:t>
      </w:r>
      <w:r w:rsidRPr="00F407AF">
        <w:rPr>
          <w:i/>
          <w:iCs/>
          <w:lang w:val="fr-BE"/>
        </w:rPr>
        <w:t>ter</w:t>
      </w:r>
      <w:r w:rsidRPr="00F407AF">
        <w:rPr>
          <w:lang w:val="fr-BE"/>
        </w:rPr>
        <w:t xml:space="preserve"> et 6 </w:t>
      </w:r>
      <w:r w:rsidR="002615F4" w:rsidRPr="00F407AF">
        <w:rPr>
          <w:i/>
          <w:iCs/>
          <w:lang w:val="fr-BE"/>
        </w:rPr>
        <w:t>quater</w:t>
      </w:r>
      <w:r w:rsidRPr="00F407AF">
        <w:rPr>
          <w:lang w:val="fr-BE"/>
        </w:rPr>
        <w:t>.</w:t>
      </w:r>
    </w:p>
    <w:p w:rsidR="00EE7F32" w:rsidRPr="00F407AF" w:rsidRDefault="00EE7F32" w:rsidP="00F407AF">
      <w:pPr>
        <w:pStyle w:val="Text1"/>
        <w:rPr>
          <w:rFonts w:eastAsiaTheme="minorHAnsi"/>
          <w:i/>
          <w:iCs/>
          <w:lang w:val="fr-BE"/>
        </w:rPr>
      </w:pPr>
      <w:r w:rsidRPr="00F407AF">
        <w:rPr>
          <w:i/>
          <w:iCs/>
          <w:lang w:val="fr-BE"/>
        </w:rPr>
        <w:t xml:space="preserve">Article 6 </w:t>
      </w:r>
      <w:r w:rsidRPr="00F407AF">
        <w:rPr>
          <w:lang w:val="fr-BE"/>
        </w:rPr>
        <w:t>te</w:t>
      </w:r>
      <w:r w:rsidR="00646E8B" w:rsidRPr="00F407AF">
        <w:rPr>
          <w:lang w:val="fr-BE"/>
        </w:rPr>
        <w:t>r</w:t>
      </w:r>
      <w:r w:rsidR="00D17214" w:rsidRPr="00F407AF">
        <w:rPr>
          <w:i/>
          <w:iCs/>
          <w:lang w:val="fr-BE"/>
        </w:rPr>
        <w:br/>
      </w:r>
      <w:r w:rsidRPr="00F407AF">
        <w:rPr>
          <w:i/>
          <w:iCs/>
          <w:lang w:val="fr-BE"/>
        </w:rPr>
        <w:t>Utilisation raisonnable</w:t>
      </w:r>
    </w:p>
    <w:p w:rsidR="00EE7F32" w:rsidRPr="00F407AF" w:rsidRDefault="00EE7F32" w:rsidP="00F407AF">
      <w:pPr>
        <w:pStyle w:val="Point1"/>
        <w:rPr>
          <w:lang w:val="fr-BE"/>
        </w:rPr>
      </w:pPr>
      <w:r w:rsidRPr="00F407AF">
        <w:rPr>
          <w:lang w:val="fr-BE"/>
        </w:rPr>
        <w:t>1.</w:t>
      </w:r>
      <w:r w:rsidRPr="00F407AF">
        <w:rPr>
          <w:lang w:val="fr-BE"/>
        </w:rPr>
        <w:tab/>
        <w:t xml:space="preserve">Les fournisseurs de services d'itinérance peuvent appliquer conformément au présent article et aux actes d'exécution visés à l'article 6 </w:t>
      </w:r>
      <w:r w:rsidR="002615F4" w:rsidRPr="00F407AF">
        <w:rPr>
          <w:i/>
          <w:iCs/>
          <w:lang w:val="fr-BE"/>
        </w:rPr>
        <w:t>quinquies</w:t>
      </w:r>
      <w:r w:rsidRPr="00F407AF">
        <w:rPr>
          <w:lang w:val="fr-BE"/>
        </w:rPr>
        <w:t xml:space="preserve"> une politique d'utilisation raisonnable en matière de consommation de services d'itinérance au détail réglementés fournis au prix de détail national applicable, afin de prévenir toute utilisation anormale ou abusive des services d'itinérance au détail réglementés par les clients en itinérance, </w:t>
      </w:r>
      <w:r w:rsidR="00DC2CC0" w:rsidRPr="00F407AF">
        <w:rPr>
          <w:lang w:val="fr-BE"/>
        </w:rPr>
        <w:t>telle que</w:t>
      </w:r>
      <w:r w:rsidRPr="00F407AF">
        <w:rPr>
          <w:lang w:val="fr-BE"/>
        </w:rPr>
        <w:t xml:space="preserve"> l'utilisation de ces services par des clients en itinérance dans un État membre autre que celui </w:t>
      </w:r>
      <w:r w:rsidR="002615F4" w:rsidRPr="00F407AF">
        <w:rPr>
          <w:lang w:val="fr-BE"/>
        </w:rPr>
        <w:t>de leur</w:t>
      </w:r>
      <w:r w:rsidRPr="00F407AF">
        <w:rPr>
          <w:lang w:val="fr-BE"/>
        </w:rPr>
        <w:t xml:space="preserve"> fournisseur national à des fins autres que des déplacements </w:t>
      </w:r>
      <w:r w:rsidR="00F76FD8" w:rsidRPr="00F407AF">
        <w:rPr>
          <w:lang w:val="fr-BE"/>
        </w:rPr>
        <w:t>péri</w:t>
      </w:r>
      <w:r w:rsidR="0077362A" w:rsidRPr="00F407AF">
        <w:rPr>
          <w:lang w:val="fr-BE"/>
        </w:rPr>
        <w:t>o</w:t>
      </w:r>
      <w:r w:rsidR="00F76FD8" w:rsidRPr="00F407AF">
        <w:rPr>
          <w:lang w:val="fr-BE"/>
        </w:rPr>
        <w:t>diques</w:t>
      </w:r>
      <w:r w:rsidRPr="00F407AF">
        <w:rPr>
          <w:lang w:val="fr-BE"/>
        </w:rPr>
        <w:t>.</w:t>
      </w:r>
    </w:p>
    <w:p w:rsidR="00EE7F32" w:rsidRPr="00F407AF" w:rsidRDefault="00F407AF" w:rsidP="00F407AF">
      <w:pPr>
        <w:pStyle w:val="Text2"/>
        <w:rPr>
          <w:lang w:val="fr-BE"/>
        </w:rPr>
      </w:pPr>
      <w:r>
        <w:rPr>
          <w:lang w:val="fr-BE"/>
        </w:rPr>
        <w:br w:type="page"/>
      </w:r>
      <w:r w:rsidR="00EE7F32" w:rsidRPr="00F407AF">
        <w:rPr>
          <w:lang w:val="fr-BE"/>
        </w:rPr>
        <w:lastRenderedPageBreak/>
        <w:t>Toute politique d'utilisation raisonnable permet aux clients du fournisseur de services d'itinérance de consommer des volumes de services d'itinérance au détail réglementés au prix de détail national applicable qui correspondent à leur</w:t>
      </w:r>
      <w:r w:rsidR="002615F4" w:rsidRPr="00F407AF">
        <w:rPr>
          <w:lang w:val="fr-BE"/>
        </w:rPr>
        <w:t>s</w:t>
      </w:r>
      <w:r w:rsidR="00EE7F32" w:rsidRPr="00F407AF">
        <w:rPr>
          <w:lang w:val="fr-BE"/>
        </w:rPr>
        <w:t xml:space="preserve"> plan</w:t>
      </w:r>
      <w:r w:rsidR="002615F4" w:rsidRPr="00F407AF">
        <w:rPr>
          <w:lang w:val="fr-BE"/>
        </w:rPr>
        <w:t>s</w:t>
      </w:r>
      <w:r w:rsidR="00EE7F32" w:rsidRPr="00F407AF">
        <w:rPr>
          <w:lang w:val="fr-BE"/>
        </w:rPr>
        <w:t xml:space="preserve"> tarifaire</w:t>
      </w:r>
      <w:r w:rsidR="002615F4" w:rsidRPr="00F407AF">
        <w:rPr>
          <w:lang w:val="fr-BE"/>
        </w:rPr>
        <w:t>s re</w:t>
      </w:r>
      <w:r w:rsidR="00FD382E" w:rsidRPr="00F407AF">
        <w:rPr>
          <w:lang w:val="fr-BE"/>
        </w:rPr>
        <w:t>s</w:t>
      </w:r>
      <w:r w:rsidR="002615F4" w:rsidRPr="00F407AF">
        <w:rPr>
          <w:lang w:val="fr-BE"/>
        </w:rPr>
        <w:t>pectifs</w:t>
      </w:r>
      <w:r w:rsidR="00EE7F32" w:rsidRPr="00F407AF">
        <w:rPr>
          <w:lang w:val="fr-BE"/>
        </w:rPr>
        <w:t>.</w:t>
      </w:r>
    </w:p>
    <w:p w:rsidR="00EE7F32" w:rsidRPr="00F407AF" w:rsidRDefault="00EE7F32" w:rsidP="00F407AF">
      <w:pPr>
        <w:pStyle w:val="Point1"/>
        <w:rPr>
          <w:rFonts w:eastAsiaTheme="minorHAnsi"/>
          <w:lang w:val="fr-BE"/>
        </w:rPr>
      </w:pPr>
      <w:r w:rsidRPr="00F407AF">
        <w:rPr>
          <w:lang w:val="fr-BE"/>
        </w:rPr>
        <w:t>2.</w:t>
      </w:r>
      <w:r w:rsidRPr="00F407AF">
        <w:rPr>
          <w:lang w:val="fr-BE"/>
        </w:rPr>
        <w:tab/>
        <w:t xml:space="preserve">L'article 6 </w:t>
      </w:r>
      <w:r w:rsidR="002615F4" w:rsidRPr="00F407AF">
        <w:rPr>
          <w:i/>
          <w:iCs/>
          <w:lang w:val="fr-BE"/>
        </w:rPr>
        <w:t>sexies</w:t>
      </w:r>
      <w:r w:rsidR="002615F4" w:rsidRPr="00F407AF">
        <w:rPr>
          <w:lang w:val="fr-BE"/>
        </w:rPr>
        <w:t xml:space="preserve"> </w:t>
      </w:r>
      <w:r w:rsidRPr="00F407AF">
        <w:rPr>
          <w:lang w:val="fr-BE"/>
        </w:rPr>
        <w:t xml:space="preserve">s'applique aux services d'itinérance au détail réglementés </w:t>
      </w:r>
      <w:r w:rsidR="00BF1F58" w:rsidRPr="00F407AF">
        <w:rPr>
          <w:lang w:val="fr-BE"/>
        </w:rPr>
        <w:t xml:space="preserve">qui excèdent toute limite </w:t>
      </w:r>
      <w:r w:rsidR="00022731" w:rsidRPr="00F407AF">
        <w:rPr>
          <w:lang w:val="fr-BE"/>
        </w:rPr>
        <w:t xml:space="preserve">fixée par </w:t>
      </w:r>
      <w:r w:rsidR="005C7EAA" w:rsidRPr="00F407AF">
        <w:rPr>
          <w:lang w:val="fr-BE"/>
        </w:rPr>
        <w:t>une</w:t>
      </w:r>
      <w:r w:rsidRPr="00F407AF">
        <w:rPr>
          <w:lang w:val="fr-BE"/>
        </w:rPr>
        <w:t xml:space="preserve"> politique d'utilisation raisonnable.</w:t>
      </w:r>
    </w:p>
    <w:p w:rsidR="00EE7F32" w:rsidRPr="00F407AF" w:rsidRDefault="00F407AF" w:rsidP="00F407AF">
      <w:pPr>
        <w:pStyle w:val="Text1"/>
        <w:rPr>
          <w:rFonts w:eastAsiaTheme="minorHAnsi"/>
          <w:i/>
          <w:iCs/>
          <w:lang w:val="fr-BE"/>
        </w:rPr>
      </w:pPr>
      <w:r w:rsidRPr="00F407AF">
        <w:rPr>
          <w:i/>
          <w:iCs/>
          <w:lang w:val="fr-BE"/>
        </w:rPr>
        <w:t xml:space="preserve">Article 6 </w:t>
      </w:r>
      <w:r w:rsidR="002615F4" w:rsidRPr="00F407AF">
        <w:rPr>
          <w:lang w:val="fr-BE"/>
        </w:rPr>
        <w:t>quater</w:t>
      </w:r>
      <w:r w:rsidR="004256F6" w:rsidRPr="00F407AF">
        <w:rPr>
          <w:i/>
          <w:iCs/>
          <w:lang w:val="fr-BE"/>
        </w:rPr>
        <w:br/>
      </w:r>
      <w:r w:rsidR="00EE7F32" w:rsidRPr="00F407AF">
        <w:rPr>
          <w:i/>
          <w:iCs/>
          <w:lang w:val="fr-BE"/>
        </w:rPr>
        <w:t xml:space="preserve">Viabilité de la suppression des frais d'itinérance </w:t>
      </w:r>
      <w:r w:rsidR="00B025DF" w:rsidRPr="00F407AF">
        <w:rPr>
          <w:i/>
          <w:iCs/>
          <w:lang w:val="fr-BE"/>
        </w:rPr>
        <w:t xml:space="preserve">au détail </w:t>
      </w:r>
      <w:r w:rsidR="00EE7F32" w:rsidRPr="00F407AF">
        <w:rPr>
          <w:i/>
          <w:iCs/>
          <w:lang w:val="fr-BE"/>
        </w:rPr>
        <w:t>supplémentaires</w:t>
      </w:r>
    </w:p>
    <w:p w:rsidR="00EE7F32" w:rsidRPr="00F407AF" w:rsidRDefault="00EE7F32" w:rsidP="00F407AF">
      <w:pPr>
        <w:pStyle w:val="Point1"/>
        <w:rPr>
          <w:rFonts w:eastAsiaTheme="minorHAnsi"/>
          <w:lang w:val="fr-BE"/>
        </w:rPr>
      </w:pPr>
      <w:r w:rsidRPr="00F407AF">
        <w:rPr>
          <w:lang w:val="fr-BE"/>
        </w:rPr>
        <w:t>1.</w:t>
      </w:r>
      <w:r w:rsidRPr="00F407AF">
        <w:rPr>
          <w:lang w:val="fr-BE"/>
        </w:rPr>
        <w:tab/>
        <w:t xml:space="preserve">Dans des circonstances particulières </w:t>
      </w:r>
      <w:r w:rsidRPr="00F407AF">
        <w:rPr>
          <w:rFonts w:eastAsiaTheme="minorHAnsi"/>
          <w:lang w:val="fr-BE"/>
        </w:rPr>
        <w:t>et exceptionnelles</w:t>
      </w:r>
      <w:r w:rsidRPr="00F407AF">
        <w:rPr>
          <w:lang w:val="fr-BE"/>
        </w:rPr>
        <w:t xml:space="preserve">, </w:t>
      </w:r>
      <w:r w:rsidRPr="00F407AF">
        <w:rPr>
          <w:rFonts w:eastAsiaTheme="minorHAnsi"/>
          <w:lang w:val="fr-BE"/>
        </w:rPr>
        <w:t>afin de garantir la viabilité d</w:t>
      </w:r>
      <w:r w:rsidR="009A71B3" w:rsidRPr="00F407AF">
        <w:rPr>
          <w:rFonts w:eastAsiaTheme="minorHAnsi"/>
          <w:lang w:val="fr-BE"/>
        </w:rPr>
        <w:t>e son</w:t>
      </w:r>
      <w:r w:rsidRPr="00F407AF">
        <w:rPr>
          <w:rFonts w:eastAsiaTheme="minorHAnsi"/>
          <w:lang w:val="fr-BE"/>
        </w:rPr>
        <w:t xml:space="preserve"> modèle tarifaire national</w:t>
      </w:r>
      <w:r w:rsidRPr="00F407AF">
        <w:rPr>
          <w:lang w:val="fr-BE"/>
        </w:rPr>
        <w:t xml:space="preserve">, lorsqu'un fournisseur de services d'itinérance n'est pas en mesure de couvrir l'ensemble </w:t>
      </w:r>
      <w:r w:rsidRPr="00F407AF">
        <w:rPr>
          <w:rFonts w:eastAsiaTheme="minorHAnsi"/>
          <w:lang w:val="fr-BE"/>
        </w:rPr>
        <w:t xml:space="preserve">des coûts réels et </w:t>
      </w:r>
      <w:r w:rsidR="001B7178" w:rsidRPr="00F407AF">
        <w:rPr>
          <w:rFonts w:eastAsiaTheme="minorHAnsi"/>
          <w:lang w:val="fr-BE"/>
        </w:rPr>
        <w:t xml:space="preserve">prévisionnels </w:t>
      </w:r>
      <w:r w:rsidRPr="00F407AF">
        <w:rPr>
          <w:lang w:val="fr-BE"/>
        </w:rPr>
        <w:t xml:space="preserve">afférents à la fourniture de services d'itinérance </w:t>
      </w:r>
      <w:r w:rsidR="00DC2CC0" w:rsidRPr="00F407AF">
        <w:rPr>
          <w:lang w:val="fr-BE"/>
        </w:rPr>
        <w:t xml:space="preserve">réglementés </w:t>
      </w:r>
      <w:r w:rsidRPr="00F407AF">
        <w:rPr>
          <w:lang w:val="fr-BE"/>
        </w:rPr>
        <w:t xml:space="preserve">conformément aux articles 6 </w:t>
      </w:r>
      <w:r w:rsidRPr="00F407AF">
        <w:rPr>
          <w:i/>
          <w:iCs/>
          <w:lang w:val="fr-BE"/>
        </w:rPr>
        <w:t>bis</w:t>
      </w:r>
      <w:r w:rsidRPr="00F407AF">
        <w:rPr>
          <w:lang w:val="fr-BE"/>
        </w:rPr>
        <w:t xml:space="preserve"> et 6 </w:t>
      </w:r>
      <w:r w:rsidRPr="00F407AF">
        <w:rPr>
          <w:i/>
          <w:iCs/>
          <w:lang w:val="fr-BE"/>
        </w:rPr>
        <w:t>ter</w:t>
      </w:r>
      <w:r w:rsidRPr="00F407AF">
        <w:rPr>
          <w:lang w:val="fr-BE"/>
        </w:rPr>
        <w:t xml:space="preserve"> </w:t>
      </w:r>
      <w:r w:rsidRPr="00F407AF">
        <w:rPr>
          <w:rFonts w:eastAsiaTheme="minorHAnsi"/>
          <w:lang w:val="fr-BE"/>
        </w:rPr>
        <w:t xml:space="preserve">sur la base de l'ensemble des recettes réelles et </w:t>
      </w:r>
      <w:r w:rsidR="001B7178" w:rsidRPr="00F407AF">
        <w:rPr>
          <w:rFonts w:eastAsiaTheme="minorHAnsi"/>
          <w:lang w:val="fr-BE"/>
        </w:rPr>
        <w:t xml:space="preserve">prévisionnelles </w:t>
      </w:r>
      <w:r w:rsidR="00DC2CC0" w:rsidRPr="00F407AF">
        <w:rPr>
          <w:rFonts w:eastAsiaTheme="minorHAnsi"/>
          <w:lang w:val="fr-BE"/>
        </w:rPr>
        <w:t>afférentes à</w:t>
      </w:r>
      <w:r w:rsidRPr="00F407AF">
        <w:rPr>
          <w:rFonts w:eastAsiaTheme="minorHAnsi"/>
          <w:lang w:val="fr-BE"/>
        </w:rPr>
        <w:t xml:space="preserve"> la fourniture de ces services</w:t>
      </w:r>
      <w:r w:rsidRPr="00F407AF">
        <w:rPr>
          <w:lang w:val="fr-BE"/>
        </w:rPr>
        <w:t xml:space="preserve">, </w:t>
      </w:r>
      <w:r w:rsidR="002615F4" w:rsidRPr="00F407AF">
        <w:rPr>
          <w:lang w:val="fr-BE"/>
        </w:rPr>
        <w:t>le fournisseur de services d'itinérance</w:t>
      </w:r>
      <w:r w:rsidRPr="00F407AF">
        <w:rPr>
          <w:lang w:val="fr-BE"/>
        </w:rPr>
        <w:t xml:space="preserve"> peut </w:t>
      </w:r>
      <w:r w:rsidRPr="00F407AF">
        <w:rPr>
          <w:rFonts w:eastAsiaTheme="minorHAnsi"/>
          <w:lang w:val="fr-BE"/>
        </w:rPr>
        <w:t xml:space="preserve">solliciter l'autorisation </w:t>
      </w:r>
      <w:r w:rsidRPr="00F407AF">
        <w:rPr>
          <w:lang w:val="fr-BE"/>
        </w:rPr>
        <w:t xml:space="preserve">de facturer des frais supplémentaires. Ces frais supplémentaires </w:t>
      </w:r>
      <w:r w:rsidR="00DC2CC0" w:rsidRPr="00F407AF">
        <w:rPr>
          <w:lang w:val="fr-BE"/>
        </w:rPr>
        <w:t xml:space="preserve">ne </w:t>
      </w:r>
      <w:r w:rsidRPr="00F407AF">
        <w:rPr>
          <w:lang w:val="fr-BE"/>
        </w:rPr>
        <w:t xml:space="preserve">sont appliqués </w:t>
      </w:r>
      <w:r w:rsidR="00DC2CC0" w:rsidRPr="00F407AF">
        <w:rPr>
          <w:lang w:val="fr-BE"/>
        </w:rPr>
        <w:t>que</w:t>
      </w:r>
      <w:r w:rsidRPr="00F407AF">
        <w:rPr>
          <w:lang w:val="fr-BE"/>
        </w:rPr>
        <w:t xml:space="preserve"> dans la mesure nécessaire pour couvrir les coûts afférents à la fourniture de services d'itinérance au détail réglementés, </w:t>
      </w:r>
      <w:r w:rsidRPr="00F407AF">
        <w:rPr>
          <w:rFonts w:eastAsiaTheme="minorHAnsi"/>
          <w:lang w:val="fr-BE"/>
        </w:rPr>
        <w:t>eu égard aux prix de gros maximaux applicables</w:t>
      </w:r>
      <w:r w:rsidRPr="00F407AF">
        <w:rPr>
          <w:lang w:val="fr-BE"/>
        </w:rPr>
        <w:t>.</w:t>
      </w:r>
    </w:p>
    <w:p w:rsidR="00EE7F32" w:rsidRPr="00F407AF" w:rsidRDefault="00EE7F32" w:rsidP="00F407AF">
      <w:pPr>
        <w:pStyle w:val="Point1"/>
        <w:rPr>
          <w:rFonts w:eastAsiaTheme="minorHAnsi"/>
          <w:lang w:val="fr-BE"/>
        </w:rPr>
      </w:pPr>
      <w:r w:rsidRPr="00F407AF">
        <w:rPr>
          <w:lang w:val="fr-BE"/>
        </w:rPr>
        <w:t>2.</w:t>
      </w:r>
      <w:r w:rsidRPr="00F407AF">
        <w:rPr>
          <w:lang w:val="fr-BE"/>
        </w:rPr>
        <w:tab/>
        <w:t xml:space="preserve">Lorsqu'un fournisseur de services d'itinérance décide </w:t>
      </w:r>
      <w:r w:rsidR="001154A1" w:rsidRPr="00F407AF">
        <w:rPr>
          <w:lang w:val="fr-BE"/>
        </w:rPr>
        <w:t>de se prévaloir du</w:t>
      </w:r>
      <w:r w:rsidRPr="00F407AF">
        <w:rPr>
          <w:lang w:val="fr-BE"/>
        </w:rPr>
        <w:t xml:space="preserve"> paragraphe 1</w:t>
      </w:r>
      <w:r w:rsidR="00432032" w:rsidRPr="00F407AF">
        <w:rPr>
          <w:lang w:val="fr-BE"/>
        </w:rPr>
        <w:t xml:space="preserve"> du présent article,</w:t>
      </w:r>
      <w:r w:rsidRPr="00F407AF">
        <w:rPr>
          <w:lang w:val="fr-BE"/>
        </w:rPr>
        <w:t xml:space="preserve"> il </w:t>
      </w:r>
      <w:r w:rsidR="0023738A" w:rsidRPr="00F407AF">
        <w:rPr>
          <w:rFonts w:eastAsiaTheme="minorHAnsi"/>
          <w:lang w:val="fr-BE"/>
        </w:rPr>
        <w:t xml:space="preserve">sollicite </w:t>
      </w:r>
      <w:r w:rsidR="00432032" w:rsidRPr="00F407AF">
        <w:rPr>
          <w:rFonts w:eastAsiaTheme="minorHAnsi"/>
          <w:lang w:val="fr-BE"/>
        </w:rPr>
        <w:t xml:space="preserve">sans </w:t>
      </w:r>
      <w:r w:rsidR="00DC2CC0" w:rsidRPr="00F407AF">
        <w:rPr>
          <w:rFonts w:eastAsiaTheme="minorHAnsi"/>
          <w:lang w:val="fr-BE"/>
        </w:rPr>
        <w:t>retard</w:t>
      </w:r>
      <w:r w:rsidR="00432032" w:rsidRPr="00F407AF">
        <w:rPr>
          <w:rFonts w:eastAsiaTheme="minorHAnsi"/>
          <w:lang w:val="fr-BE"/>
        </w:rPr>
        <w:t xml:space="preserve"> </w:t>
      </w:r>
      <w:r w:rsidR="00DC2CC0" w:rsidRPr="00F407AF">
        <w:rPr>
          <w:rFonts w:eastAsiaTheme="minorHAnsi"/>
          <w:lang w:val="fr-BE"/>
        </w:rPr>
        <w:t xml:space="preserve">une autorisation </w:t>
      </w:r>
      <w:r w:rsidR="0023738A" w:rsidRPr="00F407AF">
        <w:rPr>
          <w:rFonts w:eastAsiaTheme="minorHAnsi"/>
          <w:lang w:val="fr-BE"/>
        </w:rPr>
        <w:t>auprès de</w:t>
      </w:r>
      <w:r w:rsidRPr="00F407AF">
        <w:rPr>
          <w:rFonts w:eastAsiaTheme="minorHAnsi"/>
          <w:lang w:val="fr-BE"/>
        </w:rPr>
        <w:t xml:space="preserve"> </w:t>
      </w:r>
      <w:r w:rsidRPr="00F407AF">
        <w:rPr>
          <w:lang w:val="fr-BE"/>
        </w:rPr>
        <w:t xml:space="preserve">l'autorité réglementaire nationale et communique à celle-ci toutes les </w:t>
      </w:r>
      <w:r w:rsidRPr="00F407AF">
        <w:rPr>
          <w:rFonts w:eastAsiaTheme="minorHAnsi"/>
          <w:lang w:val="fr-BE"/>
        </w:rPr>
        <w:t xml:space="preserve">informations </w:t>
      </w:r>
      <w:r w:rsidRPr="00F407AF">
        <w:rPr>
          <w:lang w:val="fr-BE"/>
        </w:rPr>
        <w:t xml:space="preserve">nécessaires </w:t>
      </w:r>
      <w:r w:rsidR="00DC2CC0" w:rsidRPr="00F407AF">
        <w:rPr>
          <w:lang w:val="fr-BE"/>
        </w:rPr>
        <w:t>conformément aux</w:t>
      </w:r>
      <w:r w:rsidRPr="00F407AF">
        <w:rPr>
          <w:lang w:val="fr-BE"/>
        </w:rPr>
        <w:t xml:space="preserve"> actes d'exécution visés à l'article 6 </w:t>
      </w:r>
      <w:r w:rsidR="00BE55E9" w:rsidRPr="00F407AF">
        <w:rPr>
          <w:i/>
          <w:iCs/>
          <w:lang w:val="fr-BE"/>
        </w:rPr>
        <w:t>quinquies</w:t>
      </w:r>
      <w:r w:rsidRPr="00F407AF">
        <w:rPr>
          <w:lang w:val="fr-BE"/>
        </w:rPr>
        <w:t>. Le fournisseur de services d'itinérance actualise ensuite tous les douze mois ces informations et les communique à l'autorité réglementaire nationale.</w:t>
      </w:r>
    </w:p>
    <w:p w:rsidR="00EE7F32" w:rsidRPr="00F407AF" w:rsidRDefault="00F407AF" w:rsidP="00F407AF">
      <w:pPr>
        <w:pStyle w:val="Point1"/>
        <w:rPr>
          <w:rFonts w:eastAsiaTheme="minorHAnsi"/>
          <w:lang w:val="fr-BE"/>
        </w:rPr>
      </w:pPr>
      <w:r>
        <w:rPr>
          <w:rFonts w:eastAsiaTheme="minorHAnsi"/>
          <w:lang w:val="fr-BE"/>
        </w:rPr>
        <w:br w:type="page"/>
      </w:r>
      <w:r w:rsidR="00EE7F32" w:rsidRPr="00F407AF">
        <w:rPr>
          <w:rFonts w:eastAsiaTheme="minorHAnsi"/>
          <w:lang w:val="fr-BE"/>
        </w:rPr>
        <w:lastRenderedPageBreak/>
        <w:t>3.</w:t>
      </w:r>
      <w:r w:rsidR="00EE7F32" w:rsidRPr="00F407AF">
        <w:rPr>
          <w:lang w:val="fr-BE"/>
        </w:rPr>
        <w:tab/>
      </w:r>
      <w:r w:rsidR="00EE7F32" w:rsidRPr="00F407AF">
        <w:rPr>
          <w:rFonts w:eastAsiaTheme="minorHAnsi"/>
          <w:lang w:val="fr-BE"/>
        </w:rPr>
        <w:t xml:space="preserve">Lorsqu'elle </w:t>
      </w:r>
      <w:r w:rsidR="00EE7F32" w:rsidRPr="00F407AF">
        <w:rPr>
          <w:lang w:val="fr-BE"/>
        </w:rPr>
        <w:t>reçoit</w:t>
      </w:r>
      <w:r w:rsidR="00EE7F32" w:rsidRPr="00F407AF">
        <w:rPr>
          <w:rFonts w:eastAsiaTheme="minorHAnsi"/>
          <w:lang w:val="fr-BE"/>
        </w:rPr>
        <w:t xml:space="preserve"> </w:t>
      </w:r>
      <w:r w:rsidR="0093073B" w:rsidRPr="00F407AF">
        <w:rPr>
          <w:rFonts w:eastAsiaTheme="minorHAnsi"/>
          <w:lang w:val="fr-BE"/>
        </w:rPr>
        <w:t xml:space="preserve">une </w:t>
      </w:r>
      <w:r w:rsidR="00BE55E9" w:rsidRPr="00F407AF">
        <w:rPr>
          <w:rFonts w:eastAsiaTheme="minorHAnsi"/>
          <w:lang w:val="fr-BE"/>
        </w:rPr>
        <w:t>demande d'autorisation</w:t>
      </w:r>
      <w:r w:rsidR="00EE7F32" w:rsidRPr="00F407AF">
        <w:rPr>
          <w:rFonts w:eastAsiaTheme="minorHAnsi"/>
          <w:lang w:val="fr-BE"/>
        </w:rPr>
        <w:t xml:space="preserve"> en application du paragraphe 2, l'autorité réglementaire nationale évalue si le fournisseur de services d'itinérance a démontré qu'il n'est pas en mesure de couvrir ses coûts conformément au paragraphe 1 et que la viabilité d</w:t>
      </w:r>
      <w:r w:rsidR="007101C7" w:rsidRPr="00F407AF">
        <w:rPr>
          <w:rFonts w:eastAsiaTheme="minorHAnsi"/>
          <w:lang w:val="fr-BE"/>
        </w:rPr>
        <w:t xml:space="preserve">e son </w:t>
      </w:r>
      <w:r w:rsidR="00EE7F32" w:rsidRPr="00F407AF">
        <w:rPr>
          <w:rFonts w:eastAsiaTheme="minorHAnsi"/>
          <w:lang w:val="fr-BE"/>
        </w:rPr>
        <w:t xml:space="preserve">modèle tarifaire national s'en trouverait compromise. L'évaluation de la viabilité du modèle </w:t>
      </w:r>
      <w:r w:rsidR="00444FDA" w:rsidRPr="00F407AF">
        <w:rPr>
          <w:rFonts w:eastAsiaTheme="minorHAnsi"/>
          <w:lang w:val="fr-BE"/>
        </w:rPr>
        <w:t xml:space="preserve">de </w:t>
      </w:r>
      <w:r w:rsidR="00EE7F32" w:rsidRPr="00F407AF">
        <w:rPr>
          <w:rFonts w:eastAsiaTheme="minorHAnsi"/>
          <w:lang w:val="fr-BE"/>
        </w:rPr>
        <w:t>tarif</w:t>
      </w:r>
      <w:r w:rsidR="00444FDA" w:rsidRPr="00F407AF">
        <w:rPr>
          <w:rFonts w:eastAsiaTheme="minorHAnsi"/>
          <w:lang w:val="fr-BE"/>
        </w:rPr>
        <w:t>ic</w:t>
      </w:r>
      <w:r w:rsidR="00EE7F32" w:rsidRPr="00F407AF">
        <w:rPr>
          <w:rFonts w:eastAsiaTheme="minorHAnsi"/>
          <w:lang w:val="fr-BE"/>
        </w:rPr>
        <w:t>a</w:t>
      </w:r>
      <w:r w:rsidR="00444FDA" w:rsidRPr="00F407AF">
        <w:rPr>
          <w:rFonts w:eastAsiaTheme="minorHAnsi"/>
          <w:lang w:val="fr-BE"/>
        </w:rPr>
        <w:t>t</w:t>
      </w:r>
      <w:r w:rsidR="00EE7F32" w:rsidRPr="00F407AF">
        <w:rPr>
          <w:rFonts w:eastAsiaTheme="minorHAnsi"/>
          <w:lang w:val="fr-BE"/>
        </w:rPr>
        <w:t>i</w:t>
      </w:r>
      <w:r w:rsidR="00444FDA" w:rsidRPr="00F407AF">
        <w:rPr>
          <w:rFonts w:eastAsiaTheme="minorHAnsi"/>
          <w:lang w:val="fr-BE"/>
        </w:rPr>
        <w:t>on</w:t>
      </w:r>
      <w:r w:rsidR="00EE7F32" w:rsidRPr="00F407AF">
        <w:rPr>
          <w:rFonts w:eastAsiaTheme="minorHAnsi"/>
          <w:lang w:val="fr-BE"/>
        </w:rPr>
        <w:t xml:space="preserve"> national se fonde sur les facteurs objectifs pertinents propres au fournisseur de services d'itinérance, y compris les différences objectives entre les fournisseurs de services d'itinérance dans l'État membre </w:t>
      </w:r>
      <w:r w:rsidR="00D02316" w:rsidRPr="00F407AF">
        <w:rPr>
          <w:rFonts w:eastAsiaTheme="minorHAnsi"/>
          <w:lang w:val="fr-BE"/>
        </w:rPr>
        <w:t>concerné</w:t>
      </w:r>
      <w:r w:rsidR="00EE7F32" w:rsidRPr="00F407AF">
        <w:rPr>
          <w:rFonts w:eastAsiaTheme="minorHAnsi"/>
          <w:lang w:val="fr-BE"/>
        </w:rPr>
        <w:t xml:space="preserve"> et le niveau des prix et des recettes à l'échelon national. L'autorité réglementaire nationale autorise l'application de frais supplémentaires lorsque les conditions </w:t>
      </w:r>
      <w:r w:rsidR="00DC2CC0" w:rsidRPr="00F407AF">
        <w:rPr>
          <w:rFonts w:eastAsiaTheme="minorHAnsi"/>
          <w:lang w:val="fr-BE"/>
        </w:rPr>
        <w:t>prévues</w:t>
      </w:r>
      <w:r w:rsidR="007101C7" w:rsidRPr="00F407AF">
        <w:rPr>
          <w:rFonts w:eastAsiaTheme="minorHAnsi"/>
          <w:lang w:val="fr-BE"/>
        </w:rPr>
        <w:t xml:space="preserve"> </w:t>
      </w:r>
      <w:r w:rsidR="00BE55E9" w:rsidRPr="00F407AF">
        <w:rPr>
          <w:rFonts w:eastAsiaTheme="minorHAnsi"/>
          <w:lang w:val="fr-BE"/>
        </w:rPr>
        <w:t>au</w:t>
      </w:r>
      <w:r w:rsidR="007101C7" w:rsidRPr="00F407AF">
        <w:rPr>
          <w:rFonts w:eastAsiaTheme="minorHAnsi"/>
          <w:lang w:val="fr-BE"/>
        </w:rPr>
        <w:t xml:space="preserve"> paragraphe 1 et </w:t>
      </w:r>
      <w:r w:rsidR="00BE55E9" w:rsidRPr="00F407AF">
        <w:rPr>
          <w:rFonts w:eastAsiaTheme="minorHAnsi"/>
          <w:lang w:val="fr-BE"/>
        </w:rPr>
        <w:t>au présent</w:t>
      </w:r>
      <w:r w:rsidR="007101C7" w:rsidRPr="00F407AF">
        <w:rPr>
          <w:rFonts w:eastAsiaTheme="minorHAnsi"/>
          <w:lang w:val="fr-BE"/>
        </w:rPr>
        <w:t xml:space="preserve"> paragraphe</w:t>
      </w:r>
      <w:r w:rsidR="00EE7F32" w:rsidRPr="00F407AF">
        <w:rPr>
          <w:rFonts w:eastAsiaTheme="minorHAnsi"/>
          <w:lang w:val="fr-BE"/>
        </w:rPr>
        <w:t xml:space="preserve"> sont remplies.</w:t>
      </w:r>
    </w:p>
    <w:p w:rsidR="00EE7F32" w:rsidRPr="00F407AF" w:rsidRDefault="00F407AF" w:rsidP="00F407AF">
      <w:pPr>
        <w:pStyle w:val="Point1"/>
        <w:rPr>
          <w:rFonts w:eastAsiaTheme="minorHAnsi"/>
          <w:lang w:val="fr-BE"/>
        </w:rPr>
      </w:pPr>
      <w:r>
        <w:rPr>
          <w:rFonts w:eastAsiaTheme="minorHAnsi"/>
          <w:lang w:val="fr-BE"/>
        </w:rPr>
        <w:t>4.</w:t>
      </w:r>
      <w:r w:rsidR="00DC2CC0" w:rsidRPr="00F407AF">
        <w:rPr>
          <w:rFonts w:eastAsiaTheme="minorHAnsi"/>
          <w:lang w:val="fr-BE"/>
        </w:rPr>
        <w:tab/>
      </w:r>
      <w:r w:rsidR="007101C7" w:rsidRPr="00F407AF">
        <w:rPr>
          <w:rFonts w:eastAsiaTheme="minorHAnsi"/>
          <w:lang w:val="fr-BE"/>
        </w:rPr>
        <w:t>D</w:t>
      </w:r>
      <w:r w:rsidR="00EE7F32" w:rsidRPr="00F407AF">
        <w:rPr>
          <w:rFonts w:eastAsiaTheme="minorHAnsi"/>
          <w:lang w:val="fr-BE"/>
        </w:rPr>
        <w:t xml:space="preserve">ans un délai d'un mois à compter de la réception </w:t>
      </w:r>
      <w:r w:rsidR="007101C7" w:rsidRPr="00F407AF">
        <w:rPr>
          <w:rFonts w:eastAsiaTheme="minorHAnsi"/>
          <w:lang w:val="fr-BE"/>
        </w:rPr>
        <w:t xml:space="preserve">de la </w:t>
      </w:r>
      <w:r w:rsidR="00BE55E9" w:rsidRPr="00F407AF">
        <w:rPr>
          <w:rFonts w:eastAsiaTheme="minorHAnsi"/>
          <w:lang w:val="fr-BE"/>
        </w:rPr>
        <w:t>demande d'autorisation</w:t>
      </w:r>
      <w:r w:rsidR="007101C7" w:rsidRPr="00F407AF">
        <w:rPr>
          <w:rFonts w:eastAsiaTheme="minorHAnsi"/>
          <w:lang w:val="fr-BE"/>
        </w:rPr>
        <w:t xml:space="preserve"> en vertu du paragraphe 2, l'autorité réglementaire nationale autorise </w:t>
      </w:r>
      <w:r w:rsidR="00BE55E9" w:rsidRPr="00F407AF">
        <w:rPr>
          <w:rFonts w:eastAsiaTheme="minorHAnsi"/>
          <w:lang w:val="fr-BE"/>
        </w:rPr>
        <w:t xml:space="preserve">l'application </w:t>
      </w:r>
      <w:r w:rsidR="007101C7" w:rsidRPr="00F407AF">
        <w:rPr>
          <w:rFonts w:eastAsiaTheme="minorHAnsi"/>
          <w:lang w:val="fr-BE"/>
        </w:rPr>
        <w:t>des frais supplémentaire</w:t>
      </w:r>
      <w:r w:rsidR="00F97CAC" w:rsidRPr="00F407AF">
        <w:rPr>
          <w:rFonts w:eastAsiaTheme="minorHAnsi"/>
          <w:lang w:val="fr-BE"/>
        </w:rPr>
        <w:t>s</w:t>
      </w:r>
      <w:r w:rsidR="007101C7" w:rsidRPr="00F407AF">
        <w:rPr>
          <w:rFonts w:eastAsiaTheme="minorHAnsi"/>
          <w:lang w:val="fr-BE"/>
        </w:rPr>
        <w:t xml:space="preserve"> à moins que la </w:t>
      </w:r>
      <w:r w:rsidR="00BE55E9" w:rsidRPr="00F407AF">
        <w:rPr>
          <w:rFonts w:eastAsiaTheme="minorHAnsi"/>
          <w:lang w:val="fr-BE"/>
        </w:rPr>
        <w:t>demande d'autorisation</w:t>
      </w:r>
      <w:r w:rsidR="007101C7" w:rsidRPr="00F407AF">
        <w:rPr>
          <w:rFonts w:eastAsiaTheme="minorHAnsi"/>
          <w:lang w:val="fr-BE"/>
        </w:rPr>
        <w:t xml:space="preserve"> </w:t>
      </w:r>
      <w:r w:rsidR="00BE55E9" w:rsidRPr="00F407AF">
        <w:rPr>
          <w:rFonts w:eastAsiaTheme="minorHAnsi"/>
          <w:lang w:val="fr-BE"/>
        </w:rPr>
        <w:t>ne soit</w:t>
      </w:r>
      <w:r w:rsidR="007101C7" w:rsidRPr="00F407AF">
        <w:rPr>
          <w:rFonts w:eastAsiaTheme="minorHAnsi"/>
          <w:lang w:val="fr-BE"/>
        </w:rPr>
        <w:t xml:space="preserve"> manifestement </w:t>
      </w:r>
      <w:r w:rsidR="00F97CAC" w:rsidRPr="00F407AF">
        <w:rPr>
          <w:rFonts w:eastAsiaTheme="minorHAnsi"/>
          <w:lang w:val="fr-BE"/>
        </w:rPr>
        <w:t xml:space="preserve">non </w:t>
      </w:r>
      <w:r w:rsidR="007101C7" w:rsidRPr="00F407AF">
        <w:rPr>
          <w:rFonts w:eastAsiaTheme="minorHAnsi"/>
          <w:lang w:val="fr-BE"/>
        </w:rPr>
        <w:t>fondée</w:t>
      </w:r>
      <w:r w:rsidR="00D02316" w:rsidRPr="00F407AF">
        <w:rPr>
          <w:rFonts w:eastAsiaTheme="minorHAnsi"/>
          <w:lang w:val="fr-BE"/>
        </w:rPr>
        <w:t xml:space="preserve"> ou qu'elle ne fournisse des informations insuffisantes</w:t>
      </w:r>
      <w:r w:rsidR="00F97CAC" w:rsidRPr="00F407AF">
        <w:rPr>
          <w:rFonts w:eastAsiaTheme="minorHAnsi"/>
          <w:lang w:val="fr-BE"/>
        </w:rPr>
        <w:t xml:space="preserve">. </w:t>
      </w:r>
      <w:r w:rsidR="00EE7F32" w:rsidRPr="00F407AF">
        <w:rPr>
          <w:rFonts w:eastAsiaTheme="minorHAnsi"/>
          <w:lang w:val="fr-BE"/>
        </w:rPr>
        <w:t xml:space="preserve">Lorsque l'autorité réglementaire nationale considère que la demande est manifestement </w:t>
      </w:r>
      <w:r w:rsidR="00F97CAC" w:rsidRPr="00F407AF">
        <w:rPr>
          <w:rFonts w:eastAsiaTheme="minorHAnsi"/>
          <w:lang w:val="fr-BE"/>
        </w:rPr>
        <w:t xml:space="preserve">non </w:t>
      </w:r>
      <w:r w:rsidR="00EE7F32" w:rsidRPr="00F407AF">
        <w:rPr>
          <w:rFonts w:eastAsiaTheme="minorHAnsi"/>
          <w:lang w:val="fr-BE"/>
        </w:rPr>
        <w:t>fondée ou juge insuffisantes les informations communiquées, elle prend</w:t>
      </w:r>
      <w:r w:rsidR="00F97CAC" w:rsidRPr="00F407AF">
        <w:rPr>
          <w:rFonts w:eastAsiaTheme="minorHAnsi"/>
          <w:lang w:val="fr-BE"/>
        </w:rPr>
        <w:t>,</w:t>
      </w:r>
      <w:r w:rsidR="00EE7F32" w:rsidRPr="00F407AF">
        <w:rPr>
          <w:rFonts w:eastAsiaTheme="minorHAnsi"/>
          <w:lang w:val="fr-BE"/>
        </w:rPr>
        <w:t xml:space="preserve"> dans un </w:t>
      </w:r>
      <w:r w:rsidR="00F97CAC" w:rsidRPr="00F407AF">
        <w:rPr>
          <w:rFonts w:eastAsiaTheme="minorHAnsi"/>
          <w:lang w:val="fr-BE"/>
        </w:rPr>
        <w:t xml:space="preserve">nouveau </w:t>
      </w:r>
      <w:r w:rsidR="00EE7F32" w:rsidRPr="00F407AF">
        <w:rPr>
          <w:rFonts w:eastAsiaTheme="minorHAnsi"/>
          <w:lang w:val="fr-BE"/>
        </w:rPr>
        <w:t>délai</w:t>
      </w:r>
      <w:r w:rsidR="00F97CAC" w:rsidRPr="00F407AF">
        <w:rPr>
          <w:rFonts w:eastAsiaTheme="minorHAnsi"/>
          <w:lang w:val="fr-BE"/>
        </w:rPr>
        <w:t xml:space="preserve"> </w:t>
      </w:r>
      <w:r w:rsidR="00EE7F32" w:rsidRPr="00F407AF">
        <w:rPr>
          <w:rFonts w:eastAsiaTheme="minorHAnsi"/>
          <w:lang w:val="fr-BE"/>
        </w:rPr>
        <w:t>de deux mois, après avoir donné au fournisseur de services d'itinérance la possibilité d'être entendu, une décision définitive autorisant, modifiant ou refusant l'application de frais supplémentaires.</w:t>
      </w:r>
    </w:p>
    <w:p w:rsidR="00EE7F32" w:rsidRPr="00F407AF" w:rsidRDefault="00EE7F32" w:rsidP="00395C2E">
      <w:pPr>
        <w:pStyle w:val="Text1"/>
        <w:rPr>
          <w:i/>
          <w:iCs/>
          <w:lang w:val="fr-BE"/>
        </w:rPr>
      </w:pPr>
      <w:r w:rsidRPr="00F407AF">
        <w:rPr>
          <w:lang w:val="fr-BE"/>
        </w:rPr>
        <w:br w:type="page"/>
      </w:r>
      <w:r w:rsidRPr="00F407AF">
        <w:rPr>
          <w:i/>
          <w:iCs/>
          <w:lang w:val="fr-BE"/>
        </w:rPr>
        <w:lastRenderedPageBreak/>
        <w:t xml:space="preserve">Article 6 </w:t>
      </w:r>
      <w:r w:rsidR="002615F4" w:rsidRPr="00F407AF">
        <w:rPr>
          <w:lang w:val="fr-BE"/>
        </w:rPr>
        <w:t>quinquies</w:t>
      </w:r>
      <w:r w:rsidRPr="00F407AF">
        <w:rPr>
          <w:i/>
          <w:iCs/>
          <w:lang w:val="fr-BE"/>
        </w:rPr>
        <w:br/>
        <w:t>Mise en œuvre de la politique d'utilisation raisonnable</w:t>
      </w:r>
      <w:r w:rsidR="004256F6" w:rsidRPr="00F407AF">
        <w:rPr>
          <w:i/>
          <w:iCs/>
          <w:lang w:val="fr-BE"/>
        </w:rPr>
        <w:t xml:space="preserve"> et </w:t>
      </w:r>
      <w:r w:rsidR="00A82DD2" w:rsidRPr="00F407AF">
        <w:rPr>
          <w:i/>
          <w:iCs/>
          <w:lang w:val="fr-BE"/>
        </w:rPr>
        <w:t xml:space="preserve">de la </w:t>
      </w:r>
      <w:r w:rsidR="00F407AF">
        <w:rPr>
          <w:i/>
          <w:iCs/>
          <w:lang w:val="fr-BE"/>
        </w:rPr>
        <w:t>viabilité</w:t>
      </w:r>
      <w:r w:rsidR="00395C2E">
        <w:rPr>
          <w:i/>
          <w:iCs/>
          <w:lang w:val="fr-BE"/>
        </w:rPr>
        <w:t xml:space="preserve"> </w:t>
      </w:r>
      <w:r w:rsidR="004256F6" w:rsidRPr="00F407AF">
        <w:rPr>
          <w:i/>
          <w:iCs/>
          <w:lang w:val="fr-BE"/>
        </w:rPr>
        <w:t>de la suppression</w:t>
      </w:r>
      <w:r w:rsidR="00F407AF">
        <w:rPr>
          <w:i/>
          <w:iCs/>
          <w:lang w:val="fr-BE"/>
        </w:rPr>
        <w:t xml:space="preserve"> </w:t>
      </w:r>
      <w:r w:rsidRPr="00F407AF">
        <w:rPr>
          <w:i/>
          <w:iCs/>
          <w:lang w:val="fr-BE"/>
        </w:rPr>
        <w:t xml:space="preserve">des frais d'itinérance </w:t>
      </w:r>
      <w:r w:rsidR="00B025DF" w:rsidRPr="00F407AF">
        <w:rPr>
          <w:i/>
          <w:iCs/>
          <w:lang w:val="fr-BE"/>
        </w:rPr>
        <w:t xml:space="preserve">au détail </w:t>
      </w:r>
      <w:r w:rsidRPr="00F407AF">
        <w:rPr>
          <w:i/>
          <w:iCs/>
          <w:lang w:val="fr-BE"/>
        </w:rPr>
        <w:t>supplémentaires</w:t>
      </w:r>
    </w:p>
    <w:p w:rsidR="00EE7F32" w:rsidRPr="00F407AF" w:rsidRDefault="00EE7F32" w:rsidP="00F407AF">
      <w:pPr>
        <w:pStyle w:val="Point1"/>
        <w:rPr>
          <w:lang w:val="fr-BE"/>
        </w:rPr>
      </w:pPr>
      <w:r w:rsidRPr="00F407AF">
        <w:rPr>
          <w:lang w:val="fr-BE"/>
        </w:rPr>
        <w:t>1.</w:t>
      </w:r>
      <w:r w:rsidRPr="00F407AF">
        <w:rPr>
          <w:lang w:val="fr-BE"/>
        </w:rPr>
        <w:tab/>
      </w:r>
      <w:r w:rsidR="0069496A" w:rsidRPr="00F407AF">
        <w:rPr>
          <w:lang w:val="fr-BE"/>
        </w:rPr>
        <w:t>Au plus tard le 15 décembre 201</w:t>
      </w:r>
      <w:r w:rsidR="00CF1AAF" w:rsidRPr="00F407AF">
        <w:rPr>
          <w:lang w:val="fr-BE"/>
        </w:rPr>
        <w:t>6</w:t>
      </w:r>
      <w:r w:rsidR="0069496A" w:rsidRPr="00F407AF">
        <w:rPr>
          <w:lang w:val="fr-BE"/>
        </w:rPr>
        <w:t>, a</w:t>
      </w:r>
      <w:r w:rsidRPr="00F407AF">
        <w:rPr>
          <w:lang w:val="fr-BE"/>
        </w:rPr>
        <w:t xml:space="preserve">fin d'assurer l'application cohérente des articles 6 </w:t>
      </w:r>
      <w:r w:rsidRPr="00F407AF">
        <w:rPr>
          <w:i/>
          <w:iCs/>
          <w:lang w:val="fr-BE"/>
        </w:rPr>
        <w:t>ter</w:t>
      </w:r>
      <w:r w:rsidRPr="00F407AF">
        <w:rPr>
          <w:lang w:val="fr-BE"/>
        </w:rPr>
        <w:t xml:space="preserve"> et 6 </w:t>
      </w:r>
      <w:r w:rsidR="00A82DD2" w:rsidRPr="00F407AF">
        <w:rPr>
          <w:i/>
          <w:iCs/>
          <w:lang w:val="fr-BE"/>
        </w:rPr>
        <w:t>quater</w:t>
      </w:r>
      <w:r w:rsidR="00193CF0" w:rsidRPr="00F407AF">
        <w:rPr>
          <w:lang w:val="fr-BE"/>
        </w:rPr>
        <w:t>,</w:t>
      </w:r>
      <w:r w:rsidRPr="00F407AF">
        <w:rPr>
          <w:lang w:val="fr-BE"/>
        </w:rPr>
        <w:t xml:space="preserve"> la Commission adopte, </w:t>
      </w:r>
      <w:r w:rsidR="00323261" w:rsidRPr="00F407AF">
        <w:rPr>
          <w:lang w:val="fr-BE"/>
        </w:rPr>
        <w:t xml:space="preserve">après avoir consulté l'ORECE, </w:t>
      </w:r>
      <w:r w:rsidRPr="00F407AF">
        <w:rPr>
          <w:lang w:val="fr-BE"/>
        </w:rPr>
        <w:t>d</w:t>
      </w:r>
      <w:r w:rsidR="00C55381" w:rsidRPr="00F407AF">
        <w:rPr>
          <w:lang w:val="fr-BE"/>
        </w:rPr>
        <w:t>es</w:t>
      </w:r>
      <w:r w:rsidR="00A82DD2" w:rsidRPr="00F407AF">
        <w:rPr>
          <w:lang w:val="fr-BE"/>
        </w:rPr>
        <w:t xml:space="preserve"> </w:t>
      </w:r>
      <w:r w:rsidRPr="00F407AF">
        <w:rPr>
          <w:lang w:val="fr-BE"/>
        </w:rPr>
        <w:t xml:space="preserve">actes d'exécution </w:t>
      </w:r>
      <w:r w:rsidR="00F97CAC" w:rsidRPr="00F407AF">
        <w:rPr>
          <w:lang w:val="fr-BE"/>
        </w:rPr>
        <w:t xml:space="preserve">fixant </w:t>
      </w:r>
      <w:r w:rsidRPr="00F407AF">
        <w:rPr>
          <w:lang w:val="fr-BE"/>
        </w:rPr>
        <w:t xml:space="preserve">des règles détaillées sur l'application de la politique d'utilisation raisonnable, la méthode appliquée pour évaluer la viabilité de la suppression des frais d'itinérance </w:t>
      </w:r>
      <w:r w:rsidR="00B025DF" w:rsidRPr="00F407AF">
        <w:rPr>
          <w:lang w:val="fr-BE"/>
        </w:rPr>
        <w:t xml:space="preserve">au détail </w:t>
      </w:r>
      <w:r w:rsidRPr="00F407AF">
        <w:rPr>
          <w:lang w:val="fr-BE"/>
        </w:rPr>
        <w:t xml:space="preserve">supplémentaires et </w:t>
      </w:r>
      <w:r w:rsidR="00323261" w:rsidRPr="00F407AF">
        <w:rPr>
          <w:lang w:val="fr-BE"/>
        </w:rPr>
        <w:t xml:space="preserve">la </w:t>
      </w:r>
      <w:r w:rsidR="00323261" w:rsidRPr="00F407AF">
        <w:rPr>
          <w:rFonts w:eastAsiaTheme="minorHAnsi"/>
          <w:lang w:val="fr-BE"/>
        </w:rPr>
        <w:t>demande d'autorisation</w:t>
      </w:r>
      <w:r w:rsidRPr="00F407AF">
        <w:rPr>
          <w:lang w:val="fr-BE"/>
        </w:rPr>
        <w:t xml:space="preserve"> que le fournisseur de services d'itinérance doit transmettre aux fins de cette évaluation.</w:t>
      </w:r>
      <w:r w:rsidR="00D42A1A" w:rsidRPr="00F407AF">
        <w:rPr>
          <w:lang w:val="fr-BE"/>
        </w:rPr>
        <w:t xml:space="preserve"> </w:t>
      </w:r>
      <w:r w:rsidR="00323261" w:rsidRPr="00F407AF">
        <w:rPr>
          <w:lang w:val="fr-BE"/>
        </w:rPr>
        <w:t>C</w:t>
      </w:r>
      <w:r w:rsidR="00D42A1A" w:rsidRPr="00F407AF">
        <w:rPr>
          <w:lang w:val="fr-BE"/>
        </w:rPr>
        <w:t>es actes d'exécution sont adoptés en conformité avec la procédure d'examen visée à l'article 6, paragraphe 2.</w:t>
      </w:r>
    </w:p>
    <w:p w:rsidR="00EE7F32" w:rsidRPr="00F407AF" w:rsidRDefault="00EE7F32" w:rsidP="00F407AF">
      <w:pPr>
        <w:pStyle w:val="Point1"/>
        <w:rPr>
          <w:lang w:val="fr-BE"/>
        </w:rPr>
      </w:pPr>
      <w:r w:rsidRPr="00F407AF">
        <w:rPr>
          <w:lang w:val="fr-BE"/>
        </w:rPr>
        <w:t>2.</w:t>
      </w:r>
      <w:r w:rsidRPr="00F407AF">
        <w:rPr>
          <w:lang w:val="fr-BE"/>
        </w:rPr>
        <w:tab/>
      </w:r>
      <w:r w:rsidR="00F407AF">
        <w:rPr>
          <w:lang w:val="fr-BE"/>
        </w:rPr>
        <w:t xml:space="preserve">En ce qui concerne l'article 6 </w:t>
      </w:r>
      <w:r w:rsidR="0069496A" w:rsidRPr="00F407AF">
        <w:rPr>
          <w:i/>
          <w:iCs/>
          <w:lang w:val="fr-BE"/>
        </w:rPr>
        <w:t>ter</w:t>
      </w:r>
      <w:r w:rsidR="0069496A" w:rsidRPr="00F407AF">
        <w:rPr>
          <w:lang w:val="fr-BE"/>
        </w:rPr>
        <w:t>, l</w:t>
      </w:r>
      <w:r w:rsidR="00C55381" w:rsidRPr="00F407AF">
        <w:rPr>
          <w:lang w:val="fr-BE"/>
        </w:rPr>
        <w:t>orsqu'</w:t>
      </w:r>
      <w:r w:rsidR="00323261" w:rsidRPr="00F407AF">
        <w:rPr>
          <w:lang w:val="fr-BE"/>
        </w:rPr>
        <w:t>elle</w:t>
      </w:r>
      <w:r w:rsidR="00C55381" w:rsidRPr="00F407AF">
        <w:rPr>
          <w:lang w:val="fr-BE"/>
        </w:rPr>
        <w:t xml:space="preserve"> </w:t>
      </w:r>
      <w:r w:rsidRPr="00F407AF">
        <w:rPr>
          <w:lang w:val="fr-BE"/>
        </w:rPr>
        <w:t>adopt</w:t>
      </w:r>
      <w:r w:rsidR="00C55381" w:rsidRPr="00F407AF">
        <w:rPr>
          <w:lang w:val="fr-BE"/>
        </w:rPr>
        <w:t>e</w:t>
      </w:r>
      <w:r w:rsidRPr="00F407AF">
        <w:rPr>
          <w:lang w:val="fr-BE"/>
        </w:rPr>
        <w:t xml:space="preserve"> des </w:t>
      </w:r>
      <w:r w:rsidR="00323261" w:rsidRPr="00F407AF">
        <w:rPr>
          <w:lang w:val="fr-BE"/>
        </w:rPr>
        <w:t xml:space="preserve">actes d'exécution </w:t>
      </w:r>
      <w:r w:rsidR="00F97CAC" w:rsidRPr="00F407AF">
        <w:rPr>
          <w:lang w:val="fr-BE"/>
        </w:rPr>
        <w:t xml:space="preserve">fixant </w:t>
      </w:r>
      <w:r w:rsidR="00323261" w:rsidRPr="00F407AF">
        <w:rPr>
          <w:lang w:val="fr-BE"/>
        </w:rPr>
        <w:t xml:space="preserve">des </w:t>
      </w:r>
      <w:r w:rsidRPr="00F407AF">
        <w:rPr>
          <w:lang w:val="fr-BE"/>
        </w:rPr>
        <w:t>règles détaillées sur l'application de la politique d'utilisation raisonnable, la Commission prend en compte les éléments suivants:</w:t>
      </w:r>
    </w:p>
    <w:p w:rsidR="00EE7F32" w:rsidRPr="00F407AF" w:rsidRDefault="00C55381" w:rsidP="00F407AF">
      <w:pPr>
        <w:pStyle w:val="Point2"/>
        <w:rPr>
          <w:lang w:val="fr-BE"/>
        </w:rPr>
      </w:pPr>
      <w:r w:rsidRPr="00F407AF">
        <w:rPr>
          <w:lang w:val="fr-BE"/>
        </w:rPr>
        <w:t>a</w:t>
      </w:r>
      <w:r w:rsidR="00F407AF" w:rsidRPr="00F407AF">
        <w:rPr>
          <w:lang w:val="fr-BE"/>
        </w:rPr>
        <w:t>)</w:t>
      </w:r>
      <w:r w:rsidR="00EE7F32" w:rsidRPr="00F407AF">
        <w:rPr>
          <w:lang w:val="fr-BE"/>
        </w:rPr>
        <w:tab/>
        <w:t>l'évolution</w:t>
      </w:r>
      <w:r w:rsidR="00F407AF">
        <w:rPr>
          <w:lang w:val="fr-BE"/>
        </w:rPr>
        <w:t xml:space="preserve"> des schémas de tarification et </w:t>
      </w:r>
      <w:r w:rsidR="00EE7F32" w:rsidRPr="00F407AF">
        <w:rPr>
          <w:lang w:val="fr-BE"/>
        </w:rPr>
        <w:t>de consommation dans les États membres;</w:t>
      </w:r>
    </w:p>
    <w:p w:rsidR="00EE7F32" w:rsidRPr="00F407AF" w:rsidRDefault="00C55381" w:rsidP="00F407AF">
      <w:pPr>
        <w:pStyle w:val="Point2"/>
        <w:rPr>
          <w:lang w:val="fr-BE"/>
        </w:rPr>
      </w:pPr>
      <w:r w:rsidRPr="00F407AF">
        <w:rPr>
          <w:lang w:val="fr-BE"/>
        </w:rPr>
        <w:t>b</w:t>
      </w:r>
      <w:r w:rsidR="00EE7F32" w:rsidRPr="00F407AF">
        <w:rPr>
          <w:lang w:val="fr-BE"/>
        </w:rPr>
        <w:t>)</w:t>
      </w:r>
      <w:r w:rsidR="00EE7F32" w:rsidRPr="00F407AF">
        <w:rPr>
          <w:lang w:val="fr-BE"/>
        </w:rPr>
        <w:tab/>
        <w:t>le degré de convergence des prix nationaux dans toute l'Union;</w:t>
      </w:r>
    </w:p>
    <w:p w:rsidR="00EE7F32" w:rsidRPr="00F407AF" w:rsidRDefault="00C55381" w:rsidP="00F407AF">
      <w:pPr>
        <w:pStyle w:val="Point2"/>
        <w:rPr>
          <w:lang w:val="fr-BE"/>
        </w:rPr>
      </w:pPr>
      <w:r w:rsidRPr="00F407AF">
        <w:rPr>
          <w:lang w:val="fr-BE"/>
        </w:rPr>
        <w:t>c</w:t>
      </w:r>
      <w:r w:rsidR="00EE7F32" w:rsidRPr="00F407AF">
        <w:rPr>
          <w:lang w:val="fr-BE"/>
        </w:rPr>
        <w:t>)</w:t>
      </w:r>
      <w:r w:rsidR="00EE7F32" w:rsidRPr="00F407AF">
        <w:rPr>
          <w:lang w:val="fr-BE"/>
        </w:rPr>
        <w:tab/>
        <w:t>les schémas de déplacement dans l'Union;</w:t>
      </w:r>
    </w:p>
    <w:p w:rsidR="00EE7F32" w:rsidRPr="00F407AF" w:rsidRDefault="00C55381" w:rsidP="00F407AF">
      <w:pPr>
        <w:pStyle w:val="Point2"/>
        <w:rPr>
          <w:lang w:val="fr-BE"/>
        </w:rPr>
      </w:pPr>
      <w:r w:rsidRPr="00F407AF">
        <w:rPr>
          <w:lang w:val="fr-BE"/>
        </w:rPr>
        <w:t>d</w:t>
      </w:r>
      <w:r w:rsidR="00EE7F32" w:rsidRPr="00F407AF">
        <w:rPr>
          <w:lang w:val="fr-BE"/>
        </w:rPr>
        <w:t>)</w:t>
      </w:r>
      <w:r w:rsidR="00EE7F32" w:rsidRPr="00F407AF">
        <w:rPr>
          <w:lang w:val="fr-BE"/>
        </w:rPr>
        <w:tab/>
        <w:t>les risques observables de distorsion de la concurrence et d</w:t>
      </w:r>
      <w:r w:rsidR="00CF1AAF" w:rsidRPr="00F407AF">
        <w:rPr>
          <w:lang w:val="fr-BE"/>
        </w:rPr>
        <w:t>e l</w:t>
      </w:r>
      <w:r w:rsidR="00EE7F32" w:rsidRPr="00F407AF">
        <w:rPr>
          <w:lang w:val="fr-BE"/>
        </w:rPr>
        <w:t xml:space="preserve">'incitation à l'investissement sur les marchés </w:t>
      </w:r>
      <w:r w:rsidR="00323261" w:rsidRPr="00F407AF">
        <w:rPr>
          <w:lang w:val="fr-BE"/>
        </w:rPr>
        <w:t>nationaux</w:t>
      </w:r>
      <w:r w:rsidR="00EE7F32" w:rsidRPr="00F407AF">
        <w:rPr>
          <w:lang w:val="fr-BE"/>
        </w:rPr>
        <w:t xml:space="preserve"> et les marchés visités.</w:t>
      </w:r>
    </w:p>
    <w:p w:rsidR="00193CF0" w:rsidRPr="00543B6E" w:rsidRDefault="00F407AF" w:rsidP="00F407AF">
      <w:pPr>
        <w:pStyle w:val="Point1"/>
        <w:rPr>
          <w:lang w:val="fr-BE"/>
        </w:rPr>
      </w:pPr>
      <w:r>
        <w:rPr>
          <w:lang w:val="fr-BE"/>
        </w:rPr>
        <w:br w:type="page"/>
      </w:r>
      <w:r w:rsidR="00EE7F32" w:rsidRPr="009921DC">
        <w:rPr>
          <w:lang w:val="fr-BE"/>
        </w:rPr>
        <w:lastRenderedPageBreak/>
        <w:t>3.</w:t>
      </w:r>
      <w:r w:rsidR="00EE7F32" w:rsidRPr="009921DC">
        <w:rPr>
          <w:lang w:val="fr-BE"/>
        </w:rPr>
        <w:tab/>
      </w:r>
      <w:r w:rsidR="0069496A" w:rsidRPr="009921DC">
        <w:rPr>
          <w:lang w:val="fr-BE"/>
        </w:rPr>
        <w:t xml:space="preserve">En ce qui concerne </w:t>
      </w:r>
      <w:r w:rsidR="0069496A" w:rsidRPr="00F407AF">
        <w:rPr>
          <w:lang w:val="fr-BE"/>
        </w:rPr>
        <w:t xml:space="preserve">l'article 6 </w:t>
      </w:r>
      <w:r w:rsidR="0069496A" w:rsidRPr="00F407AF">
        <w:rPr>
          <w:i/>
          <w:iCs/>
          <w:lang w:val="fr-BE"/>
        </w:rPr>
        <w:t>quater</w:t>
      </w:r>
      <w:r w:rsidR="0069496A" w:rsidRPr="00F407AF">
        <w:rPr>
          <w:lang w:val="fr-BE"/>
        </w:rPr>
        <w:t>,</w:t>
      </w:r>
      <w:r w:rsidR="0069496A" w:rsidRPr="009921DC">
        <w:rPr>
          <w:lang w:val="fr-BE"/>
        </w:rPr>
        <w:t xml:space="preserve"> l</w:t>
      </w:r>
      <w:r w:rsidR="00C55381" w:rsidRPr="009921DC">
        <w:rPr>
          <w:lang w:val="fr-BE"/>
        </w:rPr>
        <w:t>orsqu'</w:t>
      </w:r>
      <w:r w:rsidR="00323261" w:rsidRPr="009921DC">
        <w:rPr>
          <w:lang w:val="fr-BE"/>
        </w:rPr>
        <w:t>elle</w:t>
      </w:r>
      <w:r w:rsidR="00C55381" w:rsidRPr="009921DC">
        <w:rPr>
          <w:lang w:val="fr-BE"/>
        </w:rPr>
        <w:t xml:space="preserve"> adopte des </w:t>
      </w:r>
      <w:r w:rsidR="00B56D5D" w:rsidRPr="009921DC">
        <w:rPr>
          <w:lang w:val="fr-BE"/>
        </w:rPr>
        <w:t xml:space="preserve">actes d'exécution </w:t>
      </w:r>
      <w:r w:rsidR="00F97CAC" w:rsidRPr="009921DC">
        <w:rPr>
          <w:lang w:val="fr-BE"/>
        </w:rPr>
        <w:t xml:space="preserve">fixant </w:t>
      </w:r>
      <w:r w:rsidR="00B56D5D" w:rsidRPr="009921DC">
        <w:rPr>
          <w:lang w:val="fr-BE"/>
        </w:rPr>
        <w:t>des</w:t>
      </w:r>
      <w:r w:rsidR="00B56D5D" w:rsidRPr="009921DC" w:rsidDel="00B56D5D">
        <w:rPr>
          <w:lang w:val="fr-BE"/>
        </w:rPr>
        <w:t xml:space="preserve"> </w:t>
      </w:r>
      <w:r w:rsidR="00EE7F32" w:rsidRPr="009921DC">
        <w:rPr>
          <w:lang w:val="fr-BE"/>
        </w:rPr>
        <w:t xml:space="preserve">règles détaillées sur la méthode </w:t>
      </w:r>
      <w:r w:rsidR="00193CF0" w:rsidRPr="00543B6E">
        <w:rPr>
          <w:lang w:val="fr-BE"/>
        </w:rPr>
        <w:t>à suivre</w:t>
      </w:r>
      <w:r w:rsidR="00193CF0" w:rsidRPr="009921DC">
        <w:rPr>
          <w:lang w:val="fr-BE"/>
        </w:rPr>
        <w:t xml:space="preserve"> </w:t>
      </w:r>
      <w:r w:rsidR="00EE7F32" w:rsidRPr="009921DC">
        <w:rPr>
          <w:lang w:val="fr-BE"/>
        </w:rPr>
        <w:t xml:space="preserve">pour </w:t>
      </w:r>
      <w:r w:rsidR="00EE7F32" w:rsidRPr="00F407AF">
        <w:rPr>
          <w:lang w:val="fr-BE"/>
        </w:rPr>
        <w:t xml:space="preserve">évaluer la viabilité de la suppression </w:t>
      </w:r>
      <w:r w:rsidR="00EE7F32" w:rsidRPr="009921DC">
        <w:rPr>
          <w:lang w:val="fr-BE"/>
        </w:rPr>
        <w:t xml:space="preserve">des frais d'itinérance </w:t>
      </w:r>
      <w:r w:rsidR="00B025DF" w:rsidRPr="009921DC">
        <w:rPr>
          <w:lang w:val="fr-BE"/>
        </w:rPr>
        <w:t xml:space="preserve">au détail </w:t>
      </w:r>
      <w:r w:rsidR="00EE7F32" w:rsidRPr="00F407AF">
        <w:rPr>
          <w:lang w:val="fr-BE"/>
        </w:rPr>
        <w:t>supplémentaires appliqués par un fournisseur de services d'itinérance</w:t>
      </w:r>
      <w:r w:rsidR="00C55381" w:rsidRPr="00F407AF">
        <w:rPr>
          <w:lang w:val="fr-BE"/>
        </w:rPr>
        <w:t xml:space="preserve">, </w:t>
      </w:r>
      <w:r w:rsidR="00C55381" w:rsidRPr="009921DC">
        <w:rPr>
          <w:lang w:val="fr-BE"/>
        </w:rPr>
        <w:t>la Commission se fonde</w:t>
      </w:r>
      <w:r w:rsidR="00EE7F32" w:rsidRPr="009921DC">
        <w:rPr>
          <w:lang w:val="fr-BE"/>
        </w:rPr>
        <w:t xml:space="preserve"> sur les éléments suivants:</w:t>
      </w:r>
    </w:p>
    <w:p w:rsidR="00EE7F32" w:rsidRPr="00F407AF" w:rsidRDefault="00362593" w:rsidP="00F407AF">
      <w:pPr>
        <w:pStyle w:val="Point2"/>
        <w:rPr>
          <w:lang w:val="fr-BE"/>
        </w:rPr>
      </w:pPr>
      <w:r w:rsidRPr="00F407AF">
        <w:rPr>
          <w:lang w:val="fr-BE"/>
        </w:rPr>
        <w:t>a</w:t>
      </w:r>
      <w:r w:rsidR="00F407AF" w:rsidRPr="00F407AF">
        <w:rPr>
          <w:lang w:val="fr-BE"/>
        </w:rPr>
        <w:t>)</w:t>
      </w:r>
      <w:r w:rsidR="00EE7F32" w:rsidRPr="00F407AF">
        <w:rPr>
          <w:lang w:val="fr-BE"/>
        </w:rPr>
        <w:tab/>
        <w:t xml:space="preserve">la détermination de l'ensemble des coûts réels et </w:t>
      </w:r>
      <w:r w:rsidR="001B7178" w:rsidRPr="00F407AF">
        <w:rPr>
          <w:lang w:val="fr-BE"/>
        </w:rPr>
        <w:t xml:space="preserve">prévisionnels </w:t>
      </w:r>
      <w:r w:rsidR="00EE7F32" w:rsidRPr="00F407AF">
        <w:rPr>
          <w:lang w:val="fr-BE"/>
        </w:rPr>
        <w:t xml:space="preserve">afférents à la fourniture de services d'itinérance au détail réglementés par rapport aux tarifs d'itinérance de gros effectifs pour le trafic non équilibré et une part raisonnable des </w:t>
      </w:r>
      <w:r w:rsidR="00680541" w:rsidRPr="00F407AF">
        <w:rPr>
          <w:lang w:val="fr-BE"/>
        </w:rPr>
        <w:t xml:space="preserve">coûts liés </w:t>
      </w:r>
      <w:r w:rsidR="00EE7F32" w:rsidRPr="00F407AF">
        <w:rPr>
          <w:lang w:val="fr-BE"/>
        </w:rPr>
        <w:t>et communs nécessaires pour la fourniture de services d'itinérance au détail réglementés;</w:t>
      </w:r>
    </w:p>
    <w:p w:rsidR="00EE7F32" w:rsidRPr="00F407AF" w:rsidRDefault="00362593" w:rsidP="00F407AF">
      <w:pPr>
        <w:pStyle w:val="Point2"/>
        <w:rPr>
          <w:lang w:val="fr-BE"/>
        </w:rPr>
      </w:pPr>
      <w:r w:rsidRPr="00F407AF">
        <w:rPr>
          <w:lang w:val="fr-BE"/>
        </w:rPr>
        <w:t>b</w:t>
      </w:r>
      <w:r w:rsidR="00EE7F32" w:rsidRPr="00F407AF">
        <w:rPr>
          <w:lang w:val="fr-BE"/>
        </w:rPr>
        <w:t>)</w:t>
      </w:r>
      <w:r w:rsidR="00EE7F32" w:rsidRPr="00F407AF">
        <w:rPr>
          <w:lang w:val="fr-BE"/>
        </w:rPr>
        <w:tab/>
        <w:t xml:space="preserve">la détermination de l'ensemble des recettes réelles et </w:t>
      </w:r>
      <w:r w:rsidR="001B7178" w:rsidRPr="00F407AF">
        <w:rPr>
          <w:lang w:val="fr-BE"/>
        </w:rPr>
        <w:t xml:space="preserve">prévisionnelles </w:t>
      </w:r>
      <w:r w:rsidR="00F97CAC" w:rsidRPr="00F407AF">
        <w:rPr>
          <w:lang w:val="fr-BE"/>
        </w:rPr>
        <w:t>afférentes à</w:t>
      </w:r>
      <w:r w:rsidR="00EE7F32" w:rsidRPr="00F407AF">
        <w:rPr>
          <w:lang w:val="fr-BE"/>
        </w:rPr>
        <w:t xml:space="preserve"> la fourniture de services d'itinérance au détail réglementés;</w:t>
      </w:r>
    </w:p>
    <w:p w:rsidR="00EE7F32" w:rsidRPr="00F407AF" w:rsidRDefault="00362593" w:rsidP="00F407AF">
      <w:pPr>
        <w:pStyle w:val="Point2"/>
        <w:rPr>
          <w:lang w:val="fr-BE"/>
        </w:rPr>
      </w:pPr>
      <w:r w:rsidRPr="00F407AF">
        <w:rPr>
          <w:lang w:val="fr-BE"/>
        </w:rPr>
        <w:t>c</w:t>
      </w:r>
      <w:r w:rsidR="00F407AF" w:rsidRPr="00F407AF">
        <w:rPr>
          <w:lang w:val="fr-BE"/>
        </w:rPr>
        <w:t>)</w:t>
      </w:r>
      <w:r w:rsidR="00EE7F32" w:rsidRPr="00F407AF">
        <w:rPr>
          <w:lang w:val="fr-BE"/>
        </w:rPr>
        <w:tab/>
        <w:t xml:space="preserve">la consommation de services d'itinérance au détail réglementés et la consommation </w:t>
      </w:r>
      <w:r w:rsidR="00F97CAC" w:rsidRPr="00F407AF">
        <w:rPr>
          <w:lang w:val="fr-BE"/>
        </w:rPr>
        <w:t>au niveau</w:t>
      </w:r>
      <w:r w:rsidR="00EE7F32" w:rsidRPr="00F407AF">
        <w:rPr>
          <w:lang w:val="fr-BE"/>
        </w:rPr>
        <w:t xml:space="preserve"> </w:t>
      </w:r>
      <w:r w:rsidR="006D01AB" w:rsidRPr="00F407AF">
        <w:rPr>
          <w:lang w:val="fr-BE"/>
        </w:rPr>
        <w:t xml:space="preserve">national </w:t>
      </w:r>
      <w:r w:rsidR="00EE7F32" w:rsidRPr="00F407AF">
        <w:rPr>
          <w:lang w:val="fr-BE"/>
        </w:rPr>
        <w:t xml:space="preserve">des </w:t>
      </w:r>
      <w:r w:rsidR="0081329A" w:rsidRPr="00F407AF">
        <w:rPr>
          <w:lang w:val="fr-BE"/>
        </w:rPr>
        <w:t>clients</w:t>
      </w:r>
      <w:r w:rsidR="00EE7F32" w:rsidRPr="00F407AF">
        <w:rPr>
          <w:lang w:val="fr-BE"/>
        </w:rPr>
        <w:t xml:space="preserve"> du fournisseur de services d'itinérance;</w:t>
      </w:r>
    </w:p>
    <w:p w:rsidR="00EE7F32" w:rsidRPr="00F407AF" w:rsidRDefault="00362593" w:rsidP="00F407AF">
      <w:pPr>
        <w:pStyle w:val="Point2"/>
        <w:rPr>
          <w:lang w:val="fr-BE"/>
        </w:rPr>
      </w:pPr>
      <w:r w:rsidRPr="00F407AF">
        <w:rPr>
          <w:lang w:val="fr-BE"/>
        </w:rPr>
        <w:t>d</w:t>
      </w:r>
      <w:r w:rsidR="00F407AF" w:rsidRPr="00F407AF">
        <w:rPr>
          <w:lang w:val="fr-BE"/>
        </w:rPr>
        <w:t>)</w:t>
      </w:r>
      <w:r w:rsidR="00EE7F32" w:rsidRPr="00F407AF">
        <w:rPr>
          <w:lang w:val="fr-BE"/>
        </w:rPr>
        <w:tab/>
        <w:t xml:space="preserve">le niveau de la concurrence, des prix et des recettes sur le marché </w:t>
      </w:r>
      <w:r w:rsidR="00323261" w:rsidRPr="00F407AF">
        <w:rPr>
          <w:lang w:val="fr-BE"/>
        </w:rPr>
        <w:t xml:space="preserve">national </w:t>
      </w:r>
      <w:r w:rsidR="00EE7F32" w:rsidRPr="00F407AF">
        <w:rPr>
          <w:lang w:val="fr-BE"/>
        </w:rPr>
        <w:t xml:space="preserve">et </w:t>
      </w:r>
      <w:r w:rsidR="00E6124C" w:rsidRPr="00F407AF">
        <w:rPr>
          <w:lang w:val="fr-BE"/>
        </w:rPr>
        <w:t>tout</w:t>
      </w:r>
      <w:r w:rsidR="00F97CAC" w:rsidRPr="00F407AF">
        <w:rPr>
          <w:lang w:val="fr-BE"/>
        </w:rPr>
        <w:t xml:space="preserve"> risque observable que</w:t>
      </w:r>
      <w:r w:rsidR="00EE7F32" w:rsidRPr="00F407AF">
        <w:rPr>
          <w:lang w:val="fr-BE"/>
        </w:rPr>
        <w:t xml:space="preserve"> l'application des prix de détail nationaux aux services d'itinérance </w:t>
      </w:r>
      <w:r w:rsidR="00F97CAC" w:rsidRPr="00F407AF">
        <w:rPr>
          <w:lang w:val="fr-BE"/>
        </w:rPr>
        <w:t xml:space="preserve">puisse </w:t>
      </w:r>
      <w:r w:rsidR="00E6124C" w:rsidRPr="00F407AF">
        <w:rPr>
          <w:lang w:val="fr-BE"/>
        </w:rPr>
        <w:t>avoir un effet sensible sur</w:t>
      </w:r>
      <w:r w:rsidR="00EE7F32" w:rsidRPr="00F407AF">
        <w:rPr>
          <w:lang w:val="fr-BE"/>
        </w:rPr>
        <w:t xml:space="preserve"> l'évolution de ces prix.</w:t>
      </w:r>
    </w:p>
    <w:p w:rsidR="00EE7F32" w:rsidRPr="00F407AF" w:rsidRDefault="00EE7F32" w:rsidP="00F407AF">
      <w:pPr>
        <w:pStyle w:val="Point1"/>
        <w:rPr>
          <w:lang w:val="fr-BE"/>
        </w:rPr>
      </w:pPr>
      <w:r w:rsidRPr="00F407AF">
        <w:rPr>
          <w:lang w:val="fr-BE"/>
        </w:rPr>
        <w:t>4.</w:t>
      </w:r>
      <w:r w:rsidRPr="00F407AF">
        <w:rPr>
          <w:lang w:val="fr-BE"/>
        </w:rPr>
        <w:tab/>
        <w:t xml:space="preserve">La Commission réexamine régulièrement </w:t>
      </w:r>
      <w:r w:rsidR="002F2E09" w:rsidRPr="00F407AF">
        <w:rPr>
          <w:lang w:val="fr-BE"/>
        </w:rPr>
        <w:t>l</w:t>
      </w:r>
      <w:r w:rsidRPr="00F407AF">
        <w:rPr>
          <w:lang w:val="fr-BE"/>
        </w:rPr>
        <w:t xml:space="preserve">es actes d'exécution </w:t>
      </w:r>
      <w:r w:rsidR="00AC3EF2" w:rsidRPr="00F407AF">
        <w:rPr>
          <w:lang w:val="fr-BE"/>
        </w:rPr>
        <w:t>adoptés en vertu du</w:t>
      </w:r>
      <w:r w:rsidR="00362593" w:rsidRPr="00F407AF">
        <w:rPr>
          <w:lang w:val="fr-BE"/>
        </w:rPr>
        <w:t xml:space="preserve"> paragraphe 1 </w:t>
      </w:r>
      <w:r w:rsidRPr="00F407AF">
        <w:rPr>
          <w:lang w:val="fr-BE"/>
        </w:rPr>
        <w:t>à la lumière de l'évolution du marché</w:t>
      </w:r>
      <w:r w:rsidR="00362593" w:rsidRPr="00F407AF">
        <w:rPr>
          <w:lang w:val="fr-BE"/>
        </w:rPr>
        <w:t>.</w:t>
      </w:r>
    </w:p>
    <w:p w:rsidR="00EE7F32" w:rsidRPr="00F407AF" w:rsidRDefault="00F407AF" w:rsidP="00F407AF">
      <w:pPr>
        <w:pStyle w:val="Point1"/>
        <w:rPr>
          <w:lang w:val="fr-BE"/>
        </w:rPr>
      </w:pPr>
      <w:r w:rsidRPr="00F407AF">
        <w:rPr>
          <w:lang w:val="fr-BE"/>
        </w:rPr>
        <w:br w:type="page"/>
      </w:r>
      <w:r w:rsidR="00EE7F32" w:rsidRPr="00F407AF">
        <w:rPr>
          <w:lang w:val="fr-BE"/>
        </w:rPr>
        <w:lastRenderedPageBreak/>
        <w:t>5.</w:t>
      </w:r>
      <w:r w:rsidR="00EE7F32" w:rsidRPr="00F407AF">
        <w:rPr>
          <w:lang w:val="fr-BE"/>
        </w:rPr>
        <w:tab/>
        <w:t xml:space="preserve">L'autorité de régulation nationale surveille et supervise étroitement l'application de la politique d'utilisation raisonnable et des mesures liées à la viabilité de la suppression des frais d'itinérance </w:t>
      </w:r>
      <w:r w:rsidR="00B025DF" w:rsidRPr="00F407AF">
        <w:rPr>
          <w:lang w:val="fr-BE"/>
        </w:rPr>
        <w:t xml:space="preserve">au détail </w:t>
      </w:r>
      <w:r w:rsidR="00EE7F32" w:rsidRPr="00F407AF">
        <w:rPr>
          <w:lang w:val="fr-BE"/>
        </w:rPr>
        <w:t xml:space="preserve">supplémentaires, en tenant dûment compte des facteurs objectifs pertinents propres à l'État membre concerné et des différences objectives pertinentes entre les fournisseurs de services d'itinérance. Sans préjudice de la procédure </w:t>
      </w:r>
      <w:r w:rsidR="002F2E09" w:rsidRPr="00F407AF">
        <w:rPr>
          <w:lang w:val="fr-BE"/>
        </w:rPr>
        <w:t>fix</w:t>
      </w:r>
      <w:r w:rsidR="00652307" w:rsidRPr="00F407AF">
        <w:rPr>
          <w:lang w:val="fr-BE"/>
        </w:rPr>
        <w:t>ée</w:t>
      </w:r>
      <w:r w:rsidR="002F2E09" w:rsidRPr="00F407AF">
        <w:rPr>
          <w:lang w:val="fr-BE"/>
        </w:rPr>
        <w:t xml:space="preserve"> </w:t>
      </w:r>
      <w:r>
        <w:rPr>
          <w:lang w:val="fr-BE"/>
        </w:rPr>
        <w:t xml:space="preserve">à l'article </w:t>
      </w:r>
      <w:r w:rsidR="00EE7F32" w:rsidRPr="00F407AF">
        <w:rPr>
          <w:lang w:val="fr-BE"/>
        </w:rPr>
        <w:t>6</w:t>
      </w:r>
      <w:r>
        <w:rPr>
          <w:lang w:val="fr-BE"/>
        </w:rPr>
        <w:t xml:space="preserve"> </w:t>
      </w:r>
      <w:r w:rsidR="002F2E09" w:rsidRPr="00F407AF">
        <w:rPr>
          <w:i/>
          <w:iCs/>
          <w:lang w:val="fr-BE"/>
        </w:rPr>
        <w:t>quater</w:t>
      </w:r>
      <w:r w:rsidR="00EE7F32" w:rsidRPr="00F407AF">
        <w:rPr>
          <w:lang w:val="fr-BE"/>
        </w:rPr>
        <w:t xml:space="preserve">, paragraphe 3, l'autorité réglementaire nationale </w:t>
      </w:r>
      <w:r w:rsidR="00E6124C" w:rsidRPr="00F407AF">
        <w:rPr>
          <w:lang w:val="fr-BE"/>
        </w:rPr>
        <w:t>assure l</w:t>
      </w:r>
      <w:r w:rsidRPr="00F407AF">
        <w:rPr>
          <w:lang w:val="fr-BE"/>
        </w:rPr>
        <w:t>'</w:t>
      </w:r>
      <w:r w:rsidR="00E6124C" w:rsidRPr="00F407AF">
        <w:rPr>
          <w:lang w:val="fr-BE"/>
        </w:rPr>
        <w:t>exécution</w:t>
      </w:r>
      <w:r w:rsidR="00EE7F32" w:rsidRPr="00F407AF">
        <w:rPr>
          <w:lang w:val="fr-BE"/>
        </w:rPr>
        <w:t xml:space="preserve"> en temps utile </w:t>
      </w:r>
      <w:r w:rsidR="00E6124C" w:rsidRPr="00F407AF">
        <w:rPr>
          <w:lang w:val="fr-BE"/>
        </w:rPr>
        <w:t>d</w:t>
      </w:r>
      <w:r w:rsidR="00EE7F32" w:rsidRPr="00F407AF">
        <w:rPr>
          <w:lang w:val="fr-BE"/>
        </w:rPr>
        <w:t xml:space="preserve">es exigences énoncées aux articles 6 </w:t>
      </w:r>
      <w:r w:rsidR="00EE7F32" w:rsidRPr="00F407AF">
        <w:rPr>
          <w:i/>
          <w:iCs/>
          <w:lang w:val="fr-BE"/>
        </w:rPr>
        <w:t>ter</w:t>
      </w:r>
      <w:r w:rsidR="00EE7F32" w:rsidRPr="00F407AF">
        <w:rPr>
          <w:lang w:val="fr-BE"/>
        </w:rPr>
        <w:t xml:space="preserve"> et 6 </w:t>
      </w:r>
      <w:r w:rsidR="002F2E09" w:rsidRPr="00F407AF">
        <w:rPr>
          <w:i/>
          <w:iCs/>
          <w:lang w:val="fr-BE"/>
        </w:rPr>
        <w:t>qua</w:t>
      </w:r>
      <w:r w:rsidR="00E6124C" w:rsidRPr="00F407AF">
        <w:rPr>
          <w:i/>
          <w:iCs/>
          <w:lang w:val="fr-BE"/>
        </w:rPr>
        <w:t>ter</w:t>
      </w:r>
      <w:r w:rsidR="00EE7F32" w:rsidRPr="00F407AF">
        <w:rPr>
          <w:lang w:val="fr-BE"/>
        </w:rPr>
        <w:t xml:space="preserve"> et </w:t>
      </w:r>
      <w:r w:rsidR="00E6124C" w:rsidRPr="00F407AF">
        <w:rPr>
          <w:lang w:val="fr-BE"/>
        </w:rPr>
        <w:t>d</w:t>
      </w:r>
      <w:r w:rsidR="00EE7F32" w:rsidRPr="00F407AF">
        <w:rPr>
          <w:lang w:val="fr-BE"/>
        </w:rPr>
        <w:t xml:space="preserve">es actes d'exécution adoptés </w:t>
      </w:r>
      <w:r w:rsidR="00AC3EF2" w:rsidRPr="00F407AF">
        <w:rPr>
          <w:lang w:val="fr-BE"/>
        </w:rPr>
        <w:t>en vertu du paragraphe 1</w:t>
      </w:r>
      <w:r w:rsidR="00022731" w:rsidRPr="00F407AF">
        <w:rPr>
          <w:lang w:val="fr-BE"/>
        </w:rPr>
        <w:t xml:space="preserve"> du présent article</w:t>
      </w:r>
      <w:r w:rsidR="00EE7F32" w:rsidRPr="00F407AF">
        <w:rPr>
          <w:lang w:val="fr-BE"/>
        </w:rPr>
        <w:t>. L'autorité réglementaire nationale peut, à tout moment, demander au fournisseur de services d'itinérance de modifier ou de renoncer à appliquer les frais supplémentaires si celui</w:t>
      </w:r>
      <w:r w:rsidR="00EE7F32" w:rsidRPr="00F407AF">
        <w:rPr>
          <w:lang w:val="fr-BE"/>
        </w:rPr>
        <w:noBreakHyphen/>
        <w:t>ci</w:t>
      </w:r>
      <w:r>
        <w:rPr>
          <w:lang w:val="fr-BE"/>
        </w:rPr>
        <w:t xml:space="preserve"> ne respecte pas les articles 6 </w:t>
      </w:r>
      <w:r w:rsidR="00EE7F32" w:rsidRPr="00F407AF">
        <w:rPr>
          <w:i/>
          <w:iCs/>
          <w:lang w:val="fr-BE"/>
        </w:rPr>
        <w:t>ter</w:t>
      </w:r>
      <w:r w:rsidR="00EE7F32" w:rsidRPr="00F407AF">
        <w:rPr>
          <w:lang w:val="fr-BE"/>
        </w:rPr>
        <w:t xml:space="preserve"> et 6</w:t>
      </w:r>
      <w:r>
        <w:rPr>
          <w:lang w:val="fr-BE"/>
        </w:rPr>
        <w:t xml:space="preserve"> </w:t>
      </w:r>
      <w:r w:rsidR="002F2E09" w:rsidRPr="00F407AF">
        <w:rPr>
          <w:i/>
          <w:iCs/>
          <w:lang w:val="fr-BE"/>
        </w:rPr>
        <w:t>quater</w:t>
      </w:r>
      <w:r w:rsidR="00EE7F32" w:rsidRPr="00F407AF">
        <w:rPr>
          <w:lang w:val="fr-BE"/>
        </w:rPr>
        <w:t xml:space="preserve">. L'autorité réglementaire nationale informe chaque année la Commission sur l'application des articles 6 </w:t>
      </w:r>
      <w:r w:rsidR="00EE7F32" w:rsidRPr="00F407AF">
        <w:rPr>
          <w:i/>
          <w:iCs/>
          <w:lang w:val="fr-BE"/>
        </w:rPr>
        <w:t>ter</w:t>
      </w:r>
      <w:r w:rsidR="00AC3EF2" w:rsidRPr="00F407AF">
        <w:rPr>
          <w:lang w:val="fr-BE"/>
        </w:rPr>
        <w:t xml:space="preserve"> et</w:t>
      </w:r>
      <w:r w:rsidR="00EE7F32" w:rsidRPr="00F407AF">
        <w:rPr>
          <w:lang w:val="fr-BE"/>
        </w:rPr>
        <w:t xml:space="preserve"> 6 </w:t>
      </w:r>
      <w:r w:rsidR="002F2E09" w:rsidRPr="00F407AF">
        <w:rPr>
          <w:i/>
          <w:iCs/>
          <w:lang w:val="fr-BE"/>
        </w:rPr>
        <w:t>qua</w:t>
      </w:r>
      <w:r w:rsidR="00E6124C" w:rsidRPr="00F407AF">
        <w:rPr>
          <w:i/>
          <w:iCs/>
          <w:lang w:val="fr-BE"/>
        </w:rPr>
        <w:t>t</w:t>
      </w:r>
      <w:r w:rsidR="002F2E09" w:rsidRPr="00F407AF">
        <w:rPr>
          <w:i/>
          <w:iCs/>
          <w:lang w:val="fr-BE"/>
        </w:rPr>
        <w:t>er</w:t>
      </w:r>
      <w:r w:rsidR="00AC3EF2" w:rsidRPr="00F407AF">
        <w:rPr>
          <w:lang w:val="fr-BE"/>
        </w:rPr>
        <w:t>, et du présent article</w:t>
      </w:r>
      <w:r w:rsidR="00EE7F32" w:rsidRPr="00F407AF">
        <w:rPr>
          <w:lang w:val="fr-BE"/>
        </w:rPr>
        <w:t>.</w:t>
      </w:r>
    </w:p>
    <w:p w:rsidR="00EE7F32" w:rsidRPr="00F407AF" w:rsidRDefault="00EE7F32" w:rsidP="00F407AF">
      <w:pPr>
        <w:pStyle w:val="Text1"/>
        <w:rPr>
          <w:rFonts w:eastAsiaTheme="minorHAnsi"/>
          <w:i/>
          <w:iCs/>
          <w:lang w:val="fr-BE"/>
        </w:rPr>
      </w:pPr>
      <w:r w:rsidRPr="00F407AF">
        <w:rPr>
          <w:i/>
          <w:iCs/>
          <w:lang w:val="fr-BE"/>
        </w:rPr>
        <w:t xml:space="preserve">Article 6 </w:t>
      </w:r>
      <w:r w:rsidR="002615F4" w:rsidRPr="00F407AF">
        <w:rPr>
          <w:lang w:val="fr-BE"/>
        </w:rPr>
        <w:t>sexies</w:t>
      </w:r>
      <w:r w:rsidR="004256F6" w:rsidRPr="00F407AF">
        <w:rPr>
          <w:i/>
          <w:iCs/>
          <w:lang w:val="fr-BE"/>
        </w:rPr>
        <w:br/>
      </w:r>
      <w:r w:rsidRPr="00F407AF">
        <w:rPr>
          <w:i/>
          <w:iCs/>
          <w:lang w:val="fr-BE"/>
        </w:rPr>
        <w:t>Fourniture de services d'itinérance au détail réglementés</w:t>
      </w:r>
    </w:p>
    <w:p w:rsidR="00EE7F32" w:rsidRPr="00F407AF" w:rsidRDefault="00EE7F32" w:rsidP="00F407AF">
      <w:pPr>
        <w:pStyle w:val="Point1"/>
        <w:rPr>
          <w:rFonts w:eastAsia="Calibri"/>
          <w:lang w:val="fr-BE"/>
        </w:rPr>
      </w:pPr>
      <w:r w:rsidRPr="00F407AF">
        <w:rPr>
          <w:lang w:val="fr-BE"/>
        </w:rPr>
        <w:t>1.</w:t>
      </w:r>
      <w:r w:rsidRPr="00F407AF">
        <w:rPr>
          <w:lang w:val="fr-BE"/>
        </w:rPr>
        <w:tab/>
        <w:t xml:space="preserve">Sans préjudice du deuxième alinéa, lorsqu'un fournisseur de services d'itinérance applique des frais supplémentaires </w:t>
      </w:r>
      <w:r w:rsidR="00E6124C" w:rsidRPr="00F407AF">
        <w:rPr>
          <w:lang w:val="fr-BE"/>
        </w:rPr>
        <w:t>pour</w:t>
      </w:r>
      <w:r w:rsidRPr="00F407AF">
        <w:rPr>
          <w:lang w:val="fr-BE"/>
        </w:rPr>
        <w:t xml:space="preserve"> la consommation de services </w:t>
      </w:r>
      <w:r w:rsidR="00E6124C" w:rsidRPr="00F407AF">
        <w:rPr>
          <w:lang w:val="fr-BE"/>
        </w:rPr>
        <w:t xml:space="preserve">d'itinérance au détail </w:t>
      </w:r>
      <w:r w:rsidRPr="00F407AF">
        <w:rPr>
          <w:lang w:val="fr-BE"/>
        </w:rPr>
        <w:t xml:space="preserve">réglementés </w:t>
      </w:r>
      <w:r w:rsidR="00E6124C" w:rsidRPr="00F407AF">
        <w:rPr>
          <w:lang w:val="fr-BE"/>
        </w:rPr>
        <w:t xml:space="preserve">qui </w:t>
      </w:r>
      <w:r w:rsidRPr="00F407AF">
        <w:rPr>
          <w:lang w:val="fr-BE"/>
        </w:rPr>
        <w:t xml:space="preserve">excède </w:t>
      </w:r>
      <w:r w:rsidR="005C7EAA" w:rsidRPr="00F407AF">
        <w:rPr>
          <w:lang w:val="fr-BE"/>
        </w:rPr>
        <w:t>toute</w:t>
      </w:r>
      <w:r w:rsidR="00444FDA" w:rsidRPr="00F407AF">
        <w:rPr>
          <w:lang w:val="fr-BE"/>
        </w:rPr>
        <w:t xml:space="preserve"> </w:t>
      </w:r>
      <w:r w:rsidR="00C431EF" w:rsidRPr="00F407AF">
        <w:rPr>
          <w:lang w:val="fr-BE"/>
        </w:rPr>
        <w:t xml:space="preserve">limite </w:t>
      </w:r>
      <w:r w:rsidR="00E6124C" w:rsidRPr="00F407AF">
        <w:rPr>
          <w:lang w:val="fr-BE"/>
        </w:rPr>
        <w:t>fixée par</w:t>
      </w:r>
      <w:r w:rsidRPr="00F407AF">
        <w:rPr>
          <w:lang w:val="fr-BE"/>
        </w:rPr>
        <w:t xml:space="preserve"> </w:t>
      </w:r>
      <w:r w:rsidR="00444FDA" w:rsidRPr="00F407AF">
        <w:rPr>
          <w:lang w:val="fr-BE"/>
        </w:rPr>
        <w:t xml:space="preserve">une </w:t>
      </w:r>
      <w:r w:rsidRPr="00F407AF">
        <w:rPr>
          <w:lang w:val="fr-BE"/>
        </w:rPr>
        <w:t>politique d'utilisation raisonnable, ces frais supplémentaires satisfont aux exigences suivantes (</w:t>
      </w:r>
      <w:r w:rsidR="00D21FB4" w:rsidRPr="00F407AF">
        <w:rPr>
          <w:lang w:val="fr-BE"/>
        </w:rPr>
        <w:t>à l</w:t>
      </w:r>
      <w:r w:rsidR="00F407AF" w:rsidRPr="00F407AF">
        <w:rPr>
          <w:lang w:val="fr-BE"/>
        </w:rPr>
        <w:t>'</w:t>
      </w:r>
      <w:r w:rsidR="00D21FB4" w:rsidRPr="00F407AF">
        <w:rPr>
          <w:lang w:val="fr-BE"/>
        </w:rPr>
        <w:t xml:space="preserve">exclusion de la </w:t>
      </w:r>
      <w:r w:rsidRPr="00F407AF">
        <w:rPr>
          <w:lang w:val="fr-BE"/>
        </w:rPr>
        <w:t>TVA):</w:t>
      </w:r>
    </w:p>
    <w:p w:rsidR="00EE7F32" w:rsidRPr="00F407AF" w:rsidRDefault="00EE7F32" w:rsidP="00F407AF">
      <w:pPr>
        <w:pStyle w:val="Point2"/>
        <w:rPr>
          <w:rFonts w:eastAsia="Calibri"/>
          <w:lang w:val="fr-BE"/>
        </w:rPr>
      </w:pPr>
      <w:r w:rsidRPr="00F407AF">
        <w:rPr>
          <w:lang w:val="fr-BE"/>
        </w:rPr>
        <w:t>a)</w:t>
      </w:r>
      <w:r w:rsidRPr="00F407AF">
        <w:rPr>
          <w:lang w:val="fr-BE"/>
        </w:rPr>
        <w:tab/>
        <w:t>tou</w:t>
      </w:r>
      <w:r w:rsidR="007C0117" w:rsidRPr="00F407AF">
        <w:rPr>
          <w:lang w:val="fr-BE"/>
        </w:rPr>
        <w:t>s</w:t>
      </w:r>
      <w:r w:rsidRPr="00F407AF">
        <w:rPr>
          <w:lang w:val="fr-BE"/>
        </w:rPr>
        <w:t xml:space="preserve"> frais supplémentaire</w:t>
      </w:r>
      <w:r w:rsidR="007C0117" w:rsidRPr="00F407AF">
        <w:rPr>
          <w:lang w:val="fr-BE"/>
        </w:rPr>
        <w:t>s</w:t>
      </w:r>
      <w:r w:rsidRPr="00F407AF">
        <w:rPr>
          <w:lang w:val="fr-BE"/>
        </w:rPr>
        <w:t xml:space="preserve"> appliqué</w:t>
      </w:r>
      <w:r w:rsidR="007C0117" w:rsidRPr="00F407AF">
        <w:rPr>
          <w:lang w:val="fr-BE"/>
        </w:rPr>
        <w:t>s</w:t>
      </w:r>
      <w:r w:rsidRPr="00F407AF">
        <w:rPr>
          <w:lang w:val="fr-BE"/>
        </w:rPr>
        <w:t xml:space="preserve"> pour des appels en itinérance réglementés passés, des SMS en itinérance réglementés envoyés et des services de données en itinérance réglementés n'excède</w:t>
      </w:r>
      <w:r w:rsidR="007C0117" w:rsidRPr="00F407AF">
        <w:rPr>
          <w:lang w:val="fr-BE"/>
        </w:rPr>
        <w:t>nt</w:t>
      </w:r>
      <w:r w:rsidRPr="00F407AF">
        <w:rPr>
          <w:lang w:val="fr-BE"/>
        </w:rPr>
        <w:t xml:space="preserve"> pas les prix de g</w:t>
      </w:r>
      <w:r w:rsidR="00F407AF">
        <w:rPr>
          <w:lang w:val="fr-BE"/>
        </w:rPr>
        <w:t xml:space="preserve">ros maximaux prévus à l'article </w:t>
      </w:r>
      <w:r w:rsidRPr="00F407AF">
        <w:rPr>
          <w:lang w:val="fr-BE"/>
        </w:rPr>
        <w:t>7, paragraphe</w:t>
      </w:r>
      <w:r w:rsidR="00F407AF">
        <w:rPr>
          <w:lang w:val="fr-BE"/>
        </w:rPr>
        <w:t xml:space="preserve"> 2, à l'article </w:t>
      </w:r>
      <w:r w:rsidRPr="00F407AF">
        <w:rPr>
          <w:lang w:val="fr-BE"/>
        </w:rPr>
        <w:t>9, paragrap</w:t>
      </w:r>
      <w:r w:rsidR="00F407AF">
        <w:rPr>
          <w:lang w:val="fr-BE"/>
        </w:rPr>
        <w:t xml:space="preserve">he 1, et à l'article </w:t>
      </w:r>
      <w:r w:rsidRPr="00F407AF">
        <w:rPr>
          <w:lang w:val="fr-BE"/>
        </w:rPr>
        <w:t>12, paragraphe</w:t>
      </w:r>
      <w:r w:rsidR="00F407AF">
        <w:rPr>
          <w:lang w:val="fr-BE"/>
        </w:rPr>
        <w:t xml:space="preserve"> </w:t>
      </w:r>
      <w:r w:rsidRPr="00F407AF">
        <w:rPr>
          <w:lang w:val="fr-BE"/>
        </w:rPr>
        <w:t>1, respectivement;</w:t>
      </w:r>
    </w:p>
    <w:p w:rsidR="00EE7F32" w:rsidRPr="00F407AF" w:rsidRDefault="00F407AF" w:rsidP="00F407AF">
      <w:pPr>
        <w:pStyle w:val="Point2"/>
        <w:rPr>
          <w:rFonts w:eastAsia="Calibri"/>
          <w:lang w:val="fr-BE"/>
        </w:rPr>
      </w:pPr>
      <w:r>
        <w:rPr>
          <w:lang w:val="fr-BE"/>
        </w:rPr>
        <w:br w:type="page"/>
      </w:r>
      <w:r w:rsidR="00EE7F32" w:rsidRPr="00F407AF">
        <w:rPr>
          <w:lang w:val="fr-BE"/>
        </w:rPr>
        <w:lastRenderedPageBreak/>
        <w:t>b)</w:t>
      </w:r>
      <w:r w:rsidR="00EE7F32" w:rsidRPr="00F407AF">
        <w:rPr>
          <w:lang w:val="fr-BE"/>
        </w:rPr>
        <w:tab/>
        <w:t>la somme du prix de détail national et de tou</w:t>
      </w:r>
      <w:r w:rsidR="007C0117" w:rsidRPr="00F407AF">
        <w:rPr>
          <w:lang w:val="fr-BE"/>
        </w:rPr>
        <w:t>s</w:t>
      </w:r>
      <w:r w:rsidR="00EE7F32" w:rsidRPr="00F407AF">
        <w:rPr>
          <w:lang w:val="fr-BE"/>
        </w:rPr>
        <w:t xml:space="preserve"> frais supplémentaire</w:t>
      </w:r>
      <w:r w:rsidR="007C0117" w:rsidRPr="00F407AF">
        <w:rPr>
          <w:lang w:val="fr-BE"/>
        </w:rPr>
        <w:t>s</w:t>
      </w:r>
      <w:r w:rsidR="00EE7F32" w:rsidRPr="00F407AF">
        <w:rPr>
          <w:lang w:val="fr-BE"/>
        </w:rPr>
        <w:t xml:space="preserve"> appliqué</w:t>
      </w:r>
      <w:r w:rsidR="007C0117" w:rsidRPr="00F407AF">
        <w:rPr>
          <w:lang w:val="fr-BE"/>
        </w:rPr>
        <w:t>s</w:t>
      </w:r>
      <w:r w:rsidR="00EE7F32" w:rsidRPr="00F407AF">
        <w:rPr>
          <w:lang w:val="fr-BE"/>
        </w:rPr>
        <w:t xml:space="preserve"> pour des appels en itinérance réglementés passés, des SMS en itinérance réglementés envoyés ou des services de données en itinérance réglementés ne dépasse pas 0,19 EUR par minute, 0,06 EUR par SMS, et 0,20 EUR par mégaoctet utilisé, respectivement;</w:t>
      </w:r>
    </w:p>
    <w:p w:rsidR="00EE7F32" w:rsidRPr="00F407AF" w:rsidRDefault="00EE7F32" w:rsidP="00F407AF">
      <w:pPr>
        <w:pStyle w:val="Point2"/>
        <w:rPr>
          <w:rFonts w:eastAsia="Calibri"/>
          <w:lang w:val="fr-BE"/>
        </w:rPr>
      </w:pPr>
      <w:r w:rsidRPr="00F407AF">
        <w:rPr>
          <w:lang w:val="fr-BE"/>
        </w:rPr>
        <w:t>c)</w:t>
      </w:r>
      <w:r w:rsidRPr="00F407AF">
        <w:rPr>
          <w:lang w:val="fr-BE"/>
        </w:rPr>
        <w:tab/>
        <w:t>tou</w:t>
      </w:r>
      <w:r w:rsidR="003933C6" w:rsidRPr="00F407AF">
        <w:rPr>
          <w:lang w:val="fr-BE"/>
        </w:rPr>
        <w:t>s</w:t>
      </w:r>
      <w:r w:rsidRPr="00F407AF">
        <w:rPr>
          <w:lang w:val="fr-BE"/>
        </w:rPr>
        <w:t xml:space="preserve"> frais supplémentaire</w:t>
      </w:r>
      <w:r w:rsidR="003933C6" w:rsidRPr="00F407AF">
        <w:rPr>
          <w:lang w:val="fr-BE"/>
        </w:rPr>
        <w:t>s</w:t>
      </w:r>
      <w:r w:rsidRPr="00F407AF">
        <w:rPr>
          <w:lang w:val="fr-BE"/>
        </w:rPr>
        <w:t xml:space="preserve"> appliqué</w:t>
      </w:r>
      <w:r w:rsidR="003933C6" w:rsidRPr="00F407AF">
        <w:rPr>
          <w:lang w:val="fr-BE"/>
        </w:rPr>
        <w:t>s</w:t>
      </w:r>
      <w:r w:rsidRPr="00F407AF">
        <w:rPr>
          <w:lang w:val="fr-BE"/>
        </w:rPr>
        <w:t xml:space="preserve"> pour des appels en itinérance réglementés reçus ne dépasse</w:t>
      </w:r>
      <w:r w:rsidR="003933C6" w:rsidRPr="00F407AF">
        <w:rPr>
          <w:lang w:val="fr-BE"/>
        </w:rPr>
        <w:t>nt</w:t>
      </w:r>
      <w:r w:rsidRPr="00F407AF">
        <w:rPr>
          <w:lang w:val="fr-BE"/>
        </w:rPr>
        <w:t xml:space="preserve"> pas la moyenne pondérée des tarifs de terminaison d'appel mobile </w:t>
      </w:r>
      <w:r w:rsidR="00E6124C" w:rsidRPr="00F407AF">
        <w:rPr>
          <w:lang w:val="fr-BE"/>
        </w:rPr>
        <w:t xml:space="preserve">maximaux </w:t>
      </w:r>
      <w:r w:rsidRPr="00F407AF">
        <w:rPr>
          <w:lang w:val="fr-BE"/>
        </w:rPr>
        <w:t>dans l'ensemble de l'Union établi</w:t>
      </w:r>
      <w:r w:rsidR="005A3878" w:rsidRPr="00F407AF">
        <w:rPr>
          <w:lang w:val="fr-BE"/>
        </w:rPr>
        <w:t>e</w:t>
      </w:r>
      <w:r w:rsidRPr="00F407AF">
        <w:rPr>
          <w:lang w:val="fr-BE"/>
        </w:rPr>
        <w:t xml:space="preserve"> </w:t>
      </w:r>
      <w:r w:rsidR="00E6124C" w:rsidRPr="00F407AF">
        <w:rPr>
          <w:lang w:val="fr-BE"/>
        </w:rPr>
        <w:t>conformément au</w:t>
      </w:r>
      <w:r w:rsidRPr="00F407AF">
        <w:rPr>
          <w:lang w:val="fr-BE"/>
        </w:rPr>
        <w:t xml:space="preserve"> paragraphe 2.</w:t>
      </w:r>
    </w:p>
    <w:p w:rsidR="00EE7F32" w:rsidRPr="00F407AF" w:rsidRDefault="00EE7F32" w:rsidP="00F407AF">
      <w:pPr>
        <w:pStyle w:val="Text2"/>
        <w:rPr>
          <w:rFonts w:eastAsia="Calibri"/>
          <w:lang w:val="fr-BE"/>
        </w:rPr>
      </w:pPr>
      <w:r w:rsidRPr="00F407AF">
        <w:rPr>
          <w:lang w:val="fr-BE"/>
        </w:rPr>
        <w:t>Les fournisseurs de services d'itinérance n'appliquent pas de frais supplémentaires pour un SMS en itinérance réglementé reçu ou un message vocal en itinérance reçu</w:t>
      </w:r>
      <w:r w:rsidR="00E6124C" w:rsidRPr="00F407AF">
        <w:rPr>
          <w:lang w:val="fr-BE"/>
        </w:rPr>
        <w:t>. Ceci s</w:t>
      </w:r>
      <w:r w:rsidR="00F407AF" w:rsidRPr="00F407AF">
        <w:rPr>
          <w:lang w:val="fr-BE"/>
        </w:rPr>
        <w:t>'</w:t>
      </w:r>
      <w:r w:rsidR="00E6124C" w:rsidRPr="00F407AF">
        <w:rPr>
          <w:lang w:val="fr-BE"/>
        </w:rPr>
        <w:t>entend</w:t>
      </w:r>
      <w:r w:rsidRPr="00F407AF">
        <w:rPr>
          <w:lang w:val="fr-BE"/>
        </w:rPr>
        <w:t xml:space="preserve"> sans préjudice des autres redevances applicables telles que celles liées à l'écoute d'un tel message.</w:t>
      </w:r>
    </w:p>
    <w:p w:rsidR="00EE7F32" w:rsidRPr="00F407AF" w:rsidRDefault="00EE7F32" w:rsidP="00F407AF">
      <w:pPr>
        <w:pStyle w:val="Text2"/>
        <w:rPr>
          <w:rFonts w:eastAsia="Calibri"/>
          <w:lang w:val="fr-BE"/>
        </w:rPr>
      </w:pPr>
      <w:r w:rsidRPr="00F407AF">
        <w:rPr>
          <w:lang w:val="fr-BE"/>
        </w:rPr>
        <w:t>Les fournisseurs de services d'itinérance facturent les appels en itinérance passés et reçus à la seconde. Les fournisseurs de services d'itinérance peuvent appliquer une première tranche incompressible de facturation ne dépassant pas 30 secondes aux appels passés. Les fournisseurs de services d'itinérance facturent, à leurs clients, la fourniture de services de données en itinérance réglementés</w:t>
      </w:r>
      <w:r w:rsidR="00B82F64" w:rsidRPr="00F407AF">
        <w:rPr>
          <w:lang w:val="fr-BE"/>
        </w:rPr>
        <w:t xml:space="preserve"> au kilooctet</w:t>
      </w:r>
      <w:r w:rsidRPr="00F407AF">
        <w:rPr>
          <w:lang w:val="fr-BE"/>
        </w:rPr>
        <w:t>, à l'exception des MMS</w:t>
      </w:r>
      <w:r w:rsidR="005C7EAA" w:rsidRPr="00F407AF">
        <w:rPr>
          <w:lang w:val="fr-BE"/>
        </w:rPr>
        <w:t>,</w:t>
      </w:r>
      <w:r w:rsidRPr="00F407AF">
        <w:rPr>
          <w:lang w:val="fr-BE"/>
        </w:rPr>
        <w:t xml:space="preserve"> qui peuvent être facturés à l'unité. Dans ce cas, le prix de détail qu'un fournisseur de services d'itinérance peut demander à un client en itinérance pour la transmission ou la réception d'un MMS en itinérance ne peut pas dépasser le prix de détail maximal </w:t>
      </w:r>
      <w:r w:rsidR="00AD4873" w:rsidRPr="00F407AF">
        <w:rPr>
          <w:lang w:val="fr-BE"/>
        </w:rPr>
        <w:t xml:space="preserve">des services d'itinérance </w:t>
      </w:r>
      <w:r w:rsidRPr="00F407AF">
        <w:rPr>
          <w:lang w:val="fr-BE"/>
        </w:rPr>
        <w:t>pour les services de données en itinérance réglementés</w:t>
      </w:r>
      <w:r w:rsidR="0081329A" w:rsidRPr="00F407AF">
        <w:rPr>
          <w:lang w:val="fr-BE"/>
        </w:rPr>
        <w:t xml:space="preserve"> fixé au premier alinéa</w:t>
      </w:r>
      <w:r w:rsidRPr="00F407AF">
        <w:rPr>
          <w:lang w:val="fr-BE"/>
        </w:rPr>
        <w:t>.</w:t>
      </w:r>
    </w:p>
    <w:p w:rsidR="00EE7F32" w:rsidRPr="00F407AF" w:rsidRDefault="00F407AF" w:rsidP="00F407AF">
      <w:pPr>
        <w:pStyle w:val="Text2"/>
        <w:rPr>
          <w:rFonts w:eastAsia="Calibri"/>
          <w:lang w:val="fr-BE"/>
        </w:rPr>
      </w:pPr>
      <w:r>
        <w:rPr>
          <w:lang w:val="fr-BE"/>
        </w:rPr>
        <w:br w:type="page"/>
      </w:r>
      <w:r w:rsidR="00EE7F32" w:rsidRPr="00F407AF">
        <w:rPr>
          <w:lang w:val="fr-BE"/>
        </w:rPr>
        <w:lastRenderedPageBreak/>
        <w:t xml:space="preserve">Durant la période visée à l'article 6 </w:t>
      </w:r>
      <w:r w:rsidR="00AD4873" w:rsidRPr="00F407AF">
        <w:rPr>
          <w:i/>
          <w:iCs/>
          <w:lang w:val="fr-BE"/>
        </w:rPr>
        <w:t>septies</w:t>
      </w:r>
      <w:r w:rsidR="00EE7F32" w:rsidRPr="00F407AF">
        <w:rPr>
          <w:lang w:val="fr-BE"/>
        </w:rPr>
        <w:t xml:space="preserve">, paragraphe 1, le présent paragraphe n'interdit pas les offres </w:t>
      </w:r>
      <w:r w:rsidR="005A3878" w:rsidRPr="00F407AF">
        <w:rPr>
          <w:lang w:val="fr-BE"/>
        </w:rPr>
        <w:t>offrant aux clients en itinérance,</w:t>
      </w:r>
      <w:r w:rsidR="00EE7F32" w:rsidRPr="00F407AF">
        <w:rPr>
          <w:lang w:val="fr-BE"/>
        </w:rPr>
        <w:t xml:space="preserve"> moyennant une redevance journalière ou autre redevance périodique fixe, un volume déterminé de </w:t>
      </w:r>
      <w:r w:rsidR="00AD4873" w:rsidRPr="00F407AF">
        <w:rPr>
          <w:lang w:val="fr-BE"/>
        </w:rPr>
        <w:t xml:space="preserve">consommation de </w:t>
      </w:r>
      <w:r w:rsidR="00EE7F32" w:rsidRPr="00F407AF">
        <w:rPr>
          <w:lang w:val="fr-BE"/>
        </w:rPr>
        <w:t>services d'itinérance</w:t>
      </w:r>
      <w:r w:rsidR="005A3878" w:rsidRPr="00F407AF">
        <w:rPr>
          <w:lang w:val="fr-BE"/>
        </w:rPr>
        <w:t xml:space="preserve"> réglementés</w:t>
      </w:r>
      <w:r w:rsidR="00EE7F32" w:rsidRPr="00F407AF">
        <w:rPr>
          <w:lang w:val="fr-BE"/>
        </w:rPr>
        <w:t>, pour autant que l</w:t>
      </w:r>
      <w:r w:rsidR="0081329A" w:rsidRPr="00F407AF">
        <w:rPr>
          <w:lang w:val="fr-BE"/>
        </w:rPr>
        <w:t>a</w:t>
      </w:r>
      <w:r w:rsidR="00AD4873" w:rsidRPr="00F407AF">
        <w:rPr>
          <w:lang w:val="fr-BE"/>
        </w:rPr>
        <w:t xml:space="preserve"> </w:t>
      </w:r>
      <w:r w:rsidR="00EE7F32" w:rsidRPr="00F407AF">
        <w:rPr>
          <w:lang w:val="fr-BE"/>
        </w:rPr>
        <w:t>consommation de la totalité d</w:t>
      </w:r>
      <w:r w:rsidR="0081329A" w:rsidRPr="00F407AF">
        <w:rPr>
          <w:lang w:val="fr-BE"/>
        </w:rPr>
        <w:t>e ce</w:t>
      </w:r>
      <w:r w:rsidR="00EE7F32" w:rsidRPr="00F407AF">
        <w:rPr>
          <w:lang w:val="fr-BE"/>
        </w:rPr>
        <w:t xml:space="preserve"> volume débouche sur un prix unitaire</w:t>
      </w:r>
      <w:r w:rsidR="005A3878" w:rsidRPr="00F407AF">
        <w:rPr>
          <w:lang w:val="fr-BE"/>
        </w:rPr>
        <w:t>,</w:t>
      </w:r>
      <w:r w:rsidR="00EE7F32" w:rsidRPr="00F407AF">
        <w:rPr>
          <w:lang w:val="fr-BE"/>
        </w:rPr>
        <w:t xml:space="preserve"> </w:t>
      </w:r>
      <w:r w:rsidR="000F1A4C" w:rsidRPr="00F407AF">
        <w:rPr>
          <w:lang w:val="fr-BE"/>
        </w:rPr>
        <w:t xml:space="preserve">pour les </w:t>
      </w:r>
      <w:r w:rsidR="00EE7F32" w:rsidRPr="00F407AF">
        <w:rPr>
          <w:lang w:val="fr-BE"/>
        </w:rPr>
        <w:t>appel</w:t>
      </w:r>
      <w:r w:rsidR="000F1A4C" w:rsidRPr="00F407AF">
        <w:rPr>
          <w:lang w:val="fr-BE"/>
        </w:rPr>
        <w:t>s</w:t>
      </w:r>
      <w:r w:rsidR="00EE7F32" w:rsidRPr="00F407AF">
        <w:rPr>
          <w:lang w:val="fr-BE"/>
        </w:rPr>
        <w:t xml:space="preserve"> en itinérance réglementé</w:t>
      </w:r>
      <w:r w:rsidR="000F1A4C" w:rsidRPr="00F407AF">
        <w:rPr>
          <w:lang w:val="fr-BE"/>
        </w:rPr>
        <w:t>s</w:t>
      </w:r>
      <w:r w:rsidR="00EE7F32" w:rsidRPr="00F407AF">
        <w:rPr>
          <w:lang w:val="fr-BE"/>
        </w:rPr>
        <w:t xml:space="preserve"> passé</w:t>
      </w:r>
      <w:r w:rsidR="000F1A4C" w:rsidRPr="00F407AF">
        <w:rPr>
          <w:lang w:val="fr-BE"/>
        </w:rPr>
        <w:t>s</w:t>
      </w:r>
      <w:r w:rsidR="00EE7F32" w:rsidRPr="00F407AF">
        <w:rPr>
          <w:lang w:val="fr-BE"/>
        </w:rPr>
        <w:t xml:space="preserve">, </w:t>
      </w:r>
      <w:r w:rsidR="000F1A4C" w:rsidRPr="00F407AF">
        <w:rPr>
          <w:lang w:val="fr-BE"/>
        </w:rPr>
        <w:t xml:space="preserve">les </w:t>
      </w:r>
      <w:r w:rsidR="00EE7F32" w:rsidRPr="00F407AF">
        <w:rPr>
          <w:lang w:val="fr-BE"/>
        </w:rPr>
        <w:t>appel</w:t>
      </w:r>
      <w:r w:rsidR="000F1A4C" w:rsidRPr="00F407AF">
        <w:rPr>
          <w:lang w:val="fr-BE"/>
        </w:rPr>
        <w:t>s</w:t>
      </w:r>
      <w:r w:rsidR="00EE7F32" w:rsidRPr="00F407AF">
        <w:rPr>
          <w:lang w:val="fr-BE"/>
        </w:rPr>
        <w:t xml:space="preserve"> reçu</w:t>
      </w:r>
      <w:r w:rsidR="000F1A4C" w:rsidRPr="00F407AF">
        <w:rPr>
          <w:lang w:val="fr-BE"/>
        </w:rPr>
        <w:t>s</w:t>
      </w:r>
      <w:r w:rsidR="00EE7F32" w:rsidRPr="00F407AF">
        <w:rPr>
          <w:lang w:val="fr-BE"/>
        </w:rPr>
        <w:t xml:space="preserve">, </w:t>
      </w:r>
      <w:r w:rsidR="000F1A4C" w:rsidRPr="00F407AF">
        <w:rPr>
          <w:lang w:val="fr-BE"/>
        </w:rPr>
        <w:t xml:space="preserve">les </w:t>
      </w:r>
      <w:r w:rsidR="00EE7F32" w:rsidRPr="00F407AF">
        <w:rPr>
          <w:lang w:val="fr-BE"/>
        </w:rPr>
        <w:t>SMS envoyé</w:t>
      </w:r>
      <w:r w:rsidR="000F1A4C" w:rsidRPr="00F407AF">
        <w:rPr>
          <w:lang w:val="fr-BE"/>
        </w:rPr>
        <w:t>s</w:t>
      </w:r>
      <w:r w:rsidR="00EE7F32" w:rsidRPr="00F407AF">
        <w:rPr>
          <w:lang w:val="fr-BE"/>
        </w:rPr>
        <w:t xml:space="preserve"> et </w:t>
      </w:r>
      <w:r w:rsidR="000F1A4C" w:rsidRPr="00F407AF">
        <w:rPr>
          <w:lang w:val="fr-BE"/>
        </w:rPr>
        <w:t xml:space="preserve">les </w:t>
      </w:r>
      <w:r w:rsidR="00EE7F32" w:rsidRPr="00F407AF">
        <w:rPr>
          <w:lang w:val="fr-BE"/>
        </w:rPr>
        <w:t>service</w:t>
      </w:r>
      <w:r w:rsidR="000F1A4C" w:rsidRPr="00F407AF">
        <w:rPr>
          <w:lang w:val="fr-BE"/>
        </w:rPr>
        <w:t>s</w:t>
      </w:r>
      <w:r w:rsidR="00EE7F32" w:rsidRPr="00F407AF">
        <w:rPr>
          <w:lang w:val="fr-BE"/>
        </w:rPr>
        <w:t xml:space="preserve"> de données en itinérance</w:t>
      </w:r>
      <w:r w:rsidR="005A3878" w:rsidRPr="00F407AF">
        <w:rPr>
          <w:lang w:val="fr-BE"/>
        </w:rPr>
        <w:t>,</w:t>
      </w:r>
      <w:r w:rsidR="00EE7F32" w:rsidRPr="00F407AF">
        <w:rPr>
          <w:lang w:val="fr-BE"/>
        </w:rPr>
        <w:t xml:space="preserve"> qui </w:t>
      </w:r>
      <w:r w:rsidR="00AD4873" w:rsidRPr="00F407AF">
        <w:rPr>
          <w:lang w:val="fr-BE"/>
        </w:rPr>
        <w:t>n'</w:t>
      </w:r>
      <w:r w:rsidR="00EE7F32" w:rsidRPr="00F407AF">
        <w:rPr>
          <w:lang w:val="fr-BE"/>
        </w:rPr>
        <w:t xml:space="preserve">excède </w:t>
      </w:r>
      <w:r w:rsidR="00AD4873" w:rsidRPr="00F407AF">
        <w:rPr>
          <w:lang w:val="fr-BE"/>
        </w:rPr>
        <w:t xml:space="preserve">pas </w:t>
      </w:r>
      <w:r w:rsidR="00EE7F32" w:rsidRPr="00F407AF">
        <w:rPr>
          <w:lang w:val="fr-BE"/>
        </w:rPr>
        <w:t xml:space="preserve">le prix de détail national </w:t>
      </w:r>
      <w:r w:rsidR="00AD4873" w:rsidRPr="00F407AF">
        <w:rPr>
          <w:lang w:val="fr-BE"/>
        </w:rPr>
        <w:t xml:space="preserve">respectif </w:t>
      </w:r>
      <w:r w:rsidR="00EE7F32" w:rsidRPr="00F407AF">
        <w:rPr>
          <w:lang w:val="fr-BE"/>
        </w:rPr>
        <w:t>et le</w:t>
      </w:r>
      <w:r w:rsidR="007C0117" w:rsidRPr="00F407AF">
        <w:rPr>
          <w:lang w:val="fr-BE"/>
        </w:rPr>
        <w:t>s</w:t>
      </w:r>
      <w:r w:rsidR="00EE7F32" w:rsidRPr="00F407AF">
        <w:rPr>
          <w:lang w:val="fr-BE"/>
        </w:rPr>
        <w:t xml:space="preserve"> </w:t>
      </w:r>
      <w:r w:rsidR="007C0117" w:rsidRPr="00F407AF">
        <w:rPr>
          <w:lang w:val="fr-BE"/>
        </w:rPr>
        <w:t xml:space="preserve">frais </w:t>
      </w:r>
      <w:r w:rsidR="00EE7F32" w:rsidRPr="00F407AF">
        <w:rPr>
          <w:lang w:val="fr-BE"/>
        </w:rPr>
        <w:t>supplément</w:t>
      </w:r>
      <w:r w:rsidR="007C0117" w:rsidRPr="00F407AF">
        <w:rPr>
          <w:lang w:val="fr-BE"/>
        </w:rPr>
        <w:t>aires</w:t>
      </w:r>
      <w:r w:rsidR="00EE7F32" w:rsidRPr="00F407AF">
        <w:rPr>
          <w:lang w:val="fr-BE"/>
        </w:rPr>
        <w:t xml:space="preserve"> maxima</w:t>
      </w:r>
      <w:r w:rsidR="007C0117" w:rsidRPr="00F407AF">
        <w:rPr>
          <w:lang w:val="fr-BE"/>
        </w:rPr>
        <w:t>ux</w:t>
      </w:r>
      <w:r w:rsidR="00EE7F32" w:rsidRPr="00F407AF">
        <w:rPr>
          <w:lang w:val="fr-BE"/>
        </w:rPr>
        <w:t xml:space="preserve"> visés au premier alinéa</w:t>
      </w:r>
      <w:r w:rsidR="0081329A" w:rsidRPr="00F407AF">
        <w:rPr>
          <w:lang w:val="fr-BE"/>
        </w:rPr>
        <w:t xml:space="preserve"> </w:t>
      </w:r>
      <w:r w:rsidR="00AD4873" w:rsidRPr="00F407AF">
        <w:rPr>
          <w:lang w:val="fr-BE"/>
        </w:rPr>
        <w:t>du présent</w:t>
      </w:r>
      <w:r w:rsidR="0081329A" w:rsidRPr="00F407AF">
        <w:rPr>
          <w:lang w:val="fr-BE"/>
        </w:rPr>
        <w:t xml:space="preserve"> paragraphe</w:t>
      </w:r>
      <w:r w:rsidR="00EE7F32" w:rsidRPr="00F407AF">
        <w:rPr>
          <w:lang w:val="fr-BE"/>
        </w:rPr>
        <w:t>.</w:t>
      </w:r>
    </w:p>
    <w:p w:rsidR="00EE7F32" w:rsidRPr="00F407AF" w:rsidRDefault="004256F6" w:rsidP="00F407AF">
      <w:pPr>
        <w:pStyle w:val="Point1"/>
        <w:rPr>
          <w:rFonts w:eastAsia="Calibri"/>
          <w:lang w:val="fr-BE"/>
        </w:rPr>
      </w:pPr>
      <w:r w:rsidRPr="00F407AF">
        <w:rPr>
          <w:lang w:val="fr-BE"/>
        </w:rPr>
        <w:t>2.</w:t>
      </w:r>
      <w:r w:rsidR="00EE7F32" w:rsidRPr="00F407AF">
        <w:rPr>
          <w:lang w:val="fr-BE"/>
        </w:rPr>
        <w:tab/>
        <w:t xml:space="preserve">Au plus tard le 31 décembre 2015, la Commission, après avoir consulté l'ORECE et sous réserve du deuxième alinéa du présent paragraphe, adopte des actes d'exécution détaillant la moyenne pondérée des tarifs de terminaison d'appel mobile </w:t>
      </w:r>
      <w:r w:rsidR="005A3878" w:rsidRPr="00F407AF">
        <w:rPr>
          <w:lang w:val="fr-BE"/>
        </w:rPr>
        <w:t xml:space="preserve">maximaux </w:t>
      </w:r>
      <w:r w:rsidR="00EE7F32" w:rsidRPr="00F407AF">
        <w:rPr>
          <w:lang w:val="fr-BE"/>
        </w:rPr>
        <w:t xml:space="preserve">visée au paragraphe 1, </w:t>
      </w:r>
      <w:r w:rsidR="00AC3EF2" w:rsidRPr="00F407AF">
        <w:rPr>
          <w:lang w:val="fr-BE"/>
        </w:rPr>
        <w:t xml:space="preserve">premier </w:t>
      </w:r>
      <w:r w:rsidR="002F3341" w:rsidRPr="00F407AF">
        <w:rPr>
          <w:lang w:val="fr-BE"/>
        </w:rPr>
        <w:t xml:space="preserve">alinéa, </w:t>
      </w:r>
      <w:r w:rsidR="00EE7F32" w:rsidRPr="00F407AF">
        <w:rPr>
          <w:lang w:val="fr-BE"/>
        </w:rPr>
        <w:t>point </w:t>
      </w:r>
      <w:r w:rsidR="00AC3EF2" w:rsidRPr="00F407AF">
        <w:rPr>
          <w:lang w:val="fr-BE"/>
        </w:rPr>
        <w:t>c</w:t>
      </w:r>
      <w:r w:rsidR="00EE7F32" w:rsidRPr="00F407AF">
        <w:rPr>
          <w:lang w:val="fr-BE"/>
        </w:rPr>
        <w:t>).</w:t>
      </w:r>
      <w:r w:rsidR="00CD1269" w:rsidRPr="00F407AF">
        <w:rPr>
          <w:lang w:val="fr-BE"/>
        </w:rPr>
        <w:t xml:space="preserve"> </w:t>
      </w:r>
      <w:r w:rsidR="00AF3C5A" w:rsidRPr="00F407AF">
        <w:rPr>
          <w:lang w:val="fr-BE"/>
        </w:rPr>
        <w:t>La Commission</w:t>
      </w:r>
      <w:r w:rsidR="002F3341" w:rsidRPr="00F407AF">
        <w:rPr>
          <w:lang w:val="fr-BE"/>
        </w:rPr>
        <w:t xml:space="preserve"> </w:t>
      </w:r>
      <w:r w:rsidR="00551601" w:rsidRPr="00F407AF">
        <w:rPr>
          <w:lang w:val="fr-BE"/>
        </w:rPr>
        <w:t xml:space="preserve">réexamine </w:t>
      </w:r>
      <w:r w:rsidR="002F3341" w:rsidRPr="00F407AF">
        <w:rPr>
          <w:lang w:val="fr-BE"/>
        </w:rPr>
        <w:t>ces actes d'exécution annuellement</w:t>
      </w:r>
      <w:r w:rsidR="00AF3C5A" w:rsidRPr="00F407AF">
        <w:rPr>
          <w:lang w:val="fr-BE"/>
        </w:rPr>
        <w:t>.</w:t>
      </w:r>
      <w:r w:rsidR="002F3341" w:rsidRPr="00F407AF">
        <w:rPr>
          <w:lang w:val="fr-BE"/>
        </w:rPr>
        <w:t xml:space="preserve"> </w:t>
      </w:r>
      <w:r w:rsidR="00AF3C5A" w:rsidRPr="00F407AF">
        <w:rPr>
          <w:lang w:val="fr-BE"/>
        </w:rPr>
        <w:t xml:space="preserve">Ces actes d'exécution sont adoptés en conformité avec la procédure d'examen </w:t>
      </w:r>
      <w:r w:rsidR="00F407AF">
        <w:rPr>
          <w:lang w:val="fr-BE"/>
        </w:rPr>
        <w:t xml:space="preserve">visée à l'article </w:t>
      </w:r>
      <w:r w:rsidR="00AF3C5A" w:rsidRPr="00F407AF">
        <w:rPr>
          <w:lang w:val="fr-BE"/>
        </w:rPr>
        <w:t>6, paragraphe 2.</w:t>
      </w:r>
    </w:p>
    <w:p w:rsidR="00EE7F32" w:rsidRPr="00F407AF" w:rsidRDefault="00EE7F32" w:rsidP="00F407AF">
      <w:pPr>
        <w:pStyle w:val="Text2"/>
        <w:rPr>
          <w:rFonts w:eastAsia="Calibri"/>
          <w:lang w:val="fr-BE"/>
        </w:rPr>
      </w:pPr>
      <w:r w:rsidRPr="00F407AF">
        <w:rPr>
          <w:lang w:val="fr-BE"/>
        </w:rPr>
        <w:t xml:space="preserve">La moyenne pondérée des tarifs de terminaison d'appel mobile </w:t>
      </w:r>
      <w:r w:rsidR="00551601" w:rsidRPr="00F407AF">
        <w:rPr>
          <w:lang w:val="fr-BE"/>
        </w:rPr>
        <w:t xml:space="preserve">maximaux </w:t>
      </w:r>
      <w:r w:rsidRPr="00F407AF">
        <w:rPr>
          <w:lang w:val="fr-BE"/>
        </w:rPr>
        <w:t>est fondée sur les critères suivants:</w:t>
      </w:r>
    </w:p>
    <w:p w:rsidR="00EE7F32" w:rsidRPr="00F407AF" w:rsidRDefault="00CD1269" w:rsidP="00F407AF">
      <w:pPr>
        <w:pStyle w:val="Point2"/>
        <w:rPr>
          <w:rFonts w:eastAsia="Calibri"/>
          <w:lang w:val="fr-BE"/>
        </w:rPr>
      </w:pPr>
      <w:r w:rsidRPr="00F407AF">
        <w:rPr>
          <w:lang w:val="fr-BE"/>
        </w:rPr>
        <w:t>a</w:t>
      </w:r>
      <w:r w:rsidR="00F407AF" w:rsidRPr="00F407AF">
        <w:rPr>
          <w:lang w:val="fr-BE"/>
        </w:rPr>
        <w:t>)</w:t>
      </w:r>
      <w:r w:rsidR="00EE7F32" w:rsidRPr="00F407AF">
        <w:rPr>
          <w:lang w:val="fr-BE"/>
        </w:rPr>
        <w:tab/>
        <w:t>le niveau maximal des tarifs de terminaison d'appel mobile imposé sur le marché de gros de la terminaison d'appel vocal sur les différents réseaux mobiles par les autorités réglementaires nationales conformément aux articles 7 et 16 de la directive-cadre e</w:t>
      </w:r>
      <w:r w:rsidR="00F407AF">
        <w:rPr>
          <w:lang w:val="fr-BE"/>
        </w:rPr>
        <w:t xml:space="preserve">t à l'article </w:t>
      </w:r>
      <w:r w:rsidR="00EE7F32" w:rsidRPr="00F407AF">
        <w:rPr>
          <w:lang w:val="fr-BE"/>
        </w:rPr>
        <w:t xml:space="preserve">13 de la directive </w:t>
      </w:r>
      <w:r w:rsidR="00551601" w:rsidRPr="00F407AF">
        <w:rPr>
          <w:lang w:val="fr-BE"/>
        </w:rPr>
        <w:t>"accès"</w:t>
      </w:r>
      <w:r w:rsidR="00EE7F32" w:rsidRPr="00F407AF">
        <w:rPr>
          <w:lang w:val="fr-BE"/>
        </w:rPr>
        <w:t>, et</w:t>
      </w:r>
    </w:p>
    <w:p w:rsidR="00EE7F32" w:rsidRPr="00F407AF" w:rsidRDefault="00CD1269" w:rsidP="00F407AF">
      <w:pPr>
        <w:pStyle w:val="Point2"/>
        <w:rPr>
          <w:rFonts w:eastAsia="Calibri"/>
          <w:lang w:val="fr-BE"/>
        </w:rPr>
      </w:pPr>
      <w:r w:rsidRPr="00F407AF">
        <w:rPr>
          <w:lang w:val="fr-BE"/>
        </w:rPr>
        <w:t>b</w:t>
      </w:r>
      <w:r w:rsidR="00F407AF" w:rsidRPr="00F407AF">
        <w:rPr>
          <w:lang w:val="fr-BE"/>
        </w:rPr>
        <w:t>)</w:t>
      </w:r>
      <w:r w:rsidR="00EE7F32" w:rsidRPr="00F407AF">
        <w:rPr>
          <w:lang w:val="fr-BE"/>
        </w:rPr>
        <w:tab/>
        <w:t>le nombre total d'abonnés dans les États membres.</w:t>
      </w:r>
    </w:p>
    <w:p w:rsidR="00EE7F32" w:rsidRPr="00F407AF" w:rsidRDefault="00F407AF" w:rsidP="00F407AF">
      <w:pPr>
        <w:pStyle w:val="Point1"/>
        <w:rPr>
          <w:rFonts w:eastAsia="Calibri"/>
          <w:lang w:val="fr-BE"/>
        </w:rPr>
      </w:pPr>
      <w:r w:rsidRPr="00F407AF">
        <w:rPr>
          <w:lang w:val="fr-BE"/>
        </w:rPr>
        <w:br w:type="page"/>
      </w:r>
      <w:r w:rsidR="004256F6" w:rsidRPr="00F407AF">
        <w:rPr>
          <w:lang w:val="fr-BE"/>
        </w:rPr>
        <w:lastRenderedPageBreak/>
        <w:t>3.</w:t>
      </w:r>
      <w:r w:rsidR="00EE7F32" w:rsidRPr="00F407AF">
        <w:rPr>
          <w:lang w:val="fr-BE"/>
        </w:rPr>
        <w:tab/>
        <w:t xml:space="preserve">Les fournisseurs de services d'itinérance peuvent proposer, et les clients en itinérance peuvent délibérément choisir, un tarif d'itinérance autre que celui </w:t>
      </w:r>
      <w:r w:rsidR="001C248C" w:rsidRPr="00F407AF">
        <w:rPr>
          <w:lang w:val="fr-BE"/>
        </w:rPr>
        <w:t>fixé conformément aux</w:t>
      </w:r>
      <w:r>
        <w:rPr>
          <w:lang w:val="fr-BE"/>
        </w:rPr>
        <w:t xml:space="preserve"> articles </w:t>
      </w:r>
      <w:r w:rsidR="00EE7F32" w:rsidRPr="00F407AF">
        <w:rPr>
          <w:lang w:val="fr-BE"/>
        </w:rPr>
        <w:t>6</w:t>
      </w:r>
      <w:r>
        <w:rPr>
          <w:lang w:val="fr-BE"/>
        </w:rPr>
        <w:t xml:space="preserve"> </w:t>
      </w:r>
      <w:r w:rsidR="00EE7F32" w:rsidRPr="00F407AF">
        <w:rPr>
          <w:i/>
          <w:iCs/>
          <w:lang w:val="fr-BE"/>
        </w:rPr>
        <w:t>bis</w:t>
      </w:r>
      <w:r w:rsidR="005A3878" w:rsidRPr="00F407AF">
        <w:rPr>
          <w:lang w:val="fr-BE"/>
        </w:rPr>
        <w:t>,</w:t>
      </w:r>
      <w:r w:rsidR="00EE7F32" w:rsidRPr="00F407AF">
        <w:rPr>
          <w:lang w:val="fr-BE"/>
        </w:rPr>
        <w:t>6</w:t>
      </w:r>
      <w:r>
        <w:rPr>
          <w:lang w:val="fr-BE"/>
        </w:rPr>
        <w:t xml:space="preserve"> </w:t>
      </w:r>
      <w:r w:rsidR="00EE7F32" w:rsidRPr="00F407AF">
        <w:rPr>
          <w:i/>
          <w:iCs/>
          <w:lang w:val="fr-BE"/>
        </w:rPr>
        <w:t>ter</w:t>
      </w:r>
      <w:r w:rsidR="00EE7F32" w:rsidRPr="00F407AF">
        <w:rPr>
          <w:lang w:val="fr-BE"/>
        </w:rPr>
        <w:t xml:space="preserve"> et 6</w:t>
      </w:r>
      <w:r>
        <w:rPr>
          <w:lang w:val="fr-BE"/>
        </w:rPr>
        <w:t xml:space="preserve"> </w:t>
      </w:r>
      <w:r w:rsidR="001C248C" w:rsidRPr="00F407AF">
        <w:rPr>
          <w:i/>
          <w:iCs/>
          <w:lang w:val="fr-BE"/>
        </w:rPr>
        <w:t>qua</w:t>
      </w:r>
      <w:r w:rsidR="005A3878" w:rsidRPr="00F407AF">
        <w:rPr>
          <w:i/>
          <w:iCs/>
          <w:lang w:val="fr-BE"/>
        </w:rPr>
        <w:t>te</w:t>
      </w:r>
      <w:r w:rsidR="001C248C" w:rsidRPr="00F407AF">
        <w:rPr>
          <w:i/>
          <w:iCs/>
          <w:lang w:val="fr-BE"/>
        </w:rPr>
        <w:t>r</w:t>
      </w:r>
      <w:r w:rsidR="00EE7F32" w:rsidRPr="00F407AF">
        <w:rPr>
          <w:lang w:val="fr-BE"/>
        </w:rPr>
        <w:t xml:space="preserve">, et au paragraphe 1 du présent article, permettant aux clients </w:t>
      </w:r>
      <w:r w:rsidR="005A3878" w:rsidRPr="00F407AF">
        <w:rPr>
          <w:lang w:val="fr-BE"/>
        </w:rPr>
        <w:t xml:space="preserve">en itinérance </w:t>
      </w:r>
      <w:r w:rsidR="00EE7F32" w:rsidRPr="00F407AF">
        <w:rPr>
          <w:lang w:val="fr-BE"/>
        </w:rPr>
        <w:t>de bénéficier pour les services d'itinérance réglementés d'un tarif différent de celui qui leur aurait été facturé en l'absence de ce choix. Le fournisseur de services d'itinérance rappelle à ces clients en itinérance la nature des avantages du service d'itinérance qui seraient perdus en effectuant ce choix.</w:t>
      </w:r>
    </w:p>
    <w:p w:rsidR="00EE7F32" w:rsidRPr="00F407AF" w:rsidRDefault="00EE7F32" w:rsidP="00F407AF">
      <w:pPr>
        <w:pStyle w:val="Text2"/>
        <w:rPr>
          <w:rFonts w:eastAsia="Calibri"/>
          <w:lang w:val="fr-BE"/>
        </w:rPr>
      </w:pPr>
      <w:r w:rsidRPr="00F407AF">
        <w:rPr>
          <w:lang w:val="fr-BE"/>
        </w:rPr>
        <w:t xml:space="preserve">Sans préjudice </w:t>
      </w:r>
      <w:r w:rsidR="005A3878" w:rsidRPr="00F407AF">
        <w:rPr>
          <w:lang w:val="fr-BE"/>
        </w:rPr>
        <w:t>d</w:t>
      </w:r>
      <w:r w:rsidR="005F6ECC" w:rsidRPr="00F407AF">
        <w:rPr>
          <w:lang w:val="fr-BE"/>
        </w:rPr>
        <w:t>u premier</w:t>
      </w:r>
      <w:r w:rsidR="00AD4873" w:rsidRPr="00F407AF">
        <w:rPr>
          <w:lang w:val="fr-BE"/>
        </w:rPr>
        <w:t xml:space="preserve"> </w:t>
      </w:r>
      <w:r w:rsidRPr="00F407AF">
        <w:rPr>
          <w:lang w:val="fr-BE"/>
        </w:rPr>
        <w:t xml:space="preserve">alinéa, les fournisseurs de services d'itinérance appliquent automatiquement </w:t>
      </w:r>
      <w:r w:rsidR="000F1A4C" w:rsidRPr="00F407AF">
        <w:rPr>
          <w:lang w:val="fr-BE"/>
        </w:rPr>
        <w:t>un</w:t>
      </w:r>
      <w:r w:rsidRPr="00F407AF">
        <w:rPr>
          <w:lang w:val="fr-BE"/>
        </w:rPr>
        <w:t xml:space="preserve"> tarif </w:t>
      </w:r>
      <w:r w:rsidR="001C248C" w:rsidRPr="00F407AF">
        <w:rPr>
          <w:lang w:val="fr-BE"/>
        </w:rPr>
        <w:t xml:space="preserve">fixé </w:t>
      </w:r>
      <w:r w:rsidR="000F1A4C" w:rsidRPr="00F407AF">
        <w:rPr>
          <w:lang w:val="fr-BE"/>
        </w:rPr>
        <w:t xml:space="preserve">conformément </w:t>
      </w:r>
      <w:r w:rsidRPr="00F407AF">
        <w:rPr>
          <w:lang w:val="fr-BE"/>
        </w:rPr>
        <w:t xml:space="preserve">aux articles 6 </w:t>
      </w:r>
      <w:r w:rsidRPr="00F407AF">
        <w:rPr>
          <w:i/>
          <w:iCs/>
          <w:lang w:val="fr-BE"/>
        </w:rPr>
        <w:t>bis</w:t>
      </w:r>
      <w:r w:rsidRPr="00F407AF">
        <w:rPr>
          <w:lang w:val="fr-BE"/>
        </w:rPr>
        <w:t xml:space="preserve"> et 6 </w:t>
      </w:r>
      <w:r w:rsidRPr="00F407AF">
        <w:rPr>
          <w:i/>
          <w:iCs/>
          <w:lang w:val="fr-BE"/>
        </w:rPr>
        <w:t>ter</w:t>
      </w:r>
      <w:r w:rsidR="000F1A4C" w:rsidRPr="00F407AF">
        <w:rPr>
          <w:lang w:val="fr-BE"/>
        </w:rPr>
        <w:t>,</w:t>
      </w:r>
      <w:r w:rsidRPr="00F407AF">
        <w:rPr>
          <w:lang w:val="fr-BE"/>
        </w:rPr>
        <w:t xml:space="preserve"> et au paragraphe 1 du présent article</w:t>
      </w:r>
      <w:r w:rsidR="000F1A4C" w:rsidRPr="00F407AF">
        <w:rPr>
          <w:lang w:val="fr-BE"/>
        </w:rPr>
        <w:t>,</w:t>
      </w:r>
      <w:r w:rsidRPr="00F407AF">
        <w:rPr>
          <w:lang w:val="fr-BE"/>
        </w:rPr>
        <w:t xml:space="preserve"> à tous les clients en itinérance existants et nouveaux.</w:t>
      </w:r>
    </w:p>
    <w:p w:rsidR="00EE7F32" w:rsidRPr="00F407AF" w:rsidRDefault="00EE7F32" w:rsidP="00F407AF">
      <w:pPr>
        <w:pStyle w:val="Text2"/>
        <w:rPr>
          <w:rFonts w:eastAsia="Calibri"/>
          <w:lang w:val="fr-BE"/>
        </w:rPr>
      </w:pPr>
      <w:r w:rsidRPr="00F407AF">
        <w:rPr>
          <w:lang w:val="fr-BE"/>
        </w:rPr>
        <w:t>Tout client en itinérance peut demander, à tout moment, à bénéficier d</w:t>
      </w:r>
      <w:r w:rsidR="00FB12E6" w:rsidRPr="00F407AF">
        <w:rPr>
          <w:lang w:val="fr-BE"/>
        </w:rPr>
        <w:t>'un</w:t>
      </w:r>
      <w:r w:rsidRPr="00F407AF">
        <w:rPr>
          <w:lang w:val="fr-BE"/>
        </w:rPr>
        <w:t xml:space="preserve"> tarif</w:t>
      </w:r>
      <w:r w:rsidR="001C248C" w:rsidRPr="00F407AF">
        <w:rPr>
          <w:lang w:val="fr-BE"/>
        </w:rPr>
        <w:t xml:space="preserve"> fixé</w:t>
      </w:r>
      <w:r w:rsidR="005A3878" w:rsidRPr="00F407AF">
        <w:rPr>
          <w:lang w:val="fr-BE"/>
        </w:rPr>
        <w:t xml:space="preserve"> </w:t>
      </w:r>
      <w:r w:rsidR="00FB12E6" w:rsidRPr="00F407AF">
        <w:rPr>
          <w:lang w:val="fr-BE"/>
        </w:rPr>
        <w:t>conform</w:t>
      </w:r>
      <w:r w:rsidR="001C248C" w:rsidRPr="00F407AF">
        <w:rPr>
          <w:lang w:val="fr-BE"/>
        </w:rPr>
        <w:t>ément</w:t>
      </w:r>
      <w:r w:rsidR="00FB12E6" w:rsidRPr="00F407AF">
        <w:rPr>
          <w:lang w:val="fr-BE"/>
        </w:rPr>
        <w:t xml:space="preserve"> </w:t>
      </w:r>
      <w:r w:rsidRPr="00F407AF">
        <w:rPr>
          <w:lang w:val="fr-BE"/>
        </w:rPr>
        <w:t xml:space="preserve">aux articles 6 </w:t>
      </w:r>
      <w:r w:rsidRPr="00F407AF">
        <w:rPr>
          <w:i/>
          <w:iCs/>
          <w:lang w:val="fr-BE"/>
        </w:rPr>
        <w:t>bis</w:t>
      </w:r>
      <w:r w:rsidRPr="00F407AF">
        <w:rPr>
          <w:lang w:val="fr-BE"/>
        </w:rPr>
        <w:t xml:space="preserve">, 6 </w:t>
      </w:r>
      <w:r w:rsidRPr="00F407AF">
        <w:rPr>
          <w:i/>
          <w:iCs/>
          <w:lang w:val="fr-BE"/>
        </w:rPr>
        <w:t>ter</w:t>
      </w:r>
      <w:r w:rsidRPr="00F407AF">
        <w:rPr>
          <w:lang w:val="fr-BE"/>
        </w:rPr>
        <w:t xml:space="preserve"> </w:t>
      </w:r>
      <w:r w:rsidR="00AC3EF2" w:rsidRPr="00F407AF">
        <w:rPr>
          <w:lang w:val="fr-BE"/>
        </w:rPr>
        <w:t xml:space="preserve">et </w:t>
      </w:r>
      <w:r w:rsidRPr="00F407AF">
        <w:rPr>
          <w:lang w:val="fr-BE"/>
        </w:rPr>
        <w:t xml:space="preserve">6 </w:t>
      </w:r>
      <w:r w:rsidR="001C248C" w:rsidRPr="00F407AF">
        <w:rPr>
          <w:i/>
          <w:iCs/>
          <w:lang w:val="fr-BE"/>
        </w:rPr>
        <w:t>qua</w:t>
      </w:r>
      <w:r w:rsidR="005A3878" w:rsidRPr="00F407AF">
        <w:rPr>
          <w:i/>
          <w:iCs/>
          <w:lang w:val="fr-BE"/>
        </w:rPr>
        <w:t>t</w:t>
      </w:r>
      <w:r w:rsidR="001C248C" w:rsidRPr="00F407AF">
        <w:rPr>
          <w:i/>
          <w:iCs/>
          <w:lang w:val="fr-BE"/>
        </w:rPr>
        <w:t>er</w:t>
      </w:r>
      <w:r w:rsidR="000F1A4C" w:rsidRPr="00F407AF">
        <w:rPr>
          <w:lang w:val="fr-BE"/>
        </w:rPr>
        <w:t>,</w:t>
      </w:r>
      <w:r w:rsidRPr="00F407AF">
        <w:rPr>
          <w:lang w:val="fr-BE"/>
        </w:rPr>
        <w:t xml:space="preserve"> et au paragraphe 1 du présent article</w:t>
      </w:r>
      <w:r w:rsidR="00AC3EF2" w:rsidRPr="00F407AF">
        <w:rPr>
          <w:lang w:val="fr-BE"/>
        </w:rPr>
        <w:t>,</w:t>
      </w:r>
      <w:r w:rsidRPr="00F407AF">
        <w:rPr>
          <w:lang w:val="fr-BE"/>
        </w:rPr>
        <w:t xml:space="preserve"> ou à y renoncer. Lorsque les clients en itinérance choisissent délibérément de bénéficier d</w:t>
      </w:r>
      <w:r w:rsidR="00FB12E6" w:rsidRPr="00F407AF">
        <w:rPr>
          <w:lang w:val="fr-BE"/>
        </w:rPr>
        <w:t>'un</w:t>
      </w:r>
      <w:r w:rsidRPr="00F407AF">
        <w:rPr>
          <w:lang w:val="fr-BE"/>
        </w:rPr>
        <w:t xml:space="preserve"> tarif </w:t>
      </w:r>
      <w:r w:rsidR="001C248C" w:rsidRPr="00F407AF">
        <w:rPr>
          <w:lang w:val="fr-BE"/>
        </w:rPr>
        <w:t>fixé conformément</w:t>
      </w:r>
      <w:r w:rsidR="00F407AF">
        <w:rPr>
          <w:lang w:val="fr-BE"/>
        </w:rPr>
        <w:t xml:space="preserve"> aux articles </w:t>
      </w:r>
      <w:r w:rsidRPr="00F407AF">
        <w:rPr>
          <w:lang w:val="fr-BE"/>
        </w:rPr>
        <w:t>6</w:t>
      </w:r>
      <w:r w:rsidR="00F407AF">
        <w:rPr>
          <w:lang w:val="fr-BE"/>
        </w:rPr>
        <w:t xml:space="preserve"> </w:t>
      </w:r>
      <w:r w:rsidRPr="00F407AF">
        <w:rPr>
          <w:i/>
          <w:iCs/>
          <w:lang w:val="fr-BE"/>
        </w:rPr>
        <w:t>bis</w:t>
      </w:r>
      <w:r w:rsidRPr="00F407AF">
        <w:rPr>
          <w:lang w:val="fr-BE"/>
        </w:rPr>
        <w:t>, 6</w:t>
      </w:r>
      <w:r w:rsidR="00F407AF">
        <w:rPr>
          <w:lang w:val="fr-BE"/>
        </w:rPr>
        <w:t xml:space="preserve"> </w:t>
      </w:r>
      <w:r w:rsidRPr="00F407AF">
        <w:rPr>
          <w:i/>
          <w:iCs/>
          <w:lang w:val="fr-BE"/>
        </w:rPr>
        <w:t>ter</w:t>
      </w:r>
      <w:r w:rsidRPr="00F407AF">
        <w:rPr>
          <w:lang w:val="fr-BE"/>
        </w:rPr>
        <w:t xml:space="preserve"> </w:t>
      </w:r>
      <w:r w:rsidR="00AC3EF2" w:rsidRPr="00F407AF">
        <w:rPr>
          <w:lang w:val="fr-BE"/>
        </w:rPr>
        <w:t xml:space="preserve">et </w:t>
      </w:r>
      <w:r w:rsidRPr="00F407AF">
        <w:rPr>
          <w:lang w:val="fr-BE"/>
        </w:rPr>
        <w:t>6</w:t>
      </w:r>
      <w:r w:rsidR="00F407AF">
        <w:rPr>
          <w:lang w:val="fr-BE"/>
        </w:rPr>
        <w:t xml:space="preserve"> </w:t>
      </w:r>
      <w:r w:rsidR="001C248C" w:rsidRPr="00F407AF">
        <w:rPr>
          <w:i/>
          <w:iCs/>
          <w:lang w:val="fr-BE"/>
        </w:rPr>
        <w:t>quater</w:t>
      </w:r>
      <w:r w:rsidR="000F1A4C" w:rsidRPr="00F407AF">
        <w:rPr>
          <w:lang w:val="fr-BE"/>
        </w:rPr>
        <w:t>,</w:t>
      </w:r>
      <w:r w:rsidRPr="00F407AF">
        <w:rPr>
          <w:lang w:val="fr-BE"/>
        </w:rPr>
        <w:t xml:space="preserve"> et au paragraphe 1 du présent article</w:t>
      </w:r>
      <w:r w:rsidR="00AC3EF2" w:rsidRPr="00F407AF">
        <w:rPr>
          <w:lang w:val="fr-BE"/>
        </w:rPr>
        <w:t>,</w:t>
      </w:r>
      <w:r w:rsidRPr="00F407AF">
        <w:rPr>
          <w:lang w:val="fr-BE"/>
        </w:rPr>
        <w:t xml:space="preserve"> ou d'y renoncer, tout changement de ce type est effectué gratuitement dans un délai d'un jour ouvrable à compter de la réception de la demande et ne peut être assorti de conditions ou de restrictions liées à des éléments de l'abonnement autres que l'itinérance. Les fournisseurs de services d'itinérance peuvent repousser le changement jusqu'au terme d'une période minimale d'application effective du précédent tarif d'itinérance</w:t>
      </w:r>
      <w:r w:rsidR="005A3878" w:rsidRPr="00F407AF">
        <w:rPr>
          <w:lang w:val="fr-BE"/>
        </w:rPr>
        <w:t xml:space="preserve"> </w:t>
      </w:r>
      <w:r w:rsidRPr="00F407AF">
        <w:rPr>
          <w:lang w:val="fr-BE"/>
        </w:rPr>
        <w:t xml:space="preserve">spécifiée </w:t>
      </w:r>
      <w:r w:rsidR="005A3878" w:rsidRPr="00F407AF">
        <w:rPr>
          <w:lang w:val="fr-BE"/>
        </w:rPr>
        <w:t>qui</w:t>
      </w:r>
      <w:r w:rsidRPr="00F407AF">
        <w:rPr>
          <w:lang w:val="fr-BE"/>
        </w:rPr>
        <w:t xml:space="preserve"> ne peut dépasser deux mois.</w:t>
      </w:r>
    </w:p>
    <w:p w:rsidR="00EE7F32" w:rsidRPr="00F407AF" w:rsidRDefault="00EE7F32" w:rsidP="00F407AF">
      <w:pPr>
        <w:pStyle w:val="Point1"/>
        <w:rPr>
          <w:rFonts w:eastAsia="Calibri"/>
          <w:lang w:val="fr-BE"/>
        </w:rPr>
      </w:pPr>
      <w:r w:rsidRPr="00F407AF">
        <w:rPr>
          <w:lang w:val="fr-BE"/>
        </w:rPr>
        <w:br w:type="page"/>
      </w:r>
      <w:r w:rsidR="004256F6" w:rsidRPr="00F407AF">
        <w:rPr>
          <w:lang w:val="fr-BE"/>
        </w:rPr>
        <w:lastRenderedPageBreak/>
        <w:t>4.</w:t>
      </w:r>
      <w:r w:rsidRPr="00F407AF">
        <w:rPr>
          <w:lang w:val="fr-BE"/>
        </w:rPr>
        <w:tab/>
        <w:t xml:space="preserve">Les fournisseurs de services d'itinérance veillent à ce qu'un contrat qui inclut </w:t>
      </w:r>
      <w:r w:rsidR="005A3878" w:rsidRPr="00F407AF">
        <w:rPr>
          <w:lang w:val="fr-BE"/>
        </w:rPr>
        <w:t>tout type de</w:t>
      </w:r>
      <w:r w:rsidRPr="00F407AF">
        <w:rPr>
          <w:lang w:val="fr-BE"/>
        </w:rPr>
        <w:t xml:space="preserve"> service d'itinérance au détail réglementé précise les principales ca</w:t>
      </w:r>
      <w:r w:rsidR="00F407AF">
        <w:rPr>
          <w:lang w:val="fr-BE"/>
        </w:rPr>
        <w:t xml:space="preserve">ractéristiques de ce service, y </w:t>
      </w:r>
      <w:r w:rsidRPr="00F407AF">
        <w:rPr>
          <w:lang w:val="fr-BE"/>
        </w:rPr>
        <w:t>compris, en particulier:</w:t>
      </w:r>
    </w:p>
    <w:p w:rsidR="00EE7F32" w:rsidRPr="00F407AF" w:rsidRDefault="004256F6" w:rsidP="00F407AF">
      <w:pPr>
        <w:pStyle w:val="Point2"/>
        <w:rPr>
          <w:rFonts w:eastAsia="Calibri"/>
          <w:lang w:val="fr-BE"/>
        </w:rPr>
      </w:pPr>
      <w:r w:rsidRPr="00F407AF">
        <w:rPr>
          <w:lang w:val="fr-BE"/>
        </w:rPr>
        <w:t>a)</w:t>
      </w:r>
      <w:r w:rsidR="00EE7F32" w:rsidRPr="00F407AF">
        <w:rPr>
          <w:lang w:val="fr-BE"/>
        </w:rPr>
        <w:tab/>
        <w:t>le ou les plans tarifaires spécifiques et, pour chacun de ces plans tarifaires, l</w:t>
      </w:r>
      <w:r w:rsidR="00F407AF">
        <w:rPr>
          <w:lang w:val="fr-BE"/>
        </w:rPr>
        <w:t xml:space="preserve">es types de services offerts, y </w:t>
      </w:r>
      <w:r w:rsidR="00EE7F32" w:rsidRPr="00F407AF">
        <w:rPr>
          <w:lang w:val="fr-BE"/>
        </w:rPr>
        <w:t>compris les volumes de communication;</w:t>
      </w:r>
    </w:p>
    <w:p w:rsidR="00EE7F32" w:rsidRPr="00F407AF" w:rsidRDefault="004256F6" w:rsidP="00F407AF">
      <w:pPr>
        <w:pStyle w:val="Point2"/>
        <w:rPr>
          <w:rFonts w:eastAsia="Calibri"/>
          <w:lang w:val="fr-BE"/>
        </w:rPr>
      </w:pPr>
      <w:r w:rsidRPr="00F407AF">
        <w:rPr>
          <w:lang w:val="fr-BE"/>
        </w:rPr>
        <w:t>b)</w:t>
      </w:r>
      <w:r w:rsidR="00EE7F32" w:rsidRPr="00F407AF">
        <w:rPr>
          <w:lang w:val="fr-BE"/>
        </w:rPr>
        <w:tab/>
        <w:t xml:space="preserve">toute limitation de </w:t>
      </w:r>
      <w:r w:rsidR="005A3878" w:rsidRPr="00F407AF">
        <w:rPr>
          <w:lang w:val="fr-BE"/>
        </w:rPr>
        <w:t>la consommation de</w:t>
      </w:r>
      <w:r w:rsidR="00EE7F32" w:rsidRPr="00F407AF">
        <w:rPr>
          <w:lang w:val="fr-BE"/>
        </w:rPr>
        <w:t xml:space="preserve"> services d'itinérance au détail réglementés fournis au prix de détail national applicable, en particulier des informations quantifiées sur les modalités </w:t>
      </w:r>
      <w:r w:rsidR="00ED6CE9" w:rsidRPr="00F407AF">
        <w:rPr>
          <w:lang w:val="fr-BE"/>
        </w:rPr>
        <w:t>d</w:t>
      </w:r>
      <w:r w:rsidR="00F407AF" w:rsidRPr="00F407AF">
        <w:rPr>
          <w:lang w:val="fr-BE"/>
        </w:rPr>
        <w:t>'</w:t>
      </w:r>
      <w:r w:rsidR="00ED6CE9" w:rsidRPr="00F407AF">
        <w:rPr>
          <w:lang w:val="fr-BE"/>
        </w:rPr>
        <w:t xml:space="preserve">application </w:t>
      </w:r>
      <w:r w:rsidR="00EE7F32" w:rsidRPr="00F407AF">
        <w:rPr>
          <w:lang w:val="fr-BE"/>
        </w:rPr>
        <w:t xml:space="preserve">de toute politique d'utilisation raisonnable en se référant aux principaux paramètres de tarification, de volume ou autres du service d'itinérance au détail réglementé </w:t>
      </w:r>
      <w:r w:rsidR="00FA63BF" w:rsidRPr="00F407AF">
        <w:rPr>
          <w:lang w:val="fr-BE"/>
        </w:rPr>
        <w:t>concerné</w:t>
      </w:r>
      <w:r w:rsidR="00EE7F32" w:rsidRPr="00F407AF">
        <w:rPr>
          <w:lang w:val="fr-BE"/>
        </w:rPr>
        <w:t>.</w:t>
      </w:r>
    </w:p>
    <w:p w:rsidR="00EE7F32" w:rsidRPr="00F407AF" w:rsidRDefault="00EE7F32" w:rsidP="00F407AF">
      <w:pPr>
        <w:pStyle w:val="Text2"/>
        <w:rPr>
          <w:rFonts w:eastAsia="Calibri"/>
          <w:lang w:val="fr-BE"/>
        </w:rPr>
      </w:pPr>
      <w:r w:rsidRPr="00F407AF">
        <w:rPr>
          <w:lang w:val="fr-BE"/>
        </w:rPr>
        <w:t>Les fournisseurs de services d'itinérance publient les informations visées au premier alinéa.</w:t>
      </w:r>
    </w:p>
    <w:p w:rsidR="00EE7F32" w:rsidRPr="00F407AF" w:rsidRDefault="00EE7F32" w:rsidP="00F407AF">
      <w:pPr>
        <w:pStyle w:val="Text1"/>
        <w:rPr>
          <w:i/>
          <w:iCs/>
          <w:lang w:val="fr-BE"/>
        </w:rPr>
      </w:pPr>
      <w:r w:rsidRPr="00F407AF">
        <w:rPr>
          <w:i/>
          <w:iCs/>
          <w:lang w:val="fr-BE"/>
        </w:rPr>
        <w:t xml:space="preserve">Article 6 </w:t>
      </w:r>
      <w:r w:rsidR="002615F4" w:rsidRPr="00F407AF">
        <w:rPr>
          <w:lang w:val="fr-BE"/>
        </w:rPr>
        <w:t>septies</w:t>
      </w:r>
      <w:r w:rsidR="004256F6" w:rsidRPr="00F407AF">
        <w:rPr>
          <w:i/>
          <w:iCs/>
          <w:lang w:val="fr-BE"/>
        </w:rPr>
        <w:br/>
      </w:r>
      <w:r w:rsidR="00FA63BF" w:rsidRPr="00F407AF">
        <w:rPr>
          <w:i/>
          <w:iCs/>
          <w:lang w:val="fr-BE"/>
        </w:rPr>
        <w:t xml:space="preserve">Frais supplémentaires </w:t>
      </w:r>
      <w:r w:rsidR="00AD4873" w:rsidRPr="00F407AF">
        <w:rPr>
          <w:i/>
          <w:iCs/>
          <w:lang w:val="fr-BE"/>
        </w:rPr>
        <w:t xml:space="preserve">de détail </w:t>
      </w:r>
      <w:r w:rsidRPr="00F407AF">
        <w:rPr>
          <w:i/>
          <w:iCs/>
          <w:lang w:val="fr-BE"/>
        </w:rPr>
        <w:t>transit</w:t>
      </w:r>
      <w:r w:rsidR="00395C2E">
        <w:rPr>
          <w:i/>
          <w:iCs/>
          <w:lang w:val="fr-BE"/>
        </w:rPr>
        <w:t>oires des services d'itinérance</w:t>
      </w:r>
    </w:p>
    <w:p w:rsidR="00EE7F32" w:rsidRPr="00F407AF" w:rsidRDefault="004256F6" w:rsidP="00F407AF">
      <w:pPr>
        <w:pStyle w:val="Point1"/>
        <w:rPr>
          <w:rFonts w:eastAsia="Calibri"/>
          <w:lang w:val="fr-BE"/>
        </w:rPr>
      </w:pPr>
      <w:r w:rsidRPr="00F407AF">
        <w:rPr>
          <w:lang w:val="fr-BE"/>
        </w:rPr>
        <w:t>1.</w:t>
      </w:r>
      <w:r w:rsidR="00EE7F32" w:rsidRPr="00F407AF">
        <w:rPr>
          <w:lang w:val="fr-BE"/>
        </w:rPr>
        <w:tab/>
        <w:t xml:space="preserve">Du 30 avril 2016 au </w:t>
      </w:r>
      <w:r w:rsidR="00EE7F32" w:rsidRPr="00F407AF">
        <w:rPr>
          <w:rFonts w:eastAsiaTheme="minorHAnsi"/>
          <w:lang w:val="fr-BE"/>
        </w:rPr>
        <w:t>14 juin 2017</w:t>
      </w:r>
      <w:r w:rsidR="00EE7F32" w:rsidRPr="00F407AF">
        <w:rPr>
          <w:lang w:val="fr-BE"/>
        </w:rPr>
        <w:t xml:space="preserve">, les fournisseurs de services d'itinérance peuvent appliquer des frais supplémentaires </w:t>
      </w:r>
      <w:r w:rsidR="005C7EAA" w:rsidRPr="00F407AF">
        <w:rPr>
          <w:lang w:val="fr-BE"/>
        </w:rPr>
        <w:t>en plus du</w:t>
      </w:r>
      <w:r w:rsidR="00EE7F32" w:rsidRPr="00F407AF">
        <w:rPr>
          <w:lang w:val="fr-BE"/>
        </w:rPr>
        <w:t xml:space="preserve"> prix de détail national pour la fourniture de services d'itinérance au détail réglementés.</w:t>
      </w:r>
    </w:p>
    <w:p w:rsidR="00EE7F32" w:rsidRPr="00F407AF" w:rsidRDefault="004256F6" w:rsidP="00F407AF">
      <w:pPr>
        <w:pStyle w:val="Point1"/>
        <w:rPr>
          <w:rFonts w:eastAsiaTheme="minorHAnsi"/>
          <w:lang w:val="fr-BE"/>
        </w:rPr>
      </w:pPr>
      <w:r w:rsidRPr="00F407AF">
        <w:rPr>
          <w:lang w:val="fr-BE"/>
        </w:rPr>
        <w:t>2.</w:t>
      </w:r>
      <w:r w:rsidR="00EE7F32" w:rsidRPr="00F407AF">
        <w:rPr>
          <w:lang w:val="fr-BE"/>
        </w:rPr>
        <w:tab/>
        <w:t>Durant la période visée au paragraphe 1</w:t>
      </w:r>
      <w:r w:rsidR="00FB12E6" w:rsidRPr="00F407AF">
        <w:rPr>
          <w:lang w:val="fr-BE"/>
        </w:rPr>
        <w:t xml:space="preserve"> du présent article</w:t>
      </w:r>
      <w:r w:rsidR="00F407AF">
        <w:rPr>
          <w:lang w:val="fr-BE"/>
        </w:rPr>
        <w:t xml:space="preserve">, l'article </w:t>
      </w:r>
      <w:r w:rsidR="00EE7F32" w:rsidRPr="00F407AF">
        <w:rPr>
          <w:lang w:val="fr-BE"/>
        </w:rPr>
        <w:t>6</w:t>
      </w:r>
      <w:r w:rsidR="00F407AF">
        <w:rPr>
          <w:lang w:val="fr-BE"/>
        </w:rPr>
        <w:t xml:space="preserve"> </w:t>
      </w:r>
      <w:r w:rsidR="00332091" w:rsidRPr="00F407AF">
        <w:rPr>
          <w:i/>
          <w:iCs/>
          <w:lang w:val="fr-BE"/>
        </w:rPr>
        <w:t>sexies</w:t>
      </w:r>
      <w:r w:rsidR="00EE7F32" w:rsidRPr="00F407AF">
        <w:rPr>
          <w:lang w:val="fr-BE"/>
        </w:rPr>
        <w:t xml:space="preserve"> s'applique </w:t>
      </w:r>
      <w:r w:rsidR="00EE7F32" w:rsidRPr="00F407AF">
        <w:rPr>
          <w:i/>
          <w:iCs/>
          <w:lang w:val="fr-BE"/>
        </w:rPr>
        <w:t>mutatis mutandis</w:t>
      </w:r>
      <w:r w:rsidR="00EE7F32" w:rsidRPr="00F407AF">
        <w:rPr>
          <w:lang w:val="fr-BE"/>
        </w:rPr>
        <w:t>.</w:t>
      </w:r>
      <w:r w:rsidR="00332091" w:rsidRPr="00F407AF">
        <w:rPr>
          <w:lang w:val="fr-BE"/>
        </w:rPr>
        <w:t>".</w:t>
      </w:r>
    </w:p>
    <w:p w:rsidR="00ED6CE9" w:rsidRPr="00F407AF" w:rsidRDefault="00333DB7" w:rsidP="00F407AF">
      <w:pPr>
        <w:pStyle w:val="Point0"/>
        <w:rPr>
          <w:lang w:val="fr-BE"/>
        </w:rPr>
      </w:pPr>
      <w:r w:rsidRPr="00F407AF">
        <w:rPr>
          <w:lang w:val="fr-BE"/>
        </w:rPr>
        <w:t>6)</w:t>
      </w:r>
      <w:r w:rsidR="00ED6CE9" w:rsidRPr="00F407AF">
        <w:rPr>
          <w:lang w:val="fr-BE"/>
        </w:rPr>
        <w:tab/>
      </w:r>
      <w:r w:rsidR="00E87BC6" w:rsidRPr="00F407AF">
        <w:rPr>
          <w:lang w:val="fr-BE"/>
        </w:rPr>
        <w:t>Les</w:t>
      </w:r>
      <w:r w:rsidRPr="00F407AF">
        <w:rPr>
          <w:lang w:val="fr-BE"/>
        </w:rPr>
        <w:t xml:space="preserve"> articles 8, 10 et 13 sont supprimés</w:t>
      </w:r>
      <w:r w:rsidR="00332091" w:rsidRPr="00F407AF">
        <w:rPr>
          <w:lang w:val="fr-BE"/>
        </w:rPr>
        <w:t>.</w:t>
      </w:r>
    </w:p>
    <w:p w:rsidR="00333DB7" w:rsidRPr="00F407AF" w:rsidRDefault="00F407AF" w:rsidP="00F407AF">
      <w:pPr>
        <w:pStyle w:val="Point0"/>
        <w:rPr>
          <w:lang w:val="fr-BE"/>
        </w:rPr>
      </w:pPr>
      <w:r w:rsidRPr="00F407AF">
        <w:rPr>
          <w:lang w:val="fr-BE"/>
        </w:rPr>
        <w:br w:type="page"/>
      </w:r>
      <w:r w:rsidR="00333DB7" w:rsidRPr="00F407AF">
        <w:rPr>
          <w:lang w:val="fr-BE"/>
        </w:rPr>
        <w:lastRenderedPageBreak/>
        <w:t>7</w:t>
      </w:r>
      <w:r w:rsidRPr="00F407AF">
        <w:rPr>
          <w:lang w:val="fr-BE"/>
        </w:rPr>
        <w:t>)</w:t>
      </w:r>
      <w:r w:rsidR="00EE7F32" w:rsidRPr="00F407AF">
        <w:rPr>
          <w:lang w:val="fr-BE"/>
        </w:rPr>
        <w:tab/>
      </w:r>
      <w:r w:rsidR="00E87BC6" w:rsidRPr="00F407AF">
        <w:rPr>
          <w:lang w:val="fr-BE"/>
        </w:rPr>
        <w:t>L</w:t>
      </w:r>
      <w:r w:rsidR="00EE7F32" w:rsidRPr="00F407AF">
        <w:rPr>
          <w:lang w:val="fr-BE"/>
        </w:rPr>
        <w:t>'article 14</w:t>
      </w:r>
      <w:r w:rsidR="00333DB7" w:rsidRPr="00F407AF">
        <w:rPr>
          <w:lang w:val="fr-BE"/>
        </w:rPr>
        <w:t xml:space="preserve"> est modifié comme suit:</w:t>
      </w:r>
    </w:p>
    <w:p w:rsidR="005C7EAA" w:rsidRPr="00F407AF" w:rsidRDefault="00333DB7" w:rsidP="00F407AF">
      <w:pPr>
        <w:pStyle w:val="Point1"/>
        <w:rPr>
          <w:lang w:val="fr-BE"/>
        </w:rPr>
      </w:pPr>
      <w:r w:rsidRPr="00F407AF">
        <w:rPr>
          <w:lang w:val="fr-BE"/>
        </w:rPr>
        <w:t>a</w:t>
      </w:r>
      <w:r w:rsidR="00D21FB4" w:rsidRPr="00F407AF">
        <w:rPr>
          <w:lang w:val="fr-BE"/>
        </w:rPr>
        <w:t>)</w:t>
      </w:r>
      <w:r w:rsidR="00D21FB4" w:rsidRPr="00F407AF">
        <w:rPr>
          <w:lang w:val="fr-BE"/>
        </w:rPr>
        <w:tab/>
      </w:r>
      <w:r w:rsidR="00332091" w:rsidRPr="00F407AF">
        <w:rPr>
          <w:lang w:val="fr-BE"/>
        </w:rPr>
        <w:t>a</w:t>
      </w:r>
      <w:r w:rsidRPr="00F407AF">
        <w:rPr>
          <w:lang w:val="fr-BE"/>
        </w:rPr>
        <w:t xml:space="preserve">u </w:t>
      </w:r>
      <w:r w:rsidR="00EE7F32" w:rsidRPr="00F407AF">
        <w:rPr>
          <w:lang w:val="fr-BE"/>
        </w:rPr>
        <w:t>paragraphe 1</w:t>
      </w:r>
      <w:r w:rsidRPr="00F407AF">
        <w:rPr>
          <w:lang w:val="fr-BE"/>
        </w:rPr>
        <w:t>,</w:t>
      </w:r>
      <w:r w:rsidR="00EE7F32" w:rsidRPr="00F407AF">
        <w:rPr>
          <w:lang w:val="fr-BE"/>
        </w:rPr>
        <w:t xml:space="preserve"> </w:t>
      </w:r>
      <w:r w:rsidR="00252671" w:rsidRPr="00F407AF">
        <w:rPr>
          <w:lang w:val="fr-BE"/>
        </w:rPr>
        <w:t>le deuxième alinéa</w:t>
      </w:r>
      <w:r w:rsidR="000425C0" w:rsidRPr="00F407AF">
        <w:rPr>
          <w:lang w:val="fr-BE"/>
        </w:rPr>
        <w:t xml:space="preserve"> </w:t>
      </w:r>
      <w:r w:rsidR="00E925E1" w:rsidRPr="00F407AF">
        <w:rPr>
          <w:lang w:val="fr-BE"/>
        </w:rPr>
        <w:t>es</w:t>
      </w:r>
      <w:r w:rsidR="00EE7F32" w:rsidRPr="00F407AF">
        <w:rPr>
          <w:lang w:val="fr-BE"/>
        </w:rPr>
        <w:t>t remplacé par le</w:t>
      </w:r>
      <w:r w:rsidR="00332091" w:rsidRPr="00F407AF">
        <w:rPr>
          <w:lang w:val="fr-BE"/>
        </w:rPr>
        <w:t xml:space="preserve"> texte</w:t>
      </w:r>
      <w:r w:rsidR="000425C0" w:rsidRPr="00F407AF">
        <w:rPr>
          <w:lang w:val="fr-BE"/>
        </w:rPr>
        <w:t xml:space="preserve"> suivant</w:t>
      </w:r>
      <w:r w:rsidR="00EE7F32" w:rsidRPr="00F407AF">
        <w:rPr>
          <w:lang w:val="fr-BE"/>
        </w:rPr>
        <w:t>:</w:t>
      </w:r>
    </w:p>
    <w:p w:rsidR="00086E11" w:rsidRPr="00F407AF" w:rsidRDefault="00086E11" w:rsidP="00F407AF">
      <w:pPr>
        <w:pStyle w:val="Text2"/>
        <w:rPr>
          <w:lang w:val="fr-BE"/>
        </w:rPr>
      </w:pPr>
      <w:r w:rsidRPr="00F407AF">
        <w:rPr>
          <w:lang w:val="fr-BE"/>
        </w:rPr>
        <w:t>C</w:t>
      </w:r>
      <w:r w:rsidR="00EE7F32" w:rsidRPr="00F407AF">
        <w:rPr>
          <w:lang w:val="fr-BE"/>
        </w:rPr>
        <w:t>es informations personnalisées de base</w:t>
      </w:r>
      <w:r w:rsidRPr="00F407AF">
        <w:rPr>
          <w:lang w:val="fr-BE"/>
        </w:rPr>
        <w:t xml:space="preserve"> sur les prix sont exprimées dans la devise</w:t>
      </w:r>
      <w:r w:rsidR="00EE7F32" w:rsidRPr="00F407AF">
        <w:rPr>
          <w:lang w:val="fr-BE"/>
        </w:rPr>
        <w:t xml:space="preserve"> </w:t>
      </w:r>
      <w:r w:rsidRPr="00F407AF">
        <w:rPr>
          <w:lang w:val="fr-BE"/>
        </w:rPr>
        <w:t xml:space="preserve">de la facture d'origine établie par le fournisseur national du client et </w:t>
      </w:r>
      <w:r w:rsidR="00EE7F32" w:rsidRPr="00F407AF">
        <w:rPr>
          <w:lang w:val="fr-BE"/>
        </w:rPr>
        <w:t xml:space="preserve">comprennent des </w:t>
      </w:r>
      <w:r w:rsidR="00332091" w:rsidRPr="00F407AF">
        <w:rPr>
          <w:lang w:val="fr-BE"/>
        </w:rPr>
        <w:t xml:space="preserve">informations </w:t>
      </w:r>
      <w:r w:rsidR="00EE7F32" w:rsidRPr="00F407AF">
        <w:rPr>
          <w:lang w:val="fr-BE"/>
        </w:rPr>
        <w:t>sur</w:t>
      </w:r>
      <w:r w:rsidR="005C7EAA" w:rsidRPr="00F407AF">
        <w:rPr>
          <w:lang w:val="fr-BE"/>
        </w:rPr>
        <w:t>:</w:t>
      </w:r>
    </w:p>
    <w:p w:rsidR="00086E11" w:rsidRPr="00F407AF" w:rsidRDefault="00F407AF" w:rsidP="00F407AF">
      <w:pPr>
        <w:pStyle w:val="Point2"/>
        <w:rPr>
          <w:lang w:val="fr-BE"/>
        </w:rPr>
      </w:pPr>
      <w:r w:rsidRPr="00F407AF">
        <w:rPr>
          <w:lang w:val="fr-BE"/>
        </w:rPr>
        <w:t>a)</w:t>
      </w:r>
      <w:r w:rsidRPr="00F407AF">
        <w:rPr>
          <w:lang w:val="fr-BE"/>
        </w:rPr>
        <w:tab/>
      </w:r>
      <w:r w:rsidR="00086E11" w:rsidRPr="00F407AF">
        <w:rPr>
          <w:lang w:val="fr-BE"/>
        </w:rPr>
        <w:t>toute</w:t>
      </w:r>
      <w:r w:rsidR="00EE7F32" w:rsidRPr="00F407AF">
        <w:rPr>
          <w:lang w:val="fr-BE"/>
        </w:rPr>
        <w:t xml:space="preserve"> politique d'utilisation raisonnable à laquelle le client </w:t>
      </w:r>
      <w:r w:rsidR="00332091" w:rsidRPr="00F407AF">
        <w:rPr>
          <w:lang w:val="fr-BE"/>
        </w:rPr>
        <w:t xml:space="preserve">en itinérance </w:t>
      </w:r>
      <w:r w:rsidR="00EE7F32" w:rsidRPr="00F407AF">
        <w:rPr>
          <w:lang w:val="fr-BE"/>
        </w:rPr>
        <w:t xml:space="preserve">est soumis </w:t>
      </w:r>
      <w:r w:rsidR="00AC3EF2" w:rsidRPr="00F407AF">
        <w:rPr>
          <w:lang w:val="fr-BE"/>
        </w:rPr>
        <w:t>au sein de</w:t>
      </w:r>
      <w:r w:rsidR="00EE7F32" w:rsidRPr="00F407AF">
        <w:rPr>
          <w:lang w:val="fr-BE"/>
        </w:rPr>
        <w:t xml:space="preserve"> l'U</w:t>
      </w:r>
      <w:r w:rsidR="000425C0" w:rsidRPr="00F407AF">
        <w:rPr>
          <w:lang w:val="fr-BE"/>
        </w:rPr>
        <w:t>nion</w:t>
      </w:r>
      <w:r w:rsidR="00EE7F32" w:rsidRPr="00F407AF">
        <w:rPr>
          <w:lang w:val="fr-BE"/>
        </w:rPr>
        <w:t xml:space="preserve"> </w:t>
      </w:r>
      <w:r w:rsidR="00086E11" w:rsidRPr="00F407AF">
        <w:rPr>
          <w:lang w:val="fr-BE"/>
        </w:rPr>
        <w:t xml:space="preserve">et </w:t>
      </w:r>
      <w:r w:rsidR="00EE7F32" w:rsidRPr="00F407AF">
        <w:rPr>
          <w:lang w:val="fr-BE"/>
        </w:rPr>
        <w:t xml:space="preserve">sur les </w:t>
      </w:r>
      <w:r w:rsidR="00086E11" w:rsidRPr="00F407AF">
        <w:rPr>
          <w:lang w:val="fr-BE"/>
        </w:rPr>
        <w:t xml:space="preserve">frais supplémentaires appliqués </w:t>
      </w:r>
      <w:r w:rsidR="00EE7F32" w:rsidRPr="00F407AF">
        <w:rPr>
          <w:lang w:val="fr-BE"/>
        </w:rPr>
        <w:t xml:space="preserve">lorsque la consommation excède </w:t>
      </w:r>
      <w:r w:rsidR="00D21FB4" w:rsidRPr="00F407AF">
        <w:rPr>
          <w:lang w:val="fr-BE"/>
        </w:rPr>
        <w:t>toute limite fixée par</w:t>
      </w:r>
      <w:r w:rsidR="00EE7F32" w:rsidRPr="00F407AF">
        <w:rPr>
          <w:lang w:val="fr-BE"/>
        </w:rPr>
        <w:t xml:space="preserve"> </w:t>
      </w:r>
      <w:r w:rsidR="00A81332" w:rsidRPr="00F407AF">
        <w:rPr>
          <w:lang w:val="fr-BE"/>
        </w:rPr>
        <w:t>cette</w:t>
      </w:r>
      <w:r w:rsidR="00EE7F32" w:rsidRPr="00F407AF">
        <w:rPr>
          <w:lang w:val="fr-BE"/>
        </w:rPr>
        <w:t xml:space="preserve"> politique d'utilisation raisonnable</w:t>
      </w:r>
      <w:r w:rsidR="00086E11" w:rsidRPr="00F407AF">
        <w:rPr>
          <w:lang w:val="fr-BE"/>
        </w:rPr>
        <w:t>; et</w:t>
      </w:r>
    </w:p>
    <w:p w:rsidR="00EE7F32" w:rsidRPr="00F407AF" w:rsidRDefault="00086E11" w:rsidP="00F407AF">
      <w:pPr>
        <w:pStyle w:val="Point2"/>
        <w:rPr>
          <w:lang w:val="fr-BE"/>
        </w:rPr>
      </w:pPr>
      <w:r w:rsidRPr="00F407AF">
        <w:rPr>
          <w:lang w:val="fr-BE"/>
        </w:rPr>
        <w:t>b)</w:t>
      </w:r>
      <w:r w:rsidR="00F407AF" w:rsidRPr="00F407AF">
        <w:rPr>
          <w:lang w:val="fr-BE"/>
        </w:rPr>
        <w:tab/>
      </w:r>
      <w:r w:rsidR="00EE7F32" w:rsidRPr="00F407AF">
        <w:rPr>
          <w:lang w:val="fr-BE"/>
        </w:rPr>
        <w:t>tou</w:t>
      </w:r>
      <w:r w:rsidR="003933C6" w:rsidRPr="00F407AF">
        <w:rPr>
          <w:lang w:val="fr-BE"/>
        </w:rPr>
        <w:t>s</w:t>
      </w:r>
      <w:r w:rsidR="00EE7F32" w:rsidRPr="00F407AF">
        <w:rPr>
          <w:lang w:val="fr-BE"/>
        </w:rPr>
        <w:t xml:space="preserve"> frais supplémentaire</w:t>
      </w:r>
      <w:r w:rsidR="003933C6" w:rsidRPr="00F407AF">
        <w:rPr>
          <w:lang w:val="fr-BE"/>
        </w:rPr>
        <w:t>s</w:t>
      </w:r>
      <w:r w:rsidR="00EE7F32" w:rsidRPr="00F407AF">
        <w:rPr>
          <w:lang w:val="fr-BE"/>
        </w:rPr>
        <w:t xml:space="preserve"> </w:t>
      </w:r>
      <w:r w:rsidR="00D21FB4" w:rsidRPr="00F407AF">
        <w:rPr>
          <w:lang w:val="fr-BE"/>
        </w:rPr>
        <w:t>appliqué</w:t>
      </w:r>
      <w:r w:rsidR="003933C6" w:rsidRPr="00F407AF">
        <w:rPr>
          <w:lang w:val="fr-BE"/>
        </w:rPr>
        <w:t>s</w:t>
      </w:r>
      <w:r w:rsidR="00D21FB4" w:rsidRPr="00F407AF">
        <w:rPr>
          <w:lang w:val="fr-BE"/>
        </w:rPr>
        <w:t xml:space="preserve"> conformément</w:t>
      </w:r>
      <w:r w:rsidR="00EE7F32" w:rsidRPr="00F407AF">
        <w:rPr>
          <w:lang w:val="fr-BE"/>
        </w:rPr>
        <w:t xml:space="preserve"> à l'article 6 </w:t>
      </w:r>
      <w:r w:rsidR="00D21FB4" w:rsidRPr="00CF3546">
        <w:rPr>
          <w:i/>
          <w:iCs/>
          <w:lang w:val="fr-BE"/>
        </w:rPr>
        <w:t>qua</w:t>
      </w:r>
      <w:r w:rsidR="00EE7F32" w:rsidRPr="00CF3546">
        <w:rPr>
          <w:i/>
          <w:iCs/>
          <w:lang w:val="fr-BE"/>
        </w:rPr>
        <w:t>ter</w:t>
      </w:r>
      <w:r w:rsidRPr="00F407AF">
        <w:rPr>
          <w:lang w:val="fr-BE"/>
        </w:rPr>
        <w:t>."</w:t>
      </w:r>
      <w:r w:rsidR="005C7EAA" w:rsidRPr="00F407AF">
        <w:rPr>
          <w:lang w:val="fr-BE"/>
        </w:rPr>
        <w:t>;</w:t>
      </w:r>
    </w:p>
    <w:p w:rsidR="00252671" w:rsidRPr="00F407AF" w:rsidRDefault="00F407AF" w:rsidP="00F407AF">
      <w:pPr>
        <w:pStyle w:val="Point1"/>
        <w:rPr>
          <w:rFonts w:eastAsia="Calibri"/>
          <w:lang w:val="fr-BE"/>
        </w:rPr>
      </w:pPr>
      <w:r w:rsidRPr="00F407AF">
        <w:rPr>
          <w:lang w:val="fr-BE"/>
        </w:rPr>
        <w:t>b)</w:t>
      </w:r>
      <w:r w:rsidRPr="00F407AF">
        <w:rPr>
          <w:lang w:val="fr-BE"/>
        </w:rPr>
        <w:tab/>
      </w:r>
      <w:r w:rsidR="00332091" w:rsidRPr="00F407AF">
        <w:rPr>
          <w:lang w:val="fr-BE"/>
        </w:rPr>
        <w:t>au</w:t>
      </w:r>
      <w:r w:rsidR="00252671" w:rsidRPr="00F407AF">
        <w:rPr>
          <w:lang w:val="fr-BE"/>
        </w:rPr>
        <w:t xml:space="preserve"> paragraphe</w:t>
      </w:r>
      <w:r w:rsidR="00332091" w:rsidRPr="00F407AF">
        <w:rPr>
          <w:lang w:val="fr-BE"/>
        </w:rPr>
        <w:t xml:space="preserve"> 1</w:t>
      </w:r>
      <w:r w:rsidR="00252671" w:rsidRPr="00F407AF">
        <w:rPr>
          <w:lang w:val="fr-BE"/>
        </w:rPr>
        <w:t xml:space="preserve">, le sixième alinéa est remplacé par le </w:t>
      </w:r>
      <w:r w:rsidR="00332091" w:rsidRPr="00F407AF">
        <w:rPr>
          <w:lang w:val="fr-BE"/>
        </w:rPr>
        <w:t xml:space="preserve">texte </w:t>
      </w:r>
      <w:r w:rsidR="00252671" w:rsidRPr="00F407AF">
        <w:rPr>
          <w:lang w:val="fr-BE"/>
        </w:rPr>
        <w:t>suivant:</w:t>
      </w:r>
    </w:p>
    <w:p w:rsidR="00EE7F32" w:rsidRPr="00F407AF" w:rsidRDefault="00974EC7" w:rsidP="00F407AF">
      <w:pPr>
        <w:pStyle w:val="Text2"/>
        <w:rPr>
          <w:rFonts w:eastAsia="Calibri"/>
          <w:lang w:val="fr-BE"/>
        </w:rPr>
      </w:pPr>
      <w:r w:rsidRPr="00F407AF">
        <w:rPr>
          <w:lang w:val="fr-BE"/>
        </w:rPr>
        <w:t>"</w:t>
      </w:r>
      <w:r w:rsidR="00EE7F32" w:rsidRPr="00F407AF">
        <w:rPr>
          <w:lang w:val="fr-BE"/>
        </w:rPr>
        <w:t>Le</w:t>
      </w:r>
      <w:r w:rsidR="005C7EAA" w:rsidRPr="00F407AF">
        <w:rPr>
          <w:lang w:val="fr-BE"/>
        </w:rPr>
        <w:t>s</w:t>
      </w:r>
      <w:r w:rsidR="00EE7F32" w:rsidRPr="00F407AF">
        <w:rPr>
          <w:lang w:val="fr-BE"/>
        </w:rPr>
        <w:t xml:space="preserve"> premier, deuxième, quatrième et cinquième alinéa</w:t>
      </w:r>
      <w:r w:rsidR="00332091" w:rsidRPr="00F407AF">
        <w:rPr>
          <w:lang w:val="fr-BE"/>
        </w:rPr>
        <w:t>s</w:t>
      </w:r>
      <w:r w:rsidR="00EE7F32" w:rsidRPr="00F407AF">
        <w:rPr>
          <w:lang w:val="fr-BE"/>
        </w:rPr>
        <w:t>, sauf pour ce qui concerne l</w:t>
      </w:r>
      <w:r w:rsidR="00165C9F" w:rsidRPr="00F407AF">
        <w:rPr>
          <w:lang w:val="fr-BE"/>
        </w:rPr>
        <w:t>es</w:t>
      </w:r>
      <w:r w:rsidR="00EE7F32" w:rsidRPr="00F407AF">
        <w:rPr>
          <w:lang w:val="fr-BE"/>
        </w:rPr>
        <w:t xml:space="preserve"> mention</w:t>
      </w:r>
      <w:r w:rsidR="00165C9F" w:rsidRPr="00F407AF">
        <w:rPr>
          <w:lang w:val="fr-BE"/>
        </w:rPr>
        <w:t>s</w:t>
      </w:r>
      <w:r w:rsidR="00EE7F32" w:rsidRPr="00F407AF">
        <w:rPr>
          <w:lang w:val="fr-BE"/>
        </w:rPr>
        <w:t xml:space="preserve"> relative</w:t>
      </w:r>
      <w:r w:rsidR="00165C9F" w:rsidRPr="00F407AF">
        <w:rPr>
          <w:lang w:val="fr-BE"/>
        </w:rPr>
        <w:t>s</w:t>
      </w:r>
      <w:r w:rsidR="00EE7F32" w:rsidRPr="00F407AF">
        <w:rPr>
          <w:lang w:val="fr-BE"/>
        </w:rPr>
        <w:t xml:space="preserve"> à la politique d'utilisation raisonnable</w:t>
      </w:r>
      <w:r w:rsidR="00341989" w:rsidRPr="00F407AF">
        <w:rPr>
          <w:lang w:val="fr-BE"/>
        </w:rPr>
        <w:t xml:space="preserve"> et aux frais supplémentaires appliqués conformément à l'article 6 </w:t>
      </w:r>
      <w:r w:rsidR="00341989" w:rsidRPr="00F407AF">
        <w:rPr>
          <w:i/>
          <w:iCs/>
          <w:lang w:val="fr-BE"/>
        </w:rPr>
        <w:t>quater</w:t>
      </w:r>
      <w:r w:rsidR="00EE7F32" w:rsidRPr="00F407AF">
        <w:rPr>
          <w:lang w:val="fr-BE"/>
        </w:rPr>
        <w:t>, s'appliquent également aux services d'appels vocaux et de SMS en itinérance utilisés par les clients en itinérance voyageant à l'extérieur de l'Union et fournis par un fournisseur de services d'itinérance.</w:t>
      </w:r>
      <w:r w:rsidRPr="00F407AF">
        <w:rPr>
          <w:lang w:val="fr-BE"/>
        </w:rPr>
        <w:t>"</w:t>
      </w:r>
      <w:r w:rsidR="005C7EAA" w:rsidRPr="00F407AF">
        <w:rPr>
          <w:lang w:val="fr-BE"/>
        </w:rPr>
        <w:t>;</w:t>
      </w:r>
    </w:p>
    <w:p w:rsidR="00EE7F32" w:rsidRPr="00F407AF" w:rsidRDefault="00F407AF" w:rsidP="00F407AF">
      <w:pPr>
        <w:pStyle w:val="Point1"/>
        <w:rPr>
          <w:rFonts w:eastAsia="Calibri"/>
          <w:lang w:val="fr-BE"/>
        </w:rPr>
      </w:pPr>
      <w:r>
        <w:rPr>
          <w:lang w:val="fr-BE"/>
        </w:rPr>
        <w:br w:type="page"/>
      </w:r>
      <w:r w:rsidRPr="00F407AF">
        <w:rPr>
          <w:lang w:val="fr-BE"/>
        </w:rPr>
        <w:lastRenderedPageBreak/>
        <w:t>c)</w:t>
      </w:r>
      <w:r w:rsidRPr="00F407AF">
        <w:rPr>
          <w:lang w:val="fr-BE"/>
        </w:rPr>
        <w:tab/>
      </w:r>
      <w:r w:rsidR="00974EC7" w:rsidRPr="00F407AF">
        <w:rPr>
          <w:lang w:val="fr-BE"/>
        </w:rPr>
        <w:t xml:space="preserve">le paragraphe suivant est </w:t>
      </w:r>
      <w:r w:rsidR="00332091" w:rsidRPr="00F407AF">
        <w:rPr>
          <w:lang w:val="fr-BE"/>
        </w:rPr>
        <w:t>inséré</w:t>
      </w:r>
      <w:r w:rsidRPr="00F407AF">
        <w:rPr>
          <w:lang w:val="fr-BE"/>
        </w:rPr>
        <w:t>:</w:t>
      </w:r>
    </w:p>
    <w:p w:rsidR="00EE7F32" w:rsidRPr="00F407AF" w:rsidRDefault="00974EC7" w:rsidP="00F407AF">
      <w:pPr>
        <w:pStyle w:val="Point2"/>
        <w:rPr>
          <w:lang w:val="fr-BE"/>
        </w:rPr>
      </w:pPr>
      <w:r w:rsidRPr="00F407AF">
        <w:rPr>
          <w:lang w:val="fr-BE"/>
        </w:rPr>
        <w:t>"</w:t>
      </w:r>
      <w:r w:rsidR="00F407AF">
        <w:rPr>
          <w:lang w:val="fr-BE"/>
        </w:rPr>
        <w:t xml:space="preserve">2 </w:t>
      </w:r>
      <w:r w:rsidR="00EE7F32" w:rsidRPr="00F407AF">
        <w:rPr>
          <w:i/>
          <w:iCs/>
          <w:lang w:val="fr-BE"/>
        </w:rPr>
        <w:t>bis</w:t>
      </w:r>
      <w:r w:rsidR="00F407AF">
        <w:rPr>
          <w:lang w:val="fr-BE"/>
        </w:rPr>
        <w:t>.</w:t>
      </w:r>
      <w:r w:rsidR="00EE7F32" w:rsidRPr="00F407AF">
        <w:rPr>
          <w:lang w:val="fr-BE"/>
        </w:rPr>
        <w:tab/>
      </w:r>
      <w:r w:rsidR="00B06A77" w:rsidRPr="00F407AF">
        <w:rPr>
          <w:lang w:val="fr-BE"/>
        </w:rPr>
        <w:t>L</w:t>
      </w:r>
      <w:r w:rsidR="00EE7F32" w:rsidRPr="00F407AF">
        <w:rPr>
          <w:lang w:val="fr-BE"/>
        </w:rPr>
        <w:t xml:space="preserve">e fournisseur de services d'itinérance envoie une notification au client en itinérance lorsque celui-ci a consommé </w:t>
      </w:r>
      <w:r w:rsidR="00B06A77" w:rsidRPr="00F407AF">
        <w:rPr>
          <w:lang w:val="fr-BE"/>
        </w:rPr>
        <w:t xml:space="preserve">tout </w:t>
      </w:r>
      <w:r w:rsidR="00EE7F32" w:rsidRPr="00F407AF">
        <w:rPr>
          <w:lang w:val="fr-BE"/>
        </w:rPr>
        <w:t xml:space="preserve">le volume de services </w:t>
      </w:r>
      <w:r w:rsidR="00CE0E07" w:rsidRPr="00F407AF">
        <w:rPr>
          <w:lang w:val="fr-BE"/>
        </w:rPr>
        <w:t xml:space="preserve">d'appels </w:t>
      </w:r>
      <w:r w:rsidRPr="00F407AF">
        <w:rPr>
          <w:lang w:val="fr-BE"/>
        </w:rPr>
        <w:t>vocaux</w:t>
      </w:r>
      <w:r w:rsidR="00A04A3F" w:rsidRPr="00F407AF">
        <w:rPr>
          <w:lang w:val="fr-BE"/>
        </w:rPr>
        <w:t>,</w:t>
      </w:r>
      <w:r w:rsidRPr="00F407AF">
        <w:rPr>
          <w:lang w:val="fr-BE"/>
        </w:rPr>
        <w:t xml:space="preserve"> </w:t>
      </w:r>
      <w:r w:rsidR="00B06A77" w:rsidRPr="00F407AF">
        <w:rPr>
          <w:lang w:val="fr-BE"/>
        </w:rPr>
        <w:t xml:space="preserve">ou </w:t>
      </w:r>
      <w:r w:rsidR="00165C9F" w:rsidRPr="00F407AF">
        <w:rPr>
          <w:lang w:val="fr-BE"/>
        </w:rPr>
        <w:t>de</w:t>
      </w:r>
      <w:r w:rsidR="00525DC8" w:rsidRPr="00F407AF">
        <w:rPr>
          <w:lang w:val="fr-BE"/>
        </w:rPr>
        <w:t xml:space="preserve"> </w:t>
      </w:r>
      <w:r w:rsidRPr="00F407AF">
        <w:rPr>
          <w:lang w:val="fr-BE"/>
        </w:rPr>
        <w:t>SMS</w:t>
      </w:r>
      <w:r w:rsidR="00A04A3F" w:rsidRPr="00F407AF">
        <w:rPr>
          <w:lang w:val="fr-BE"/>
        </w:rPr>
        <w:t>,</w:t>
      </w:r>
      <w:r w:rsidRPr="00F407AF">
        <w:rPr>
          <w:lang w:val="fr-BE"/>
        </w:rPr>
        <w:t xml:space="preserve"> </w:t>
      </w:r>
      <w:r w:rsidR="00165C9F" w:rsidRPr="00F407AF">
        <w:rPr>
          <w:lang w:val="fr-BE"/>
        </w:rPr>
        <w:t xml:space="preserve">en itinérance </w:t>
      </w:r>
      <w:r w:rsidR="00EE7F32" w:rsidRPr="00F407AF">
        <w:rPr>
          <w:lang w:val="fr-BE"/>
        </w:rPr>
        <w:t xml:space="preserve">réglementés correspondant à une utilisation raisonnable ou a atteint toute autre limite d'utilisation appliquée </w:t>
      </w:r>
      <w:r w:rsidR="00165C9F" w:rsidRPr="00F407AF">
        <w:rPr>
          <w:lang w:val="fr-BE"/>
        </w:rPr>
        <w:t>conformément à</w:t>
      </w:r>
      <w:r w:rsidR="00EE7F32" w:rsidRPr="00F407AF">
        <w:rPr>
          <w:lang w:val="fr-BE"/>
        </w:rPr>
        <w:t xml:space="preserve"> l'article 6 </w:t>
      </w:r>
      <w:r w:rsidR="00525DC8" w:rsidRPr="00F407AF">
        <w:rPr>
          <w:i/>
          <w:iCs/>
          <w:lang w:val="fr-BE"/>
        </w:rPr>
        <w:t>quater</w:t>
      </w:r>
      <w:r w:rsidR="00EE7F32" w:rsidRPr="00F407AF">
        <w:rPr>
          <w:lang w:val="fr-BE"/>
        </w:rPr>
        <w:t xml:space="preserve">. Cette notification précise les frais supplémentaires qui seront facturés en cas de consommation supplémentaire par le client </w:t>
      </w:r>
      <w:r w:rsidR="00B06A77" w:rsidRPr="00F407AF">
        <w:rPr>
          <w:lang w:val="fr-BE"/>
        </w:rPr>
        <w:t xml:space="preserve">en itinérance </w:t>
      </w:r>
      <w:r w:rsidR="00EE7F32" w:rsidRPr="00F407AF">
        <w:rPr>
          <w:lang w:val="fr-BE"/>
        </w:rPr>
        <w:t xml:space="preserve">de services </w:t>
      </w:r>
      <w:r w:rsidR="00CE0E07" w:rsidRPr="00F407AF">
        <w:rPr>
          <w:lang w:val="fr-BE"/>
        </w:rPr>
        <w:t xml:space="preserve">d'appels </w:t>
      </w:r>
      <w:r w:rsidR="00EE7F32" w:rsidRPr="00F407AF">
        <w:rPr>
          <w:lang w:val="fr-BE"/>
        </w:rPr>
        <w:t xml:space="preserve">vocaux </w:t>
      </w:r>
      <w:r w:rsidR="00B06A77" w:rsidRPr="00F407AF">
        <w:rPr>
          <w:lang w:val="fr-BE"/>
        </w:rPr>
        <w:t>ou</w:t>
      </w:r>
      <w:r w:rsidR="00EE7F32" w:rsidRPr="00F407AF">
        <w:rPr>
          <w:lang w:val="fr-BE"/>
        </w:rPr>
        <w:t xml:space="preserve"> </w:t>
      </w:r>
      <w:r w:rsidR="00165C9F" w:rsidRPr="00F407AF">
        <w:rPr>
          <w:lang w:val="fr-BE"/>
        </w:rPr>
        <w:t>de</w:t>
      </w:r>
      <w:r w:rsidR="00EE7F32" w:rsidRPr="00F407AF">
        <w:rPr>
          <w:lang w:val="fr-BE"/>
        </w:rPr>
        <w:t xml:space="preserve"> SMS</w:t>
      </w:r>
      <w:r w:rsidR="00165C9F" w:rsidRPr="00F407AF">
        <w:rPr>
          <w:lang w:val="fr-BE"/>
        </w:rPr>
        <w:t xml:space="preserve"> en itinérance réglementés</w:t>
      </w:r>
      <w:r w:rsidR="00EE7F32" w:rsidRPr="00F407AF">
        <w:rPr>
          <w:lang w:val="fr-BE"/>
        </w:rPr>
        <w:t xml:space="preserve">. Chaque client a le droit de demander au fournisseur de services d'itinérance de cesser d'envoyer ces notifications et de demander, à tout moment et gratuitement, </w:t>
      </w:r>
      <w:r w:rsidR="00341779" w:rsidRPr="00F407AF">
        <w:rPr>
          <w:lang w:val="fr-BE"/>
        </w:rPr>
        <w:t>au</w:t>
      </w:r>
      <w:r w:rsidR="00EE7F32" w:rsidRPr="00F407AF">
        <w:rPr>
          <w:lang w:val="fr-BE"/>
        </w:rPr>
        <w:t xml:space="preserve"> fournisseur </w:t>
      </w:r>
      <w:r w:rsidR="00525DC8" w:rsidRPr="00F407AF">
        <w:rPr>
          <w:lang w:val="fr-BE"/>
        </w:rPr>
        <w:t xml:space="preserve">de services d'itinérance </w:t>
      </w:r>
      <w:r w:rsidR="00EE7F32" w:rsidRPr="00F407AF">
        <w:rPr>
          <w:lang w:val="fr-BE"/>
        </w:rPr>
        <w:t>de rétablir le service.</w:t>
      </w:r>
      <w:r w:rsidRPr="00F407AF">
        <w:rPr>
          <w:lang w:val="fr-BE"/>
        </w:rPr>
        <w:t>"</w:t>
      </w:r>
      <w:r w:rsidR="00525DC8" w:rsidRPr="00F407AF">
        <w:rPr>
          <w:lang w:val="fr-BE"/>
        </w:rPr>
        <w:t>;</w:t>
      </w:r>
    </w:p>
    <w:p w:rsidR="00974EC7" w:rsidRPr="00F407AF" w:rsidRDefault="00F407AF" w:rsidP="00F407AF">
      <w:pPr>
        <w:pStyle w:val="Point1"/>
        <w:rPr>
          <w:lang w:val="fr-BE"/>
        </w:rPr>
      </w:pPr>
      <w:r w:rsidRPr="00F407AF">
        <w:rPr>
          <w:lang w:val="fr-BE"/>
        </w:rPr>
        <w:t>d)</w:t>
      </w:r>
      <w:r w:rsidRPr="00F407AF">
        <w:rPr>
          <w:lang w:val="fr-BE"/>
        </w:rPr>
        <w:tab/>
      </w:r>
      <w:r w:rsidR="00974EC7" w:rsidRPr="00F407AF">
        <w:rPr>
          <w:lang w:val="fr-BE"/>
        </w:rPr>
        <w:t xml:space="preserve">le paragraphe 3 est remplacé pour le </w:t>
      </w:r>
      <w:r w:rsidR="00341779" w:rsidRPr="00F407AF">
        <w:rPr>
          <w:lang w:val="fr-BE"/>
        </w:rPr>
        <w:t xml:space="preserve">texte </w:t>
      </w:r>
      <w:r w:rsidR="00974EC7" w:rsidRPr="00F407AF">
        <w:rPr>
          <w:lang w:val="fr-BE"/>
        </w:rPr>
        <w:t>suivant:</w:t>
      </w:r>
    </w:p>
    <w:p w:rsidR="00EE7F32" w:rsidRPr="00F407AF" w:rsidRDefault="00974EC7" w:rsidP="00F407AF">
      <w:pPr>
        <w:pStyle w:val="Point2"/>
        <w:rPr>
          <w:rFonts w:eastAsia="Calibri"/>
          <w:lang w:val="fr-BE"/>
        </w:rPr>
      </w:pPr>
      <w:r w:rsidRPr="00F407AF">
        <w:rPr>
          <w:lang w:val="fr-BE"/>
        </w:rPr>
        <w:t>"</w:t>
      </w:r>
      <w:r w:rsidR="00D94B8B" w:rsidRPr="00F407AF">
        <w:rPr>
          <w:lang w:val="fr-BE"/>
        </w:rPr>
        <w:t>3.</w:t>
      </w:r>
      <w:r w:rsidR="00EE7F32" w:rsidRPr="00F407AF">
        <w:rPr>
          <w:lang w:val="fr-BE"/>
        </w:rPr>
        <w:tab/>
        <w:t xml:space="preserve">Les fournisseurs de services d'itinérance donnent à tous les clients des informations complètes sur les prix d'itinérance applicables, lorsque l'abonnement est souscrit. Ils fournissent aussi à leurs clients en itinérance, sans </w:t>
      </w:r>
      <w:r w:rsidR="0002067D" w:rsidRPr="00F407AF">
        <w:rPr>
          <w:lang w:val="fr-BE"/>
        </w:rPr>
        <w:t>retard</w:t>
      </w:r>
      <w:r w:rsidR="00EE7F32" w:rsidRPr="00F407AF">
        <w:rPr>
          <w:lang w:val="fr-BE"/>
        </w:rPr>
        <w:t>, une mise à jour des prix d'itinérance applicables chaque fois qu'un changement y est apporté.</w:t>
      </w:r>
    </w:p>
    <w:p w:rsidR="00EE7F32" w:rsidRPr="00F407AF" w:rsidRDefault="00EE7F32" w:rsidP="00F407AF">
      <w:pPr>
        <w:pStyle w:val="Text3"/>
        <w:rPr>
          <w:rFonts w:eastAsia="Calibri"/>
          <w:lang w:val="fr-BE"/>
        </w:rPr>
      </w:pPr>
      <w:r w:rsidRPr="00F407AF">
        <w:rPr>
          <w:lang w:val="fr-BE"/>
        </w:rPr>
        <w:t xml:space="preserve">Par la suite, </w:t>
      </w:r>
      <w:r w:rsidR="00974EC7" w:rsidRPr="00F407AF">
        <w:rPr>
          <w:lang w:val="fr-BE"/>
        </w:rPr>
        <w:t xml:space="preserve">les fournisseurs </w:t>
      </w:r>
      <w:r w:rsidR="00525DC8" w:rsidRPr="00F407AF">
        <w:rPr>
          <w:lang w:val="fr-BE"/>
        </w:rPr>
        <w:t xml:space="preserve">de services </w:t>
      </w:r>
      <w:r w:rsidR="00974EC7" w:rsidRPr="00F407AF">
        <w:rPr>
          <w:lang w:val="fr-BE"/>
        </w:rPr>
        <w:t>d'itinérance</w:t>
      </w:r>
      <w:r w:rsidRPr="00F407AF">
        <w:rPr>
          <w:lang w:val="fr-BE"/>
        </w:rPr>
        <w:t xml:space="preserve"> adressent des rappels, à intervalles de temps raisonnables, à tous les clients qui ont opté pour un autre tarif.</w:t>
      </w:r>
      <w:r w:rsidR="00974EC7" w:rsidRPr="00F407AF">
        <w:rPr>
          <w:lang w:val="fr-BE"/>
        </w:rPr>
        <w:t>".</w:t>
      </w:r>
    </w:p>
    <w:p w:rsidR="00EE7F32" w:rsidRPr="00F407AF" w:rsidRDefault="00F407AF" w:rsidP="00F407AF">
      <w:pPr>
        <w:pStyle w:val="Point0"/>
        <w:rPr>
          <w:lang w:val="fr-BE"/>
        </w:rPr>
      </w:pPr>
      <w:r>
        <w:rPr>
          <w:lang w:val="fr-BE"/>
        </w:rPr>
        <w:br w:type="page"/>
      </w:r>
      <w:r w:rsidR="00974EC7" w:rsidRPr="00F407AF">
        <w:rPr>
          <w:lang w:val="fr-BE"/>
        </w:rPr>
        <w:lastRenderedPageBreak/>
        <w:t>8</w:t>
      </w:r>
      <w:r w:rsidRPr="00F407AF">
        <w:rPr>
          <w:lang w:val="fr-BE"/>
        </w:rPr>
        <w:t>)</w:t>
      </w:r>
      <w:r w:rsidR="00EE7F32" w:rsidRPr="00F407AF">
        <w:rPr>
          <w:lang w:val="fr-BE"/>
        </w:rPr>
        <w:tab/>
      </w:r>
      <w:r w:rsidR="00E87BC6" w:rsidRPr="00F407AF">
        <w:rPr>
          <w:lang w:val="fr-BE"/>
        </w:rPr>
        <w:t>L</w:t>
      </w:r>
      <w:r w:rsidR="00EE7F32" w:rsidRPr="00F407AF">
        <w:rPr>
          <w:lang w:val="fr-BE"/>
        </w:rPr>
        <w:t>'article 15</w:t>
      </w:r>
      <w:r w:rsidR="00E87BC6" w:rsidRPr="00F407AF">
        <w:rPr>
          <w:lang w:val="fr-BE"/>
        </w:rPr>
        <w:t xml:space="preserve"> est modifié comme suit</w:t>
      </w:r>
      <w:r w:rsidR="00EE7F32" w:rsidRPr="00F407AF">
        <w:rPr>
          <w:lang w:val="fr-BE"/>
        </w:rPr>
        <w:t>:</w:t>
      </w:r>
    </w:p>
    <w:p w:rsidR="00E87BC6" w:rsidRPr="00F407AF" w:rsidRDefault="00E87BC6" w:rsidP="00F407AF">
      <w:pPr>
        <w:pStyle w:val="Point1"/>
        <w:rPr>
          <w:rFonts w:eastAsia="Calibri"/>
          <w:lang w:val="fr-BE"/>
        </w:rPr>
      </w:pPr>
      <w:r w:rsidRPr="00F407AF">
        <w:rPr>
          <w:lang w:val="fr-BE"/>
        </w:rPr>
        <w:t>a)</w:t>
      </w:r>
      <w:r w:rsidR="00F407AF" w:rsidRPr="00F407AF">
        <w:rPr>
          <w:lang w:val="fr-BE"/>
        </w:rPr>
        <w:tab/>
      </w:r>
      <w:r w:rsidR="00B06A77" w:rsidRPr="00F407AF">
        <w:rPr>
          <w:lang w:val="fr-BE"/>
        </w:rPr>
        <w:t xml:space="preserve">le </w:t>
      </w:r>
      <w:r w:rsidRPr="00F407AF">
        <w:rPr>
          <w:lang w:val="fr-BE"/>
        </w:rPr>
        <w:t>paragraphe 2</w:t>
      </w:r>
      <w:r w:rsidR="00B06A77" w:rsidRPr="00F407AF">
        <w:rPr>
          <w:lang w:val="fr-BE"/>
        </w:rPr>
        <w:t xml:space="preserve"> est</w:t>
      </w:r>
      <w:r w:rsidRPr="00F407AF">
        <w:rPr>
          <w:lang w:val="fr-BE"/>
        </w:rPr>
        <w:t xml:space="preserve"> remplacé par le</w:t>
      </w:r>
      <w:r w:rsidR="00525DC8" w:rsidRPr="00F407AF">
        <w:rPr>
          <w:lang w:val="fr-BE"/>
        </w:rPr>
        <w:t xml:space="preserve"> texte</w:t>
      </w:r>
      <w:r w:rsidRPr="00F407AF">
        <w:rPr>
          <w:lang w:val="fr-BE"/>
        </w:rPr>
        <w:t xml:space="preserve"> suivant:</w:t>
      </w:r>
    </w:p>
    <w:p w:rsidR="00EE7F32" w:rsidRPr="00F407AF" w:rsidRDefault="00D95D58" w:rsidP="00F407AF">
      <w:pPr>
        <w:pStyle w:val="Point2"/>
        <w:rPr>
          <w:rFonts w:eastAsia="Calibri"/>
          <w:lang w:val="fr-BE"/>
        </w:rPr>
      </w:pPr>
      <w:r w:rsidRPr="00F407AF">
        <w:rPr>
          <w:lang w:val="fr-BE"/>
        </w:rPr>
        <w:t>"</w:t>
      </w:r>
      <w:r w:rsidR="00D94B8B" w:rsidRPr="00F407AF">
        <w:rPr>
          <w:lang w:val="fr-BE"/>
        </w:rPr>
        <w:t>2.</w:t>
      </w:r>
      <w:r w:rsidR="00EE7F32" w:rsidRPr="00F407AF">
        <w:rPr>
          <w:lang w:val="fr-BE"/>
        </w:rPr>
        <w:tab/>
        <w:t xml:space="preserve">Un message automatique du fournisseur de services d'itinérance informe le client en itinérance qu'il utilise </w:t>
      </w:r>
      <w:r w:rsidR="0002067D" w:rsidRPr="00F407AF">
        <w:rPr>
          <w:lang w:val="fr-BE"/>
        </w:rPr>
        <w:t>des</w:t>
      </w:r>
      <w:r w:rsidR="00EE7F32" w:rsidRPr="00F407AF">
        <w:rPr>
          <w:lang w:val="fr-BE"/>
        </w:rPr>
        <w:t xml:space="preserve"> </w:t>
      </w:r>
      <w:r w:rsidR="00525DC8" w:rsidRPr="00F407AF">
        <w:rPr>
          <w:lang w:val="fr-BE"/>
        </w:rPr>
        <w:t>service</w:t>
      </w:r>
      <w:r w:rsidR="0002067D" w:rsidRPr="00F407AF">
        <w:rPr>
          <w:lang w:val="fr-BE"/>
        </w:rPr>
        <w:t>s</w:t>
      </w:r>
      <w:r w:rsidR="00525DC8" w:rsidRPr="00F407AF">
        <w:rPr>
          <w:lang w:val="fr-BE"/>
        </w:rPr>
        <w:t xml:space="preserve"> de données en itinérance réglementé</w:t>
      </w:r>
      <w:r w:rsidR="0002067D" w:rsidRPr="00F407AF">
        <w:rPr>
          <w:lang w:val="fr-BE"/>
        </w:rPr>
        <w:t>s</w:t>
      </w:r>
      <w:r w:rsidR="00525DC8" w:rsidRPr="00F407AF">
        <w:rPr>
          <w:lang w:val="fr-BE"/>
        </w:rPr>
        <w:t xml:space="preserve"> </w:t>
      </w:r>
      <w:r w:rsidR="00EE7F32" w:rsidRPr="00F407AF">
        <w:rPr>
          <w:lang w:val="fr-BE"/>
        </w:rPr>
        <w:t>et</w:t>
      </w:r>
      <w:r w:rsidR="004E33E6" w:rsidRPr="00F407AF">
        <w:rPr>
          <w:lang w:val="fr-BE"/>
        </w:rPr>
        <w:t xml:space="preserve"> </w:t>
      </w:r>
      <w:r w:rsidR="00EE7F32" w:rsidRPr="00F407AF">
        <w:rPr>
          <w:lang w:val="fr-BE"/>
        </w:rPr>
        <w:t xml:space="preserve">lui donne des informations personnalisées de base </w:t>
      </w:r>
      <w:r w:rsidR="004E33E6" w:rsidRPr="00F407AF">
        <w:rPr>
          <w:lang w:val="fr-BE"/>
        </w:rPr>
        <w:t xml:space="preserve">sur les </w:t>
      </w:r>
      <w:r w:rsidR="00172424" w:rsidRPr="00F407AF">
        <w:rPr>
          <w:lang w:val="fr-BE"/>
        </w:rPr>
        <w:t xml:space="preserve">tarifs </w:t>
      </w:r>
      <w:r w:rsidR="00EE7F32" w:rsidRPr="00F407AF">
        <w:rPr>
          <w:lang w:val="fr-BE"/>
        </w:rPr>
        <w:t>(dans la devise de la facture d'origine établie par son fournisseur national), applicable</w:t>
      </w:r>
      <w:r w:rsidR="005445BA" w:rsidRPr="00F407AF">
        <w:rPr>
          <w:lang w:val="fr-BE"/>
        </w:rPr>
        <w:t>s</w:t>
      </w:r>
      <w:r w:rsidR="00EE7F32" w:rsidRPr="00F407AF">
        <w:rPr>
          <w:lang w:val="fr-BE"/>
        </w:rPr>
        <w:t xml:space="preserve"> à la fourniture de services de données en itinérance réglementés à ce client en itinérance dans l'État membre concerné, sauf si le client a notifié à son fournisseur de services d'itinérance qu'il ne souhaitait pas disposer de </w:t>
      </w:r>
      <w:r w:rsidR="0002067D" w:rsidRPr="00F407AF">
        <w:rPr>
          <w:lang w:val="fr-BE"/>
        </w:rPr>
        <w:t xml:space="preserve">ces </w:t>
      </w:r>
      <w:r w:rsidR="00EE7F32" w:rsidRPr="00F407AF">
        <w:rPr>
          <w:lang w:val="fr-BE"/>
        </w:rPr>
        <w:t>information</w:t>
      </w:r>
      <w:r w:rsidR="0002067D" w:rsidRPr="00F407AF">
        <w:rPr>
          <w:lang w:val="fr-BE"/>
        </w:rPr>
        <w:t>s</w:t>
      </w:r>
      <w:r w:rsidR="00EE7F32" w:rsidRPr="00F407AF">
        <w:rPr>
          <w:lang w:val="fr-BE"/>
        </w:rPr>
        <w:t>.</w:t>
      </w:r>
    </w:p>
    <w:p w:rsidR="0061395E" w:rsidRPr="00F407AF" w:rsidRDefault="0061395E" w:rsidP="00F407AF">
      <w:pPr>
        <w:pStyle w:val="Text3"/>
        <w:rPr>
          <w:lang w:val="fr-BE"/>
        </w:rPr>
      </w:pPr>
      <w:r w:rsidRPr="00F407AF">
        <w:rPr>
          <w:lang w:val="fr-BE"/>
        </w:rPr>
        <w:t xml:space="preserve">Ces informations personnalisées de base sur les </w:t>
      </w:r>
      <w:r w:rsidR="00172424" w:rsidRPr="00F407AF">
        <w:rPr>
          <w:lang w:val="fr-BE"/>
        </w:rPr>
        <w:t xml:space="preserve">tarifs </w:t>
      </w:r>
      <w:r w:rsidRPr="00F407AF">
        <w:rPr>
          <w:lang w:val="fr-BE"/>
        </w:rPr>
        <w:t>comprennent les informations sur:</w:t>
      </w:r>
    </w:p>
    <w:p w:rsidR="0061395E" w:rsidRPr="00F407AF" w:rsidRDefault="00F407AF" w:rsidP="00F407AF">
      <w:pPr>
        <w:pStyle w:val="Point3"/>
        <w:rPr>
          <w:lang w:val="fr-BE"/>
        </w:rPr>
      </w:pPr>
      <w:r w:rsidRPr="00F407AF">
        <w:rPr>
          <w:lang w:val="fr-BE"/>
        </w:rPr>
        <w:t>a)</w:t>
      </w:r>
      <w:r w:rsidRPr="00F407AF">
        <w:rPr>
          <w:lang w:val="fr-BE"/>
        </w:rPr>
        <w:tab/>
      </w:r>
      <w:r w:rsidR="0061395E" w:rsidRPr="00F407AF">
        <w:rPr>
          <w:lang w:val="fr-BE"/>
        </w:rPr>
        <w:t xml:space="preserve">toute politique d'utilisation raisonnable à laquelle le client en itinérance est soumis au sein de l'Union et les frais supplémentaires appliqués </w:t>
      </w:r>
      <w:r w:rsidR="005C7EAA" w:rsidRPr="00F407AF">
        <w:rPr>
          <w:lang w:val="fr-BE"/>
        </w:rPr>
        <w:t>lorsque la consommation excède</w:t>
      </w:r>
      <w:r w:rsidR="0061395E" w:rsidRPr="00F407AF">
        <w:rPr>
          <w:lang w:val="fr-BE"/>
        </w:rPr>
        <w:t xml:space="preserve"> toute limite fixée par </w:t>
      </w:r>
      <w:r w:rsidR="00A81332" w:rsidRPr="00F407AF">
        <w:rPr>
          <w:lang w:val="fr-BE"/>
        </w:rPr>
        <w:t>cette</w:t>
      </w:r>
      <w:r w:rsidR="0061395E" w:rsidRPr="00F407AF">
        <w:rPr>
          <w:lang w:val="fr-BE"/>
        </w:rPr>
        <w:t xml:space="preserve"> politique d'utilisation raisonnable; et</w:t>
      </w:r>
    </w:p>
    <w:p w:rsidR="00CF3546" w:rsidRDefault="00F407AF" w:rsidP="00CF3546">
      <w:pPr>
        <w:pStyle w:val="Point3"/>
        <w:rPr>
          <w:lang w:val="fr-BE"/>
        </w:rPr>
      </w:pPr>
      <w:r w:rsidRPr="00F407AF">
        <w:rPr>
          <w:lang w:val="fr-BE"/>
        </w:rPr>
        <w:t>b)</w:t>
      </w:r>
      <w:r w:rsidRPr="00F407AF">
        <w:rPr>
          <w:lang w:val="fr-BE"/>
        </w:rPr>
        <w:tab/>
      </w:r>
      <w:r w:rsidR="0061395E" w:rsidRPr="00F407AF">
        <w:rPr>
          <w:lang w:val="fr-BE"/>
        </w:rPr>
        <w:t xml:space="preserve">tous frais supplémentaires appliqués conformément à l'article 6 </w:t>
      </w:r>
      <w:r w:rsidR="0061395E" w:rsidRPr="00CF3546">
        <w:rPr>
          <w:i/>
          <w:iCs/>
          <w:lang w:val="fr-BE"/>
        </w:rPr>
        <w:t>quater</w:t>
      </w:r>
      <w:r w:rsidR="0061395E" w:rsidRPr="00F407AF">
        <w:rPr>
          <w:lang w:val="fr-BE"/>
        </w:rPr>
        <w:t>.</w:t>
      </w:r>
    </w:p>
    <w:p w:rsidR="0061395E" w:rsidRPr="00F407AF" w:rsidRDefault="00EE7F32" w:rsidP="00F407AF">
      <w:pPr>
        <w:pStyle w:val="Text3"/>
        <w:rPr>
          <w:lang w:val="fr-BE"/>
        </w:rPr>
      </w:pPr>
      <w:r w:rsidRPr="00543B6E">
        <w:rPr>
          <w:lang w:val="fr-BE"/>
        </w:rPr>
        <w:br w:type="page"/>
      </w:r>
      <w:r w:rsidRPr="00F407AF">
        <w:rPr>
          <w:lang w:val="fr-BE"/>
        </w:rPr>
        <w:lastRenderedPageBreak/>
        <w:t>Ces informations sont fournies sur l'appareil mobile du client en itinérance, par exemple par un SMS, un courriel ou une fenêtre contextuelle sur son appareil mobile, chaque fois que le client en itinérance pénètre dans un État membre autre que celui de son fournisseur national et utilise un service de données en itinérance pour la première fois dans cet État membre. Les informations sont fournies</w:t>
      </w:r>
      <w:r w:rsidR="00341779" w:rsidRPr="00F407AF">
        <w:rPr>
          <w:lang w:val="fr-BE"/>
        </w:rPr>
        <w:t>,</w:t>
      </w:r>
      <w:r w:rsidRPr="00F407AF">
        <w:rPr>
          <w:lang w:val="fr-BE"/>
        </w:rPr>
        <w:t xml:space="preserve"> gratuitement</w:t>
      </w:r>
      <w:r w:rsidR="00341779" w:rsidRPr="00F407AF">
        <w:rPr>
          <w:lang w:val="fr-BE"/>
        </w:rPr>
        <w:t>,</w:t>
      </w:r>
      <w:r w:rsidRPr="00F407AF">
        <w:rPr>
          <w:lang w:val="fr-BE"/>
        </w:rPr>
        <w:t xml:space="preserve"> par un moyen approprié pour faciliter leur réception et leur bonne compréhension, dès que le client en itinérance utilise un service de données en itinérance réglementé.</w:t>
      </w:r>
    </w:p>
    <w:p w:rsidR="00EE7F32" w:rsidRPr="00F407AF" w:rsidRDefault="0061395E" w:rsidP="00F407AF">
      <w:pPr>
        <w:pStyle w:val="Text3"/>
        <w:rPr>
          <w:rFonts w:eastAsia="Calibri"/>
          <w:lang w:val="fr-BE"/>
        </w:rPr>
      </w:pPr>
      <w:r w:rsidRPr="00F407AF">
        <w:rPr>
          <w:lang w:val="fr-BE"/>
        </w:rPr>
        <w:t>Un client qui a notifié à son fournisseur de services d</w:t>
      </w:r>
      <w:r w:rsidR="00F407AF" w:rsidRPr="00F407AF">
        <w:rPr>
          <w:lang w:val="fr-BE"/>
        </w:rPr>
        <w:t>'</w:t>
      </w:r>
      <w:r w:rsidRPr="00F407AF">
        <w:rPr>
          <w:lang w:val="fr-BE"/>
        </w:rPr>
        <w:t>itinérance qu</w:t>
      </w:r>
      <w:r w:rsidR="00F407AF" w:rsidRPr="00F407AF">
        <w:rPr>
          <w:lang w:val="fr-BE"/>
        </w:rPr>
        <w:t>'</w:t>
      </w:r>
      <w:r w:rsidRPr="00F407AF">
        <w:rPr>
          <w:lang w:val="fr-BE"/>
        </w:rPr>
        <w:t>il ne souhaitait pas disposer de l</w:t>
      </w:r>
      <w:r w:rsidR="00F407AF" w:rsidRPr="00F407AF">
        <w:rPr>
          <w:lang w:val="fr-BE"/>
        </w:rPr>
        <w:t>'</w:t>
      </w:r>
      <w:r w:rsidRPr="00F407AF">
        <w:rPr>
          <w:lang w:val="fr-BE"/>
        </w:rPr>
        <w:t>information tarifaire automatique a le droit, à tout moment et gratuitement, de demander au fournisseur de services d</w:t>
      </w:r>
      <w:r w:rsidR="00F407AF" w:rsidRPr="00F407AF">
        <w:rPr>
          <w:lang w:val="fr-BE"/>
        </w:rPr>
        <w:t>'</w:t>
      </w:r>
      <w:r w:rsidRPr="00F407AF">
        <w:rPr>
          <w:lang w:val="fr-BE"/>
        </w:rPr>
        <w:t>itinérance de rétablir ce service.</w:t>
      </w:r>
      <w:r w:rsidR="00D95D58" w:rsidRPr="00F407AF">
        <w:rPr>
          <w:lang w:val="fr-BE"/>
        </w:rPr>
        <w:t>";</w:t>
      </w:r>
    </w:p>
    <w:p w:rsidR="00EE7F32" w:rsidRPr="00F407AF" w:rsidRDefault="00D95D58" w:rsidP="00F407AF">
      <w:pPr>
        <w:pStyle w:val="Point1"/>
        <w:rPr>
          <w:rFonts w:eastAsia="Calibri"/>
          <w:lang w:val="fr-BE"/>
        </w:rPr>
      </w:pPr>
      <w:r w:rsidRPr="00F407AF">
        <w:rPr>
          <w:lang w:val="fr-BE"/>
        </w:rPr>
        <w:t>b)</w:t>
      </w:r>
      <w:r w:rsidR="00F407AF" w:rsidRPr="00F407AF">
        <w:rPr>
          <w:lang w:val="fr-BE"/>
        </w:rPr>
        <w:tab/>
      </w:r>
      <w:r w:rsidR="00EE7F32" w:rsidRPr="00F407AF">
        <w:rPr>
          <w:lang w:val="fr-BE"/>
        </w:rPr>
        <w:t xml:space="preserve">le paragraphe suivant est </w:t>
      </w:r>
      <w:r w:rsidR="00525DC8" w:rsidRPr="00F407AF">
        <w:rPr>
          <w:lang w:val="fr-BE"/>
        </w:rPr>
        <w:t>inséré</w:t>
      </w:r>
      <w:r w:rsidR="00EE7F32" w:rsidRPr="00F407AF">
        <w:rPr>
          <w:lang w:val="fr-BE"/>
        </w:rPr>
        <w:t>:</w:t>
      </w:r>
    </w:p>
    <w:p w:rsidR="00EE7F32" w:rsidRPr="00F407AF" w:rsidRDefault="00D95D58" w:rsidP="00F407AF">
      <w:pPr>
        <w:pStyle w:val="Point2"/>
        <w:rPr>
          <w:rFonts w:eastAsia="Calibri"/>
          <w:lang w:val="fr-BE"/>
        </w:rPr>
      </w:pPr>
      <w:r w:rsidRPr="00F407AF">
        <w:rPr>
          <w:lang w:val="fr-BE"/>
        </w:rPr>
        <w:t>"</w:t>
      </w:r>
      <w:r w:rsidR="00EE7F32" w:rsidRPr="00F407AF">
        <w:rPr>
          <w:lang w:val="fr-BE"/>
        </w:rPr>
        <w:t>2</w:t>
      </w:r>
      <w:r w:rsidR="00F407AF">
        <w:rPr>
          <w:lang w:val="fr-BE"/>
        </w:rPr>
        <w:t xml:space="preserve"> </w:t>
      </w:r>
      <w:r w:rsidR="00EE7F32" w:rsidRPr="00F407AF">
        <w:rPr>
          <w:i/>
          <w:iCs/>
          <w:lang w:val="fr-BE"/>
        </w:rPr>
        <w:t>bis</w:t>
      </w:r>
      <w:r w:rsidR="00EE7F32" w:rsidRPr="00F407AF">
        <w:rPr>
          <w:lang w:val="fr-BE"/>
        </w:rPr>
        <w:t>.</w:t>
      </w:r>
      <w:r w:rsidR="00EE7F32" w:rsidRPr="00F407AF">
        <w:rPr>
          <w:lang w:val="fr-BE"/>
        </w:rPr>
        <w:tab/>
      </w:r>
      <w:r w:rsidR="00A809F3" w:rsidRPr="00F407AF">
        <w:rPr>
          <w:lang w:val="fr-BE"/>
        </w:rPr>
        <w:t>L</w:t>
      </w:r>
      <w:r w:rsidR="00EE7F32" w:rsidRPr="00F407AF">
        <w:rPr>
          <w:lang w:val="fr-BE"/>
        </w:rPr>
        <w:t xml:space="preserve">e fournisseur de services d'itinérance envoie une notification lorsque le volume de services d'itinérance réglementés correspondant à une utilisation raisonnable a été consommé </w:t>
      </w:r>
      <w:r w:rsidR="00341779" w:rsidRPr="00F407AF">
        <w:rPr>
          <w:lang w:val="fr-BE"/>
        </w:rPr>
        <w:t xml:space="preserve">entièrement </w:t>
      </w:r>
      <w:r w:rsidR="00EE7F32" w:rsidRPr="00F407AF">
        <w:rPr>
          <w:lang w:val="fr-BE"/>
        </w:rPr>
        <w:t xml:space="preserve">ou que toute limite d'utilisation appliquée </w:t>
      </w:r>
      <w:r w:rsidR="00341779" w:rsidRPr="00F407AF">
        <w:rPr>
          <w:lang w:val="fr-BE"/>
        </w:rPr>
        <w:t>conformément à</w:t>
      </w:r>
      <w:r w:rsidR="00EE7F32" w:rsidRPr="00F407AF">
        <w:rPr>
          <w:lang w:val="fr-BE"/>
        </w:rPr>
        <w:t xml:space="preserve"> l'article 6 </w:t>
      </w:r>
      <w:r w:rsidR="00525DC8" w:rsidRPr="00F407AF">
        <w:rPr>
          <w:i/>
          <w:iCs/>
          <w:lang w:val="fr-BE"/>
        </w:rPr>
        <w:t>quater</w:t>
      </w:r>
      <w:r w:rsidR="00EE7F32" w:rsidRPr="00F407AF">
        <w:rPr>
          <w:lang w:val="fr-BE"/>
        </w:rPr>
        <w:t xml:space="preserve"> a été atteinte. Cette notification précise les frais supplémentaires qui seront facturés en cas de consommation supplémentaire par le client de services de données en itinérance réglementés. Chaque client a le droit de demander au fournisseur de services d'itinérance de cesser d'envoyer ces notifications et de demander, à tout moment et gratuitement, </w:t>
      </w:r>
      <w:r w:rsidR="00341779" w:rsidRPr="00F407AF">
        <w:rPr>
          <w:lang w:val="fr-BE"/>
        </w:rPr>
        <w:t>au</w:t>
      </w:r>
      <w:r w:rsidR="00EE7F32" w:rsidRPr="00F407AF">
        <w:rPr>
          <w:lang w:val="fr-BE"/>
        </w:rPr>
        <w:t xml:space="preserve"> fournisseur </w:t>
      </w:r>
      <w:r w:rsidR="00341779" w:rsidRPr="00F407AF">
        <w:rPr>
          <w:lang w:val="fr-BE"/>
        </w:rPr>
        <w:t>de services d</w:t>
      </w:r>
      <w:r w:rsidR="00F407AF" w:rsidRPr="00F407AF">
        <w:rPr>
          <w:lang w:val="fr-BE"/>
        </w:rPr>
        <w:t>'</w:t>
      </w:r>
      <w:r w:rsidR="00341779" w:rsidRPr="00F407AF">
        <w:rPr>
          <w:lang w:val="fr-BE"/>
        </w:rPr>
        <w:t xml:space="preserve">itinérance </w:t>
      </w:r>
      <w:r w:rsidR="00EE7F32" w:rsidRPr="00F407AF">
        <w:rPr>
          <w:lang w:val="fr-BE"/>
        </w:rPr>
        <w:t>de rétablir le service.</w:t>
      </w:r>
      <w:r w:rsidRPr="00F407AF">
        <w:rPr>
          <w:lang w:val="fr-BE"/>
        </w:rPr>
        <w:t>";</w:t>
      </w:r>
    </w:p>
    <w:p w:rsidR="00EE7F32" w:rsidRPr="00F407AF" w:rsidRDefault="00EE7F32" w:rsidP="00F407AF">
      <w:pPr>
        <w:pStyle w:val="Point1"/>
        <w:rPr>
          <w:rFonts w:eastAsia="Calibri"/>
          <w:lang w:val="fr-BE"/>
        </w:rPr>
      </w:pPr>
      <w:r w:rsidRPr="00F407AF">
        <w:rPr>
          <w:lang w:val="fr-BE"/>
        </w:rPr>
        <w:br w:type="page"/>
      </w:r>
      <w:r w:rsidR="00F407AF" w:rsidRPr="00F407AF">
        <w:rPr>
          <w:lang w:val="fr-BE"/>
        </w:rPr>
        <w:lastRenderedPageBreak/>
        <w:t>c)</w:t>
      </w:r>
      <w:r w:rsidR="00F407AF" w:rsidRPr="00F407AF">
        <w:rPr>
          <w:lang w:val="fr-BE"/>
        </w:rPr>
        <w:tab/>
      </w:r>
      <w:r w:rsidRPr="00F407AF">
        <w:rPr>
          <w:lang w:val="fr-BE"/>
        </w:rPr>
        <w:t>le paragraphe 3 est remplacé par le texte suivant:</w:t>
      </w:r>
    </w:p>
    <w:p w:rsidR="00EE7F32" w:rsidRPr="00F407AF" w:rsidRDefault="005F0423" w:rsidP="00F407AF">
      <w:pPr>
        <w:pStyle w:val="Point2"/>
        <w:rPr>
          <w:rFonts w:eastAsia="Calibri"/>
          <w:lang w:val="fr-BE"/>
        </w:rPr>
      </w:pPr>
      <w:r w:rsidRPr="00F407AF">
        <w:rPr>
          <w:lang w:val="fr-BE"/>
        </w:rPr>
        <w:t>"</w:t>
      </w:r>
      <w:r w:rsidR="004907A0" w:rsidRPr="00F407AF">
        <w:rPr>
          <w:lang w:val="fr-BE"/>
        </w:rPr>
        <w:t>3.</w:t>
      </w:r>
      <w:r w:rsidR="00EE7F32" w:rsidRPr="00F407AF">
        <w:rPr>
          <w:lang w:val="fr-BE"/>
        </w:rPr>
        <w:tab/>
        <w:t>Chaque fournisseur de services d'itinérance offre à tous ses clients en itinérance la possibilité d'opter délibérément et gratuitement pour une fonction qui fournit en temps utile des informations sur la consommation cumulée, exprimée en volume ou dans la devise dans laquelle la facture du client est établie pour les services de données en itinérance réglementés</w:t>
      </w:r>
      <w:r w:rsidR="00341779" w:rsidRPr="00F407AF">
        <w:rPr>
          <w:lang w:val="fr-BE"/>
        </w:rPr>
        <w:t>,</w:t>
      </w:r>
      <w:r w:rsidR="00EE7F32" w:rsidRPr="00F407AF">
        <w:rPr>
          <w:lang w:val="fr-BE"/>
        </w:rPr>
        <w:t xml:space="preserve"> et qui garantit que, sans le consentement explicite du client, les dépenses cumulées pour les services de données en itinérance réglementés pendant une période déterminée d'utilisation, à l'exclusion des MMS facturés à l'unité, n'excèdent pas un plafond financier déterminé.</w:t>
      </w:r>
      <w:r w:rsidRPr="00F407AF">
        <w:rPr>
          <w:lang w:val="fr-BE"/>
        </w:rPr>
        <w:t>";</w:t>
      </w:r>
    </w:p>
    <w:p w:rsidR="00EE7F32" w:rsidRPr="00F407AF" w:rsidRDefault="005F0423" w:rsidP="00F407AF">
      <w:pPr>
        <w:pStyle w:val="Point1"/>
        <w:rPr>
          <w:rFonts w:eastAsia="Calibri"/>
          <w:lang w:val="fr-BE"/>
        </w:rPr>
      </w:pPr>
      <w:r w:rsidRPr="00F407AF">
        <w:rPr>
          <w:rFonts w:eastAsia="Calibri"/>
          <w:lang w:val="fr-BE"/>
        </w:rPr>
        <w:t>d)</w:t>
      </w:r>
      <w:r w:rsidR="00F407AF" w:rsidRPr="00F407AF">
        <w:rPr>
          <w:rFonts w:eastAsia="Calibri"/>
          <w:lang w:val="fr-BE"/>
        </w:rPr>
        <w:tab/>
      </w:r>
      <w:r w:rsidR="00AA280A" w:rsidRPr="00F407AF">
        <w:rPr>
          <w:rFonts w:eastAsia="Calibri"/>
          <w:lang w:val="fr-BE"/>
        </w:rPr>
        <w:t>au</w:t>
      </w:r>
      <w:r w:rsidRPr="00F407AF">
        <w:rPr>
          <w:rFonts w:eastAsia="Calibri"/>
          <w:lang w:val="fr-BE"/>
        </w:rPr>
        <w:t xml:space="preserve"> paragraphe 6, le premier alinéa est remplacé par le </w:t>
      </w:r>
      <w:r w:rsidR="00AA280A" w:rsidRPr="00F407AF">
        <w:rPr>
          <w:rFonts w:eastAsia="Calibri"/>
          <w:lang w:val="fr-BE"/>
        </w:rPr>
        <w:t xml:space="preserve">texte </w:t>
      </w:r>
      <w:r w:rsidRPr="00F407AF">
        <w:rPr>
          <w:rFonts w:eastAsia="Calibri"/>
          <w:lang w:val="fr-BE"/>
        </w:rPr>
        <w:t>suivant:</w:t>
      </w:r>
    </w:p>
    <w:p w:rsidR="005F0423" w:rsidRPr="00F407AF" w:rsidRDefault="005F0423" w:rsidP="00F407AF">
      <w:pPr>
        <w:pStyle w:val="Point2"/>
        <w:rPr>
          <w:rFonts w:eastAsia="Calibri"/>
          <w:lang w:val="fr-BE"/>
        </w:rPr>
      </w:pPr>
      <w:r w:rsidRPr="00F407AF">
        <w:rPr>
          <w:lang w:val="fr-BE"/>
        </w:rPr>
        <w:t>"6.</w:t>
      </w:r>
      <w:r w:rsidRPr="00F407AF">
        <w:rPr>
          <w:lang w:val="fr-BE"/>
        </w:rPr>
        <w:tab/>
        <w:t>À l'exception du paragraphe 5</w:t>
      </w:r>
      <w:r w:rsidR="00A809F3" w:rsidRPr="00F407AF">
        <w:rPr>
          <w:lang w:val="fr-BE"/>
        </w:rPr>
        <w:t>,</w:t>
      </w:r>
      <w:r w:rsidRPr="00F407AF">
        <w:rPr>
          <w:lang w:val="fr-BE"/>
        </w:rPr>
        <w:t xml:space="preserve"> du deuxième </w:t>
      </w:r>
      <w:r w:rsidR="00A809F3" w:rsidRPr="00F407AF">
        <w:rPr>
          <w:lang w:val="fr-BE"/>
        </w:rPr>
        <w:t xml:space="preserve">alinéa du paragraphe 2 et du paragraphe 2 </w:t>
      </w:r>
      <w:r w:rsidR="00A809F3" w:rsidRPr="00F407AF">
        <w:rPr>
          <w:i/>
          <w:iCs/>
          <w:lang w:val="fr-BE"/>
        </w:rPr>
        <w:t>bis</w:t>
      </w:r>
      <w:r w:rsidR="00A809F3" w:rsidRPr="00F407AF">
        <w:rPr>
          <w:lang w:val="fr-BE"/>
        </w:rPr>
        <w:t xml:space="preserve">, </w:t>
      </w:r>
      <w:r w:rsidRPr="00F407AF">
        <w:rPr>
          <w:lang w:val="fr-BE"/>
        </w:rPr>
        <w:t>le présent article s'applique également aux services de données d'itinérance utilisés par les clients en itinérance voyageant hors de l'Union et fournis par un fournisseur de services d'itinérance."</w:t>
      </w:r>
      <w:r w:rsidR="00AA280A" w:rsidRPr="00F407AF">
        <w:rPr>
          <w:lang w:val="fr-BE"/>
        </w:rPr>
        <w:t>.</w:t>
      </w:r>
    </w:p>
    <w:p w:rsidR="00EE7F32" w:rsidRPr="00F407AF" w:rsidRDefault="00F407AF" w:rsidP="00F407AF">
      <w:pPr>
        <w:pStyle w:val="Point0"/>
        <w:rPr>
          <w:rFonts w:eastAsia="Calibri"/>
          <w:lang w:val="fr-BE"/>
        </w:rPr>
      </w:pPr>
      <w:r w:rsidRPr="00F407AF">
        <w:rPr>
          <w:lang w:val="fr-BE"/>
        </w:rPr>
        <w:br w:type="page"/>
      </w:r>
      <w:r w:rsidR="005F0423" w:rsidRPr="00F407AF">
        <w:rPr>
          <w:lang w:val="fr-BE"/>
        </w:rPr>
        <w:lastRenderedPageBreak/>
        <w:t>9</w:t>
      </w:r>
      <w:r w:rsidR="004907A0" w:rsidRPr="00F407AF">
        <w:rPr>
          <w:lang w:val="fr-BE"/>
        </w:rPr>
        <w:t>)</w:t>
      </w:r>
      <w:r w:rsidR="00EE7F32" w:rsidRPr="00F407AF">
        <w:rPr>
          <w:lang w:val="fr-BE"/>
        </w:rPr>
        <w:tab/>
        <w:t>L'article 16 est modifié comme suit:</w:t>
      </w:r>
    </w:p>
    <w:p w:rsidR="00EE7F32" w:rsidRPr="00F407AF" w:rsidRDefault="004907A0" w:rsidP="00F407AF">
      <w:pPr>
        <w:pStyle w:val="Point1"/>
        <w:rPr>
          <w:rFonts w:eastAsia="Calibri"/>
          <w:lang w:val="fr-BE"/>
        </w:rPr>
      </w:pPr>
      <w:r w:rsidRPr="00F407AF">
        <w:rPr>
          <w:lang w:val="fr-BE"/>
        </w:rPr>
        <w:t>a)</w:t>
      </w:r>
      <w:r w:rsidR="00EE7F32" w:rsidRPr="00F407AF">
        <w:rPr>
          <w:lang w:val="fr-BE"/>
        </w:rPr>
        <w:tab/>
        <w:t>au paragraphe 1, l'alinéa suivant est ajouté:</w:t>
      </w:r>
    </w:p>
    <w:p w:rsidR="00EE7F32" w:rsidRPr="00F407AF" w:rsidRDefault="005F0423" w:rsidP="00F407AF">
      <w:pPr>
        <w:pStyle w:val="Text2"/>
        <w:rPr>
          <w:rFonts w:eastAsia="Calibri"/>
          <w:lang w:val="fr-FR"/>
        </w:rPr>
      </w:pPr>
      <w:r w:rsidRPr="00F407AF">
        <w:rPr>
          <w:lang w:val="fr-FR"/>
        </w:rPr>
        <w:t>"</w:t>
      </w:r>
      <w:r w:rsidR="00EE7F32" w:rsidRPr="00F407AF">
        <w:rPr>
          <w:lang w:val="fr-FR"/>
        </w:rPr>
        <w:t xml:space="preserve">Les autorités réglementaires nationales contrôlent et surveillent étroitement les fournisseurs de services d'itinérance qui </w:t>
      </w:r>
      <w:r w:rsidR="001154A1" w:rsidRPr="00F407AF">
        <w:rPr>
          <w:lang w:val="fr-FR"/>
        </w:rPr>
        <w:t>se prévalent des</w:t>
      </w:r>
      <w:r w:rsidR="00F407AF">
        <w:rPr>
          <w:lang w:val="fr-FR"/>
        </w:rPr>
        <w:t xml:space="preserve"> articles </w:t>
      </w:r>
      <w:r w:rsidR="00EE7F32" w:rsidRPr="00F407AF">
        <w:rPr>
          <w:lang w:val="fr-FR"/>
        </w:rPr>
        <w:t>6</w:t>
      </w:r>
      <w:r w:rsidR="00F407AF">
        <w:rPr>
          <w:lang w:val="fr-FR"/>
        </w:rPr>
        <w:t xml:space="preserve"> </w:t>
      </w:r>
      <w:r w:rsidR="00EE7F32" w:rsidRPr="00F407AF">
        <w:rPr>
          <w:i/>
          <w:iCs/>
          <w:lang w:val="fr-FR"/>
        </w:rPr>
        <w:t>ter</w:t>
      </w:r>
      <w:r w:rsidR="00EE7F32" w:rsidRPr="00F407AF">
        <w:rPr>
          <w:lang w:val="fr-FR"/>
        </w:rPr>
        <w:t xml:space="preserve"> et 6</w:t>
      </w:r>
      <w:r w:rsidR="00F407AF">
        <w:rPr>
          <w:lang w:val="fr-FR"/>
        </w:rPr>
        <w:t xml:space="preserve"> </w:t>
      </w:r>
      <w:r w:rsidR="00AA280A" w:rsidRPr="00F407AF">
        <w:rPr>
          <w:i/>
          <w:iCs/>
          <w:lang w:val="fr-FR"/>
        </w:rPr>
        <w:t>quater</w:t>
      </w:r>
      <w:r w:rsidR="001154A1" w:rsidRPr="00F407AF">
        <w:rPr>
          <w:lang w:val="fr-FR"/>
        </w:rPr>
        <w:t>,</w:t>
      </w:r>
      <w:r w:rsidR="00EE7F32" w:rsidRPr="00F407AF">
        <w:rPr>
          <w:lang w:val="fr-FR"/>
        </w:rPr>
        <w:t xml:space="preserve"> et </w:t>
      </w:r>
      <w:r w:rsidR="001154A1" w:rsidRPr="00F407AF">
        <w:rPr>
          <w:lang w:val="fr-FR"/>
        </w:rPr>
        <w:t>de</w:t>
      </w:r>
      <w:r w:rsidR="00F407AF">
        <w:rPr>
          <w:lang w:val="fr-FR"/>
        </w:rPr>
        <w:t xml:space="preserve"> l'article </w:t>
      </w:r>
      <w:r w:rsidR="00EE7F32" w:rsidRPr="00F407AF">
        <w:rPr>
          <w:lang w:val="fr-FR"/>
        </w:rPr>
        <w:t>6</w:t>
      </w:r>
      <w:r w:rsidR="00F407AF">
        <w:rPr>
          <w:lang w:val="fr-FR"/>
        </w:rPr>
        <w:t xml:space="preserve"> </w:t>
      </w:r>
      <w:r w:rsidR="00AA280A" w:rsidRPr="00F407AF">
        <w:rPr>
          <w:i/>
          <w:iCs/>
          <w:lang w:val="fr-FR"/>
        </w:rPr>
        <w:t>sexies</w:t>
      </w:r>
      <w:r w:rsidR="00EE7F32" w:rsidRPr="00F407AF">
        <w:rPr>
          <w:lang w:val="fr-FR"/>
        </w:rPr>
        <w:t>, paragraphe 3.</w:t>
      </w:r>
      <w:r w:rsidR="00F407AF" w:rsidRPr="00F407AF">
        <w:rPr>
          <w:lang w:val="fr-FR"/>
        </w:rPr>
        <w:t>"</w:t>
      </w:r>
      <w:r w:rsidR="001154A1" w:rsidRPr="00F407AF">
        <w:rPr>
          <w:lang w:val="fr-FR"/>
        </w:rPr>
        <w:t>.</w:t>
      </w:r>
    </w:p>
    <w:p w:rsidR="00EE7F32" w:rsidRPr="00F407AF" w:rsidRDefault="004907A0" w:rsidP="00F407AF">
      <w:pPr>
        <w:pStyle w:val="Point1"/>
        <w:rPr>
          <w:rFonts w:eastAsia="Calibri"/>
          <w:lang w:val="fr-BE"/>
        </w:rPr>
      </w:pPr>
      <w:r w:rsidRPr="00F407AF">
        <w:rPr>
          <w:lang w:val="fr-BE"/>
        </w:rPr>
        <w:t>b)</w:t>
      </w:r>
      <w:r w:rsidR="00EE7F32" w:rsidRPr="00F407AF">
        <w:rPr>
          <w:lang w:val="fr-BE"/>
        </w:rPr>
        <w:tab/>
        <w:t>le paragraphe 2 est remplacé par le texte suivant:</w:t>
      </w:r>
    </w:p>
    <w:p w:rsidR="00EE7F32" w:rsidRPr="00F407AF" w:rsidRDefault="00F407AF" w:rsidP="00F407AF">
      <w:pPr>
        <w:pStyle w:val="Point2"/>
        <w:rPr>
          <w:rFonts w:eastAsia="Calibri"/>
          <w:lang w:val="fr-BE"/>
        </w:rPr>
      </w:pPr>
      <w:r w:rsidRPr="00F407AF">
        <w:rPr>
          <w:lang w:val="fr-BE"/>
        </w:rPr>
        <w:t>"</w:t>
      </w:r>
      <w:r w:rsidR="00A809F3" w:rsidRPr="00F407AF">
        <w:rPr>
          <w:lang w:val="fr-BE"/>
        </w:rPr>
        <w:t>2.</w:t>
      </w:r>
      <w:r w:rsidRPr="00F407AF">
        <w:rPr>
          <w:lang w:val="fr-BE"/>
        </w:rPr>
        <w:tab/>
      </w:r>
      <w:r w:rsidR="00EE7F32" w:rsidRPr="00F407AF">
        <w:rPr>
          <w:lang w:val="fr-BE"/>
        </w:rPr>
        <w:t xml:space="preserve">Les autorités réglementaires nationales mettent à la disposition du public des informations actualisées concernant l'application du présent règlement, et notamment de ses articles 6 </w:t>
      </w:r>
      <w:r w:rsidR="00EE7F32" w:rsidRPr="00F407AF">
        <w:rPr>
          <w:i/>
          <w:iCs/>
          <w:lang w:val="fr-BE"/>
        </w:rPr>
        <w:t>bis</w:t>
      </w:r>
      <w:r w:rsidR="00EE7F32" w:rsidRPr="00F407AF">
        <w:rPr>
          <w:lang w:val="fr-BE"/>
        </w:rPr>
        <w:t>, 6</w:t>
      </w:r>
      <w:r>
        <w:rPr>
          <w:lang w:val="fr-BE"/>
        </w:rPr>
        <w:t xml:space="preserve"> </w:t>
      </w:r>
      <w:r w:rsidR="00EE7F32" w:rsidRPr="00F407AF">
        <w:rPr>
          <w:i/>
          <w:iCs/>
          <w:lang w:val="fr-BE"/>
        </w:rPr>
        <w:t>ter</w:t>
      </w:r>
      <w:r w:rsidR="00EE7F32" w:rsidRPr="00F407AF">
        <w:rPr>
          <w:lang w:val="fr-BE"/>
        </w:rPr>
        <w:t xml:space="preserve">, 6 </w:t>
      </w:r>
      <w:r w:rsidR="00AA280A" w:rsidRPr="00F407AF">
        <w:rPr>
          <w:i/>
          <w:iCs/>
          <w:lang w:val="fr-BE"/>
        </w:rPr>
        <w:t>quater</w:t>
      </w:r>
      <w:r w:rsidR="00EE7F32" w:rsidRPr="00F407AF">
        <w:rPr>
          <w:lang w:val="fr-BE"/>
        </w:rPr>
        <w:t xml:space="preserve">, 6 </w:t>
      </w:r>
      <w:r w:rsidR="00AA280A" w:rsidRPr="00F407AF">
        <w:rPr>
          <w:i/>
          <w:iCs/>
          <w:lang w:val="fr-BE"/>
        </w:rPr>
        <w:t>sexies</w:t>
      </w:r>
      <w:r w:rsidR="00EE7F32" w:rsidRPr="00F407AF">
        <w:rPr>
          <w:lang w:val="fr-BE"/>
        </w:rPr>
        <w:t xml:space="preserve">, 7, 9, et 12, de </w:t>
      </w:r>
      <w:r w:rsidR="001154A1" w:rsidRPr="00F407AF">
        <w:rPr>
          <w:lang w:val="fr-BE"/>
        </w:rPr>
        <w:t>manière telle que les parties intéressées puissent avoir</w:t>
      </w:r>
      <w:r w:rsidR="00EE7F32" w:rsidRPr="00F407AF">
        <w:rPr>
          <w:lang w:val="fr-BE"/>
        </w:rPr>
        <w:t xml:space="preserve"> aisément accès à ces informations.</w:t>
      </w:r>
      <w:r w:rsidR="005F0423" w:rsidRPr="00F407AF">
        <w:rPr>
          <w:lang w:val="fr-BE"/>
        </w:rPr>
        <w:t>"</w:t>
      </w:r>
      <w:r w:rsidR="00AA280A" w:rsidRPr="00F407AF">
        <w:rPr>
          <w:lang w:val="fr-BE"/>
        </w:rPr>
        <w:t>.</w:t>
      </w:r>
    </w:p>
    <w:p w:rsidR="00EE7F32" w:rsidRPr="00F407AF" w:rsidRDefault="00EE7F32" w:rsidP="00F407AF">
      <w:pPr>
        <w:pStyle w:val="Point0"/>
        <w:rPr>
          <w:lang w:val="fr-BE"/>
        </w:rPr>
      </w:pPr>
      <w:r w:rsidRPr="00F407AF">
        <w:rPr>
          <w:lang w:val="fr-BE"/>
        </w:rPr>
        <w:br w:type="page"/>
      </w:r>
      <w:r w:rsidR="004907A0" w:rsidRPr="00F407AF">
        <w:rPr>
          <w:lang w:val="fr-BE"/>
        </w:rPr>
        <w:lastRenderedPageBreak/>
        <w:t>1</w:t>
      </w:r>
      <w:r w:rsidR="005F0423" w:rsidRPr="00F407AF">
        <w:rPr>
          <w:lang w:val="fr-BE"/>
        </w:rPr>
        <w:t>0</w:t>
      </w:r>
      <w:r w:rsidR="004907A0" w:rsidRPr="00F407AF">
        <w:rPr>
          <w:lang w:val="fr-BE"/>
        </w:rPr>
        <w:t>)</w:t>
      </w:r>
      <w:r w:rsidRPr="00F407AF">
        <w:rPr>
          <w:lang w:val="fr-BE"/>
        </w:rPr>
        <w:tab/>
        <w:t>L'article 19 est remplacé par le texte suivant:</w:t>
      </w:r>
    </w:p>
    <w:p w:rsidR="005F0423" w:rsidRPr="00F407AF" w:rsidRDefault="005F0423" w:rsidP="00F407AF">
      <w:pPr>
        <w:pStyle w:val="Text1"/>
        <w:rPr>
          <w:rFonts w:eastAsia="Calibri"/>
          <w:lang w:val="fr-BE"/>
        </w:rPr>
      </w:pPr>
      <w:r w:rsidRPr="00F407AF">
        <w:rPr>
          <w:lang w:val="fr-BE"/>
        </w:rPr>
        <w:t>"</w:t>
      </w:r>
      <w:r w:rsidR="00AA280A" w:rsidRPr="00F407AF">
        <w:rPr>
          <w:i/>
          <w:iCs/>
          <w:lang w:val="fr-BE"/>
        </w:rPr>
        <w:t>Article</w:t>
      </w:r>
      <w:r w:rsidRPr="00F407AF">
        <w:rPr>
          <w:i/>
          <w:iCs/>
          <w:lang w:val="fr-BE"/>
        </w:rPr>
        <w:t xml:space="preserve"> 19</w:t>
      </w:r>
      <w:r w:rsidRPr="00F407AF">
        <w:rPr>
          <w:i/>
          <w:iCs/>
          <w:lang w:val="fr-BE"/>
        </w:rPr>
        <w:br/>
        <w:t>Ré</w:t>
      </w:r>
      <w:r w:rsidR="00551601" w:rsidRPr="00F407AF">
        <w:rPr>
          <w:i/>
          <w:iCs/>
          <w:lang w:val="fr-BE"/>
        </w:rPr>
        <w:t>examen</w:t>
      </w:r>
    </w:p>
    <w:p w:rsidR="00EE7F32" w:rsidRPr="00F407AF" w:rsidRDefault="004907A0" w:rsidP="00F407AF">
      <w:pPr>
        <w:pStyle w:val="Point1"/>
        <w:rPr>
          <w:rFonts w:eastAsia="Calibri"/>
          <w:lang w:val="fr-BE"/>
        </w:rPr>
      </w:pPr>
      <w:r w:rsidRPr="00F407AF">
        <w:rPr>
          <w:lang w:val="fr-BE"/>
        </w:rPr>
        <w:t>1.</w:t>
      </w:r>
      <w:r w:rsidR="00EE7F32" w:rsidRPr="00F407AF">
        <w:rPr>
          <w:lang w:val="fr-BE"/>
        </w:rPr>
        <w:tab/>
      </w:r>
      <w:r w:rsidR="00A022B2" w:rsidRPr="00F407AF">
        <w:rPr>
          <w:lang w:val="fr-BE"/>
        </w:rPr>
        <w:t>Au plus tard le</w:t>
      </w:r>
      <w:r w:rsidR="00F407AF">
        <w:rPr>
          <w:lang w:val="fr-BE"/>
        </w:rPr>
        <w:t xml:space="preserve"> </w:t>
      </w:r>
      <w:r w:rsidR="00A022B2" w:rsidRPr="00F407AF">
        <w:rPr>
          <w:lang w:val="fr-BE"/>
        </w:rPr>
        <w:t>…</w:t>
      </w:r>
      <w:r w:rsidR="005F0423" w:rsidRPr="00F407AF">
        <w:rPr>
          <w:b/>
          <w:bCs/>
          <w:vertAlign w:val="superscript"/>
          <w:lang w:val="fr-BE"/>
        </w:rPr>
        <w:footnoteReference w:customMarkFollows="1" w:id="14"/>
        <w:t>*</w:t>
      </w:r>
      <w:r w:rsidR="00EE7F32" w:rsidRPr="00F407AF">
        <w:rPr>
          <w:lang w:val="fr-BE"/>
        </w:rPr>
        <w:t xml:space="preserve">, la Commission </w:t>
      </w:r>
      <w:r w:rsidR="00A04A3F" w:rsidRPr="00F407AF">
        <w:rPr>
          <w:lang w:val="fr-BE"/>
        </w:rPr>
        <w:t xml:space="preserve">lance </w:t>
      </w:r>
      <w:r w:rsidR="00EE7F32" w:rsidRPr="00F407AF">
        <w:rPr>
          <w:lang w:val="fr-BE"/>
        </w:rPr>
        <w:t>un examen du marché de gros de l'itinérance afin de déterminer les mesures nécessaires pour permettre la suppression des frais d'itinérance</w:t>
      </w:r>
      <w:r w:rsidR="00B025DF" w:rsidRPr="00F407AF">
        <w:rPr>
          <w:lang w:val="fr-BE"/>
        </w:rPr>
        <w:t xml:space="preserve"> au détail</w:t>
      </w:r>
      <w:r w:rsidR="00EE7F32" w:rsidRPr="00F407AF">
        <w:rPr>
          <w:lang w:val="fr-BE"/>
        </w:rPr>
        <w:t xml:space="preserve"> supplémentaires au plus tard le 15 juin 2017. La Commission examine</w:t>
      </w:r>
      <w:r w:rsidR="001154A1" w:rsidRPr="00F407AF">
        <w:rPr>
          <w:lang w:val="fr-BE"/>
        </w:rPr>
        <w:t>, entre autres,</w:t>
      </w:r>
      <w:r w:rsidR="00EE7F32" w:rsidRPr="00F407AF">
        <w:rPr>
          <w:lang w:val="fr-BE"/>
        </w:rPr>
        <w:t xml:space="preserve"> l'ampleur de la concurrence sur les marchés de gros nationaux et évalue</w:t>
      </w:r>
      <w:r w:rsidR="001154A1" w:rsidRPr="00F407AF">
        <w:rPr>
          <w:lang w:val="fr-BE"/>
        </w:rPr>
        <w:t>,</w:t>
      </w:r>
      <w:r w:rsidR="00EE7F32" w:rsidRPr="00F407AF">
        <w:rPr>
          <w:lang w:val="fr-BE"/>
        </w:rPr>
        <w:t xml:space="preserve"> en particulier</w:t>
      </w:r>
      <w:r w:rsidR="001154A1" w:rsidRPr="00F407AF">
        <w:rPr>
          <w:lang w:val="fr-BE"/>
        </w:rPr>
        <w:t>,</w:t>
      </w:r>
      <w:r w:rsidR="00EE7F32" w:rsidRPr="00F407AF">
        <w:rPr>
          <w:lang w:val="fr-BE"/>
        </w:rPr>
        <w:t xml:space="preserve"> le niveau des coûts de gros supportés et des prix de gros pratiqués et la situation concurrentielle des opérateurs dont l'activité </w:t>
      </w:r>
      <w:r w:rsidR="00F407AF">
        <w:rPr>
          <w:lang w:val="fr-BE"/>
        </w:rPr>
        <w:t xml:space="preserve">est limitée géographiquement, y </w:t>
      </w:r>
      <w:r w:rsidR="00EE7F32" w:rsidRPr="00F407AF">
        <w:rPr>
          <w:lang w:val="fr-BE"/>
        </w:rPr>
        <w:t>compris les effets des accords commerciaux sur la concurrence ainsi que la possibilité pour les opérateurs de réaliser des économies d'échelle. La Commission évalue également l'évolution de la concurrence sur les marchés de l'itinérance de détail et les éventuels risques observables de distorsion de concurrence et d</w:t>
      </w:r>
      <w:r w:rsidR="006A5CE9" w:rsidRPr="00F407AF">
        <w:rPr>
          <w:lang w:val="fr-BE"/>
        </w:rPr>
        <w:t>e l</w:t>
      </w:r>
      <w:r w:rsidR="00EE7F32" w:rsidRPr="00F407AF">
        <w:rPr>
          <w:lang w:val="fr-BE"/>
        </w:rPr>
        <w:t xml:space="preserve">'incitation à l'investissement sur les marchés </w:t>
      </w:r>
      <w:r w:rsidR="00A022B2" w:rsidRPr="00F407AF">
        <w:rPr>
          <w:lang w:val="fr-BE"/>
        </w:rPr>
        <w:t>nationaux</w:t>
      </w:r>
      <w:r w:rsidR="00EE7F32" w:rsidRPr="00F407AF">
        <w:rPr>
          <w:lang w:val="fr-BE"/>
        </w:rPr>
        <w:t xml:space="preserve"> et les marchés visités. Lorsqu'elle évalue les mesures nécessaires pour permettre la suppression des frais d'itinérance </w:t>
      </w:r>
      <w:r w:rsidR="00B025DF" w:rsidRPr="00F407AF">
        <w:rPr>
          <w:lang w:val="fr-BE"/>
        </w:rPr>
        <w:t xml:space="preserve">au détail </w:t>
      </w:r>
      <w:r w:rsidR="00EE7F32" w:rsidRPr="00F407AF">
        <w:rPr>
          <w:lang w:val="fr-BE"/>
        </w:rPr>
        <w:t xml:space="preserve">supplémentaires, la Commission tient compte de la nécessité de faire en sorte que les </w:t>
      </w:r>
      <w:r w:rsidR="00722462" w:rsidRPr="00F407AF">
        <w:rPr>
          <w:lang w:val="fr-BE"/>
        </w:rPr>
        <w:t>opérateurs du réseau visités</w:t>
      </w:r>
      <w:r w:rsidR="00EE7F32" w:rsidRPr="00F407AF">
        <w:rPr>
          <w:lang w:val="fr-BE"/>
        </w:rPr>
        <w:t xml:space="preserve"> soient en mesure de couvrir l'ensemble des coûts liés à la fourniture de services d'itinérance de gros réglementés, y compris les coûts </w:t>
      </w:r>
      <w:r w:rsidR="00680541" w:rsidRPr="00F407AF">
        <w:rPr>
          <w:lang w:val="fr-BE"/>
        </w:rPr>
        <w:t xml:space="preserve">liés </w:t>
      </w:r>
      <w:r w:rsidR="00EE7F32" w:rsidRPr="00F407AF">
        <w:rPr>
          <w:lang w:val="fr-BE"/>
        </w:rPr>
        <w:t xml:space="preserve">et communs. La Commission tient également compte de la nécessité d'empêcher l'itinérance permanente ou </w:t>
      </w:r>
      <w:r w:rsidR="001154A1" w:rsidRPr="00F407AF">
        <w:rPr>
          <w:lang w:val="fr-BE"/>
        </w:rPr>
        <w:t>l</w:t>
      </w:r>
      <w:r w:rsidR="00EE7F32" w:rsidRPr="00F407AF">
        <w:rPr>
          <w:lang w:val="fr-BE"/>
        </w:rPr>
        <w:t xml:space="preserve">'utilisation anormale ou abusive de l'accès de gros aux services d'itinérance à des fins autres que la fourniture de services d'itinérance réglementés aux </w:t>
      </w:r>
      <w:r w:rsidR="00722462" w:rsidRPr="00F407AF">
        <w:rPr>
          <w:lang w:val="fr-BE"/>
        </w:rPr>
        <w:t>clients</w:t>
      </w:r>
      <w:r w:rsidR="00EE7F32" w:rsidRPr="00F407AF">
        <w:rPr>
          <w:lang w:val="fr-BE"/>
        </w:rPr>
        <w:t xml:space="preserve"> du fournisseur </w:t>
      </w:r>
      <w:r w:rsidR="005445BA" w:rsidRPr="00F407AF">
        <w:rPr>
          <w:lang w:val="fr-BE"/>
        </w:rPr>
        <w:t xml:space="preserve">de services </w:t>
      </w:r>
      <w:r w:rsidR="00EE7F32" w:rsidRPr="00F407AF">
        <w:rPr>
          <w:lang w:val="fr-BE"/>
        </w:rPr>
        <w:t xml:space="preserve">d'itinérance lorsque ces derniers se déplacent </w:t>
      </w:r>
      <w:r w:rsidR="00F76FD8" w:rsidRPr="00F407AF">
        <w:rPr>
          <w:lang w:val="fr-BE"/>
        </w:rPr>
        <w:t>périodiquement</w:t>
      </w:r>
      <w:r w:rsidR="00FD382E" w:rsidRPr="00F407AF">
        <w:rPr>
          <w:lang w:val="fr-BE"/>
        </w:rPr>
        <w:t xml:space="preserve"> </w:t>
      </w:r>
      <w:r w:rsidR="00EE7F32" w:rsidRPr="00F407AF">
        <w:rPr>
          <w:lang w:val="fr-BE"/>
        </w:rPr>
        <w:t>dans l'Union.</w:t>
      </w:r>
    </w:p>
    <w:p w:rsidR="00EE7F32" w:rsidRPr="00F407AF" w:rsidRDefault="00F407AF" w:rsidP="00F407AF">
      <w:pPr>
        <w:pStyle w:val="Point1"/>
        <w:rPr>
          <w:rFonts w:eastAsia="Calibri"/>
          <w:lang w:val="fr-BE"/>
        </w:rPr>
      </w:pPr>
      <w:r>
        <w:rPr>
          <w:lang w:val="fr-BE"/>
        </w:rPr>
        <w:br w:type="page"/>
      </w:r>
      <w:r w:rsidR="004907A0" w:rsidRPr="00F407AF">
        <w:rPr>
          <w:lang w:val="fr-BE"/>
        </w:rPr>
        <w:lastRenderedPageBreak/>
        <w:t>2.</w:t>
      </w:r>
      <w:r w:rsidR="00EE7F32" w:rsidRPr="00F407AF">
        <w:rPr>
          <w:lang w:val="fr-BE"/>
        </w:rPr>
        <w:tab/>
      </w:r>
      <w:r w:rsidR="00C85F1D" w:rsidRPr="00F407AF">
        <w:rPr>
          <w:lang w:val="fr-BE"/>
        </w:rPr>
        <w:t>Au plus tard le 15 juin 2016, l</w:t>
      </w:r>
      <w:r w:rsidR="00EE7F32" w:rsidRPr="00F407AF">
        <w:rPr>
          <w:lang w:val="fr-BE"/>
        </w:rPr>
        <w:t xml:space="preserve">a Commission présente un rapport au Parlement européen et au Conseil sur les résultats </w:t>
      </w:r>
      <w:r w:rsidR="00B743D1" w:rsidRPr="00F407AF">
        <w:rPr>
          <w:lang w:val="fr-BE"/>
        </w:rPr>
        <w:t>du ré</w:t>
      </w:r>
      <w:r w:rsidR="00EE7F32" w:rsidRPr="00F407AF">
        <w:rPr>
          <w:lang w:val="fr-BE"/>
        </w:rPr>
        <w:t>examen visé au paragraphe 1.</w:t>
      </w:r>
    </w:p>
    <w:p w:rsidR="00EE7F32" w:rsidRPr="00F407AF" w:rsidRDefault="00EE7F32" w:rsidP="00F407AF">
      <w:pPr>
        <w:pStyle w:val="Text2"/>
        <w:rPr>
          <w:rFonts w:eastAsia="Calibri"/>
          <w:lang w:val="fr-BE"/>
        </w:rPr>
      </w:pPr>
      <w:r w:rsidRPr="00F407AF">
        <w:rPr>
          <w:lang w:val="fr-BE"/>
        </w:rPr>
        <w:t xml:space="preserve">Ce rapport est accompagné d'une proposition législative appropriée faisant suite à une consultation publique, qui vise à modifier les prix de gros des services d'itinérance réglementés prévus par le présent règlement ou à mettre en place une autre solution pour résoudre les problèmes recensés sur le marché de gros dans la perspective de la suppression des frais d'itinérance </w:t>
      </w:r>
      <w:r w:rsidR="00B025DF" w:rsidRPr="00F407AF">
        <w:rPr>
          <w:lang w:val="fr-BE"/>
        </w:rPr>
        <w:t xml:space="preserve">au détail </w:t>
      </w:r>
      <w:r w:rsidRPr="00F407AF">
        <w:rPr>
          <w:lang w:val="fr-BE"/>
        </w:rPr>
        <w:t>supplémentaires au plus tard le 15 juin 2017.</w:t>
      </w:r>
    </w:p>
    <w:p w:rsidR="00EE7F32" w:rsidRPr="00F407AF" w:rsidRDefault="004907A0" w:rsidP="00F407AF">
      <w:pPr>
        <w:pStyle w:val="Point1"/>
        <w:rPr>
          <w:rFonts w:eastAsia="Calibri"/>
          <w:lang w:val="fr-BE"/>
        </w:rPr>
      </w:pPr>
      <w:r w:rsidRPr="00F407AF">
        <w:rPr>
          <w:lang w:val="fr-BE"/>
        </w:rPr>
        <w:t>3.</w:t>
      </w:r>
      <w:r w:rsidR="00EE7F32" w:rsidRPr="00F407AF">
        <w:rPr>
          <w:lang w:val="fr-BE"/>
        </w:rPr>
        <w:tab/>
        <w:t xml:space="preserve">En outre, la Commission soumet, tous les deux ans après la </w:t>
      </w:r>
      <w:r w:rsidR="00F407AF">
        <w:rPr>
          <w:lang w:val="fr-BE"/>
        </w:rPr>
        <w:t xml:space="preserve">présentation </w:t>
      </w:r>
      <w:r w:rsidR="00EE7F32" w:rsidRPr="00F407AF">
        <w:rPr>
          <w:lang w:val="fr-BE"/>
        </w:rPr>
        <w:t>du rapport visé au paragraphe 2, un rapport à l'intention du Parlement européen et du Conseil. Chaque rapport contient</w:t>
      </w:r>
      <w:r w:rsidR="007F2782" w:rsidRPr="00F407AF">
        <w:rPr>
          <w:lang w:val="fr-BE"/>
        </w:rPr>
        <w:t>, entre autres,</w:t>
      </w:r>
      <w:r w:rsidR="00EE7F32" w:rsidRPr="00F407AF">
        <w:rPr>
          <w:lang w:val="fr-BE"/>
        </w:rPr>
        <w:t xml:space="preserve"> une évaluation des éléments suivants:</w:t>
      </w:r>
    </w:p>
    <w:p w:rsidR="00EE7F32" w:rsidRPr="00F407AF" w:rsidRDefault="00F407AF" w:rsidP="00F407AF">
      <w:pPr>
        <w:pStyle w:val="Point2"/>
        <w:rPr>
          <w:rFonts w:eastAsia="Calibri"/>
          <w:lang w:val="fr-BE"/>
        </w:rPr>
      </w:pPr>
      <w:r w:rsidRPr="00F407AF">
        <w:rPr>
          <w:lang w:val="fr-BE"/>
        </w:rPr>
        <w:t>a)</w:t>
      </w:r>
      <w:r w:rsidR="00EE7F32" w:rsidRPr="00F407AF">
        <w:rPr>
          <w:lang w:val="fr-BE"/>
        </w:rPr>
        <w:tab/>
        <w:t xml:space="preserve">la disponibilité et la qualité des services, y compris de ceux qui peuvent constituer une alternative aux services d'appels vocaux, de SMS et de données </w:t>
      </w:r>
      <w:r w:rsidR="007F2782" w:rsidRPr="00F407AF">
        <w:rPr>
          <w:lang w:val="fr-BE"/>
        </w:rPr>
        <w:t xml:space="preserve">en itinérance </w:t>
      </w:r>
      <w:r w:rsidR="00EE7F32" w:rsidRPr="00F407AF">
        <w:rPr>
          <w:lang w:val="fr-BE"/>
        </w:rPr>
        <w:t>au détail réglementés, en particulier à la lumière des progrès technologiques;</w:t>
      </w:r>
    </w:p>
    <w:p w:rsidR="00EE7F32" w:rsidRPr="00F407AF" w:rsidRDefault="004907A0" w:rsidP="00F407AF">
      <w:pPr>
        <w:pStyle w:val="Point2"/>
        <w:rPr>
          <w:rFonts w:eastAsia="Calibri"/>
          <w:lang w:val="fr-BE"/>
        </w:rPr>
      </w:pPr>
      <w:r w:rsidRPr="00F407AF">
        <w:rPr>
          <w:lang w:val="fr-BE"/>
        </w:rPr>
        <w:t>b)</w:t>
      </w:r>
      <w:r w:rsidR="00EE7F32" w:rsidRPr="00F407AF">
        <w:rPr>
          <w:lang w:val="fr-BE"/>
        </w:rPr>
        <w:tab/>
        <w:t xml:space="preserve">le degré de concurrence, sur le marché </w:t>
      </w:r>
      <w:r w:rsidR="007F2782" w:rsidRPr="00F407AF">
        <w:rPr>
          <w:lang w:val="fr-BE"/>
        </w:rPr>
        <w:t xml:space="preserve">tant </w:t>
      </w:r>
      <w:r w:rsidR="00EE7F32" w:rsidRPr="00F407AF">
        <w:rPr>
          <w:lang w:val="fr-BE"/>
        </w:rPr>
        <w:t xml:space="preserve">de gros que de détail de l'itinérance, en particulier la situation concurrentielle des opérateurs de petite taille, indépendants ou ayant récemment commencé leurs activités, y compris les effets des accords commerciaux </w:t>
      </w:r>
      <w:r w:rsidR="00C372B5" w:rsidRPr="00F407AF">
        <w:rPr>
          <w:lang w:val="fr-BE"/>
        </w:rPr>
        <w:t xml:space="preserve">sur la concurrence </w:t>
      </w:r>
      <w:r w:rsidR="00EE7F32" w:rsidRPr="00F407AF">
        <w:rPr>
          <w:lang w:val="fr-BE"/>
        </w:rPr>
        <w:t>et le degré d'interconnexion entre les opérateurs;</w:t>
      </w:r>
    </w:p>
    <w:p w:rsidR="00EE7F32" w:rsidRPr="00F407AF" w:rsidRDefault="004907A0" w:rsidP="00F407AF">
      <w:pPr>
        <w:pStyle w:val="Point2"/>
        <w:rPr>
          <w:rFonts w:eastAsia="Calibri"/>
          <w:lang w:val="fr-BE"/>
        </w:rPr>
      </w:pPr>
      <w:r w:rsidRPr="00F407AF">
        <w:rPr>
          <w:lang w:val="fr-BE"/>
        </w:rPr>
        <w:t>c)</w:t>
      </w:r>
      <w:r w:rsidR="00EE7F32" w:rsidRPr="00F407AF">
        <w:rPr>
          <w:lang w:val="fr-BE"/>
        </w:rPr>
        <w:tab/>
        <w:t>la mesure dans laquelle la mise en œuvre des mesures str</w:t>
      </w:r>
      <w:r w:rsidR="00F407AF">
        <w:rPr>
          <w:lang w:val="fr-BE"/>
        </w:rPr>
        <w:t xml:space="preserve">ucturelles prévues aux articles </w:t>
      </w:r>
      <w:r w:rsidR="00EE7F32" w:rsidRPr="00F407AF">
        <w:rPr>
          <w:lang w:val="fr-BE"/>
        </w:rPr>
        <w:t>3 et 4 a permis de renforcer la concurrence sur le marché intérieur des services d'itinérance réglementés.</w:t>
      </w:r>
    </w:p>
    <w:p w:rsidR="00EE7F32" w:rsidRPr="00F407AF" w:rsidRDefault="00F407AF" w:rsidP="00F407AF">
      <w:pPr>
        <w:pStyle w:val="Point1"/>
        <w:rPr>
          <w:rFonts w:eastAsia="Calibri"/>
          <w:lang w:val="fr-BE"/>
        </w:rPr>
      </w:pPr>
      <w:r>
        <w:rPr>
          <w:lang w:val="fr-BE"/>
        </w:rPr>
        <w:br w:type="page"/>
      </w:r>
      <w:r w:rsidR="004907A0" w:rsidRPr="00F407AF">
        <w:rPr>
          <w:lang w:val="fr-BE"/>
        </w:rPr>
        <w:lastRenderedPageBreak/>
        <w:t>4.</w:t>
      </w:r>
      <w:r w:rsidR="00EE7F32" w:rsidRPr="00F407AF">
        <w:rPr>
          <w:lang w:val="fr-BE"/>
        </w:rPr>
        <w:tab/>
        <w:t>Afin d'évaluer l'évolution de la concurrence sur les marchés de l'itinérance dans l'Union, l'ORECE recueille régulièrement</w:t>
      </w:r>
      <w:r w:rsidR="007F2782" w:rsidRPr="00F407AF">
        <w:rPr>
          <w:lang w:val="fr-BE"/>
        </w:rPr>
        <w:t>,</w:t>
      </w:r>
      <w:r w:rsidR="00EE7F32" w:rsidRPr="00F407AF">
        <w:rPr>
          <w:lang w:val="fr-BE"/>
        </w:rPr>
        <w:t xml:space="preserve"> auprès des autorités réglementaires nationales</w:t>
      </w:r>
      <w:r w:rsidR="007F2782" w:rsidRPr="00F407AF">
        <w:rPr>
          <w:lang w:val="fr-BE"/>
        </w:rPr>
        <w:t>,</w:t>
      </w:r>
      <w:r w:rsidR="00EE7F32" w:rsidRPr="00F407AF">
        <w:rPr>
          <w:lang w:val="fr-BE"/>
        </w:rPr>
        <w:t xml:space="preserve"> des données sur l'évolution des prix de détail et de gros des services </w:t>
      </w:r>
      <w:r w:rsidR="007F2782" w:rsidRPr="00F407AF">
        <w:rPr>
          <w:lang w:val="fr-BE"/>
        </w:rPr>
        <w:t>d</w:t>
      </w:r>
      <w:r w:rsidRPr="00F407AF">
        <w:rPr>
          <w:lang w:val="fr-BE"/>
        </w:rPr>
        <w:t>'</w:t>
      </w:r>
      <w:r w:rsidR="00EE7F32" w:rsidRPr="00F407AF">
        <w:rPr>
          <w:lang w:val="fr-BE"/>
        </w:rPr>
        <w:t xml:space="preserve">appels vocaux, </w:t>
      </w:r>
      <w:r w:rsidR="007F2782" w:rsidRPr="00F407AF">
        <w:rPr>
          <w:lang w:val="fr-BE"/>
        </w:rPr>
        <w:t>de</w:t>
      </w:r>
      <w:r w:rsidR="00EE7F32" w:rsidRPr="00F407AF">
        <w:rPr>
          <w:lang w:val="fr-BE"/>
        </w:rPr>
        <w:t xml:space="preserve"> SMS et </w:t>
      </w:r>
      <w:r w:rsidR="007F2782" w:rsidRPr="00F407AF">
        <w:rPr>
          <w:lang w:val="fr-BE"/>
        </w:rPr>
        <w:t>de</w:t>
      </w:r>
      <w:r w:rsidR="00EE7F32" w:rsidRPr="00F407AF">
        <w:rPr>
          <w:lang w:val="fr-BE"/>
        </w:rPr>
        <w:t xml:space="preserve"> données</w:t>
      </w:r>
      <w:r w:rsidR="007F2782" w:rsidRPr="00F407AF">
        <w:rPr>
          <w:lang w:val="fr-BE"/>
        </w:rPr>
        <w:t xml:space="preserve"> en itinérance réglementés</w:t>
      </w:r>
      <w:r w:rsidR="00EE7F32" w:rsidRPr="00F407AF">
        <w:rPr>
          <w:lang w:val="fr-BE"/>
        </w:rPr>
        <w:t>. Ces données sont communiquées au moins deux fois par an à la Commission. La Commission rend publiques ces données.</w:t>
      </w:r>
    </w:p>
    <w:p w:rsidR="00EE7F32" w:rsidRPr="00F407AF" w:rsidRDefault="00EE7F32" w:rsidP="00F407AF">
      <w:pPr>
        <w:pStyle w:val="Text2"/>
        <w:rPr>
          <w:rFonts w:eastAsia="Calibri"/>
          <w:lang w:val="fr-BE"/>
        </w:rPr>
      </w:pPr>
      <w:r w:rsidRPr="00F407AF">
        <w:rPr>
          <w:lang w:val="fr-BE"/>
        </w:rPr>
        <w:t>En outre, sur la base des données collectées, l'ORECE rend compte régulièrement de l'évolution</w:t>
      </w:r>
      <w:r w:rsidR="00F407AF">
        <w:rPr>
          <w:lang w:val="fr-BE"/>
        </w:rPr>
        <w:t xml:space="preserve"> des schémas de tarification et </w:t>
      </w:r>
      <w:r w:rsidRPr="00F407AF">
        <w:rPr>
          <w:lang w:val="fr-BE"/>
        </w:rPr>
        <w:t>de consommation dans les États membres</w:t>
      </w:r>
      <w:r w:rsidR="007F2782" w:rsidRPr="00F407AF">
        <w:rPr>
          <w:lang w:val="fr-BE"/>
        </w:rPr>
        <w:t>,</w:t>
      </w:r>
      <w:r w:rsidRPr="00F407AF">
        <w:rPr>
          <w:lang w:val="fr-BE"/>
        </w:rPr>
        <w:t xml:space="preserve"> aussi bien pour les services nationaux que pour les services d'itinérance, ainsi que de l'évolution des tarifs d'itinérance de gros effectifs pour le trafic non équilibré entre les fournisseurs de services d'itinérance.</w:t>
      </w:r>
    </w:p>
    <w:p w:rsidR="00EE7F32" w:rsidRPr="00F407AF" w:rsidRDefault="00EE7F32" w:rsidP="00F407AF">
      <w:pPr>
        <w:pStyle w:val="Text2"/>
        <w:rPr>
          <w:rFonts w:eastAsia="Calibri"/>
          <w:lang w:val="fr-BE"/>
        </w:rPr>
      </w:pPr>
      <w:r w:rsidRPr="00F407AF">
        <w:rPr>
          <w:lang w:val="fr-BE"/>
        </w:rPr>
        <w:t>L'ORECE collecte également chaque année</w:t>
      </w:r>
      <w:r w:rsidR="007F2782" w:rsidRPr="00F407AF">
        <w:rPr>
          <w:lang w:val="fr-BE"/>
        </w:rPr>
        <w:t>,</w:t>
      </w:r>
      <w:r w:rsidRPr="00F407AF">
        <w:rPr>
          <w:lang w:val="fr-BE"/>
        </w:rPr>
        <w:t xml:space="preserve"> auprès des autorités réglementaires nationales</w:t>
      </w:r>
      <w:r w:rsidR="007F2782" w:rsidRPr="00F407AF">
        <w:rPr>
          <w:lang w:val="fr-BE"/>
        </w:rPr>
        <w:t>,</w:t>
      </w:r>
      <w:r w:rsidRPr="00F407AF">
        <w:rPr>
          <w:lang w:val="fr-BE"/>
        </w:rPr>
        <w:t xml:space="preserve"> des informations sur la transparence et la comparabilité des différents tarifs proposés par les opérateurs à leurs clients. La Commission rend publiques ces données et constatations.</w:t>
      </w:r>
      <w:r w:rsidR="00F407AF" w:rsidRPr="00F407AF">
        <w:rPr>
          <w:lang w:val="fr-BE"/>
        </w:rPr>
        <w:t>"</w:t>
      </w:r>
      <w:r w:rsidR="007F2782" w:rsidRPr="00F407AF">
        <w:rPr>
          <w:lang w:val="fr-BE"/>
        </w:rPr>
        <w:t>.</w:t>
      </w:r>
    </w:p>
    <w:p w:rsidR="00EE7F32" w:rsidRPr="00CF3546" w:rsidRDefault="00EE7F32" w:rsidP="00F407AF">
      <w:pPr>
        <w:pStyle w:val="Titrearticle"/>
        <w:rPr>
          <w:rFonts w:eastAsia="Calibri"/>
          <w:lang w:val="fr-BE"/>
        </w:rPr>
      </w:pPr>
      <w:r w:rsidRPr="00CF3546">
        <w:rPr>
          <w:lang w:val="fr-BE"/>
        </w:rPr>
        <w:t xml:space="preserve">Article </w:t>
      </w:r>
      <w:r w:rsidR="00E80CE7" w:rsidRPr="00CF3546">
        <w:rPr>
          <w:lang w:val="fr-BE"/>
        </w:rPr>
        <w:t>8</w:t>
      </w:r>
      <w:r w:rsidR="00F407AF" w:rsidRPr="00CF3546">
        <w:rPr>
          <w:lang w:val="fr-BE"/>
        </w:rPr>
        <w:br/>
      </w:r>
      <w:r w:rsidRPr="00CF3546">
        <w:rPr>
          <w:lang w:val="fr-BE"/>
        </w:rPr>
        <w:t>Modification de la directive 2002/22/CE</w:t>
      </w:r>
    </w:p>
    <w:p w:rsidR="00EE7F32" w:rsidRPr="00F407AF" w:rsidRDefault="00F407AF" w:rsidP="00F407AF">
      <w:pPr>
        <w:rPr>
          <w:rFonts w:eastAsia="Calibri"/>
          <w:lang w:val="fr-BE"/>
        </w:rPr>
      </w:pPr>
      <w:r>
        <w:rPr>
          <w:lang w:val="fr-BE"/>
        </w:rPr>
        <w:t xml:space="preserve">À l'article </w:t>
      </w:r>
      <w:r w:rsidR="00EE7F32" w:rsidRPr="00F407AF">
        <w:rPr>
          <w:lang w:val="fr-BE"/>
        </w:rPr>
        <w:t>1</w:t>
      </w:r>
      <w:r w:rsidR="00EE7F32" w:rsidRPr="00F407AF">
        <w:rPr>
          <w:vertAlign w:val="superscript"/>
          <w:lang w:val="fr-BE"/>
        </w:rPr>
        <w:t>er</w:t>
      </w:r>
      <w:r>
        <w:rPr>
          <w:lang w:val="fr-BE"/>
        </w:rPr>
        <w:t xml:space="preserve">, le paragraphe </w:t>
      </w:r>
      <w:r w:rsidR="00EE7F32" w:rsidRPr="00F407AF">
        <w:rPr>
          <w:lang w:val="fr-BE"/>
        </w:rPr>
        <w:t xml:space="preserve">3 </w:t>
      </w:r>
      <w:r w:rsidR="009159E6" w:rsidRPr="00F407AF">
        <w:rPr>
          <w:lang w:val="fr-BE"/>
        </w:rPr>
        <w:t xml:space="preserve">de la directive 2002/22/CE </w:t>
      </w:r>
      <w:r w:rsidR="00EE7F32" w:rsidRPr="00F407AF">
        <w:rPr>
          <w:lang w:val="fr-BE"/>
        </w:rPr>
        <w:t>est remplacé par le texte suivant:</w:t>
      </w:r>
    </w:p>
    <w:p w:rsidR="00EE7F32" w:rsidRPr="00F407AF" w:rsidRDefault="00E80CE7" w:rsidP="00F407AF">
      <w:pPr>
        <w:pStyle w:val="Point0"/>
        <w:rPr>
          <w:lang w:val="fr-BE"/>
        </w:rPr>
      </w:pPr>
      <w:r w:rsidRPr="00F407AF">
        <w:rPr>
          <w:lang w:val="fr-BE"/>
        </w:rPr>
        <w:t>"</w:t>
      </w:r>
      <w:r w:rsidR="00F407AF">
        <w:rPr>
          <w:lang w:val="fr-BE"/>
        </w:rPr>
        <w:t>3.</w:t>
      </w:r>
      <w:r w:rsidR="00EE7F32" w:rsidRPr="00F407AF">
        <w:rPr>
          <w:lang w:val="fr-BE"/>
        </w:rPr>
        <w:tab/>
        <w:t>Les mesures nationales relatives à l'accès des utilisateurs finals aux services et applications, et à leur utilisation, via les réseaux de communications électroniques respectent les libertés et droits fondamentaux des personnes physiques, y compris eu égard à la vie privée et au droit à un procès équitabl</w:t>
      </w:r>
      <w:r w:rsidR="00F407AF">
        <w:rPr>
          <w:lang w:val="fr-BE"/>
        </w:rPr>
        <w:t xml:space="preserve">e, tel qu'il figure à l'article </w:t>
      </w:r>
      <w:r w:rsidR="00EE7F32" w:rsidRPr="00F407AF">
        <w:rPr>
          <w:lang w:val="fr-BE"/>
        </w:rPr>
        <w:t>6 de la convention européenne de sauvegarde des droits de l'homme et des libertés fondamentales.</w:t>
      </w:r>
      <w:r w:rsidRPr="00F407AF">
        <w:rPr>
          <w:lang w:val="fr-BE"/>
        </w:rPr>
        <w:t>"</w:t>
      </w:r>
      <w:r w:rsidR="00CE0E07" w:rsidRPr="00F407AF">
        <w:rPr>
          <w:lang w:val="fr-BE"/>
        </w:rPr>
        <w:t>.</w:t>
      </w:r>
    </w:p>
    <w:p w:rsidR="00EE7F32" w:rsidRPr="00F407AF" w:rsidRDefault="00F407AF" w:rsidP="004907A0">
      <w:pPr>
        <w:pStyle w:val="Titrearticle"/>
        <w:rPr>
          <w:lang w:val="fr-BE"/>
        </w:rPr>
      </w:pPr>
      <w:r w:rsidRPr="00F407AF">
        <w:rPr>
          <w:lang w:val="fr-BE"/>
        </w:rPr>
        <w:br w:type="page"/>
      </w:r>
      <w:r w:rsidR="00EE7F32" w:rsidRPr="00F407AF">
        <w:rPr>
          <w:lang w:val="fr-BE"/>
        </w:rPr>
        <w:lastRenderedPageBreak/>
        <w:t xml:space="preserve">Article </w:t>
      </w:r>
      <w:r w:rsidR="00E80CE7" w:rsidRPr="00F407AF">
        <w:rPr>
          <w:lang w:val="fr-BE"/>
        </w:rPr>
        <w:t>9</w:t>
      </w:r>
      <w:r w:rsidRPr="00F407AF">
        <w:rPr>
          <w:lang w:val="fr-BE"/>
        </w:rPr>
        <w:br/>
      </w:r>
      <w:r w:rsidR="00EE7F32" w:rsidRPr="00F407AF">
        <w:rPr>
          <w:lang w:val="fr-BE"/>
        </w:rPr>
        <w:t>Réexamen</w:t>
      </w:r>
    </w:p>
    <w:p w:rsidR="00EE7F32" w:rsidRPr="00F407AF" w:rsidRDefault="00E80CE7" w:rsidP="00F407AF">
      <w:pPr>
        <w:rPr>
          <w:lang w:val="fr-BE"/>
        </w:rPr>
      </w:pPr>
      <w:r w:rsidRPr="00F407AF">
        <w:rPr>
          <w:lang w:val="fr-BE"/>
        </w:rPr>
        <w:t>Au plus tard le 30 avril 2019 et</w:t>
      </w:r>
      <w:r w:rsidR="007F2782" w:rsidRPr="00F407AF">
        <w:rPr>
          <w:lang w:val="fr-BE"/>
        </w:rPr>
        <w:t>,</w:t>
      </w:r>
      <w:r w:rsidRPr="00F407AF">
        <w:rPr>
          <w:lang w:val="fr-BE"/>
        </w:rPr>
        <w:t xml:space="preserve"> par la suite, tous les quatre ans, l</w:t>
      </w:r>
      <w:r w:rsidR="00EE7F32" w:rsidRPr="00F407AF">
        <w:rPr>
          <w:lang w:val="fr-BE"/>
        </w:rPr>
        <w:t>a Commission réexamine les articles 3, 4</w:t>
      </w:r>
      <w:r w:rsidRPr="00F407AF">
        <w:rPr>
          <w:lang w:val="fr-BE"/>
        </w:rPr>
        <w:t xml:space="preserve">, </w:t>
      </w:r>
      <w:r w:rsidR="00EE7F32" w:rsidRPr="00F407AF">
        <w:rPr>
          <w:lang w:val="fr-BE"/>
        </w:rPr>
        <w:t xml:space="preserve">5 </w:t>
      </w:r>
      <w:r w:rsidRPr="00F407AF">
        <w:rPr>
          <w:lang w:val="fr-BE"/>
        </w:rPr>
        <w:t xml:space="preserve">et 6 </w:t>
      </w:r>
      <w:r w:rsidR="00EE7F32" w:rsidRPr="00F407AF">
        <w:rPr>
          <w:lang w:val="fr-BE"/>
        </w:rPr>
        <w:t xml:space="preserve">et </w:t>
      </w:r>
      <w:r w:rsidRPr="00F407AF">
        <w:rPr>
          <w:lang w:val="fr-BE"/>
        </w:rPr>
        <w:t xml:space="preserve">soumet </w:t>
      </w:r>
      <w:r w:rsidR="00EE7F32" w:rsidRPr="00F407AF">
        <w:rPr>
          <w:lang w:val="fr-BE"/>
        </w:rPr>
        <w:t xml:space="preserve">un rapport à ce sujet au Parlement européen et au Conseil </w:t>
      </w:r>
      <w:r w:rsidR="00F407AF">
        <w:rPr>
          <w:lang w:val="fr-BE"/>
        </w:rPr>
        <w:t xml:space="preserve">accompagné, </w:t>
      </w:r>
      <w:r w:rsidRPr="00F407AF">
        <w:rPr>
          <w:lang w:val="fr-BE"/>
        </w:rPr>
        <w:t xml:space="preserve">si </w:t>
      </w:r>
      <w:r w:rsidR="00CE0E07" w:rsidRPr="00F407AF">
        <w:rPr>
          <w:lang w:val="fr-BE"/>
        </w:rPr>
        <w:t>nécessaire</w:t>
      </w:r>
      <w:r w:rsidRPr="00F407AF">
        <w:rPr>
          <w:lang w:val="fr-BE"/>
        </w:rPr>
        <w:t xml:space="preserve">, </w:t>
      </w:r>
      <w:r w:rsidR="00CE0E07" w:rsidRPr="00F407AF">
        <w:rPr>
          <w:lang w:val="fr-BE"/>
        </w:rPr>
        <w:t>de</w:t>
      </w:r>
      <w:r w:rsidR="00EE7F32" w:rsidRPr="00F407AF">
        <w:rPr>
          <w:lang w:val="fr-BE"/>
        </w:rPr>
        <w:t xml:space="preserve"> propositions </w:t>
      </w:r>
      <w:r w:rsidR="00CE0E07" w:rsidRPr="00F407AF">
        <w:rPr>
          <w:lang w:val="fr-BE"/>
        </w:rPr>
        <w:t>appropriées en vue de</w:t>
      </w:r>
      <w:r w:rsidR="00EE7F32" w:rsidRPr="00F407AF">
        <w:rPr>
          <w:lang w:val="fr-BE"/>
        </w:rPr>
        <w:t xml:space="preserve"> modifier le présent règlement.</w:t>
      </w:r>
    </w:p>
    <w:p w:rsidR="00B62E3B" w:rsidRPr="00F407AF" w:rsidRDefault="00EE7F32" w:rsidP="00CE0E07">
      <w:pPr>
        <w:pStyle w:val="Titrearticle"/>
        <w:rPr>
          <w:lang w:val="fr-BE"/>
        </w:rPr>
      </w:pPr>
      <w:r w:rsidRPr="00F407AF">
        <w:rPr>
          <w:lang w:val="fr-BE"/>
        </w:rPr>
        <w:t>Arti</w:t>
      </w:r>
      <w:r w:rsidR="00F407AF" w:rsidRPr="00F407AF">
        <w:rPr>
          <w:lang w:val="fr-BE"/>
        </w:rPr>
        <w:t xml:space="preserve">cle </w:t>
      </w:r>
      <w:r w:rsidR="00E80CE7" w:rsidRPr="00F407AF">
        <w:rPr>
          <w:lang w:val="fr-BE"/>
        </w:rPr>
        <w:t>10</w:t>
      </w:r>
      <w:r w:rsidR="00F407AF" w:rsidRPr="00F407AF">
        <w:rPr>
          <w:lang w:val="fr-BE"/>
        </w:rPr>
        <w:br/>
      </w:r>
      <w:r w:rsidRPr="00F407AF">
        <w:rPr>
          <w:lang w:val="fr-BE"/>
        </w:rPr>
        <w:t>Entrée en vigueur</w:t>
      </w:r>
      <w:r w:rsidR="00E80CE7" w:rsidRPr="00F407AF">
        <w:rPr>
          <w:lang w:val="fr-BE"/>
        </w:rPr>
        <w:t xml:space="preserve"> et </w:t>
      </w:r>
      <w:r w:rsidR="00CE0E07" w:rsidRPr="00F407AF">
        <w:rPr>
          <w:lang w:val="fr-BE"/>
        </w:rPr>
        <w:t>dispositions transitoires</w:t>
      </w:r>
    </w:p>
    <w:p w:rsidR="00EE7F32" w:rsidRPr="00F407AF" w:rsidRDefault="00F407AF" w:rsidP="00F407AF">
      <w:pPr>
        <w:pStyle w:val="ManualNumPar1"/>
        <w:rPr>
          <w:lang w:val="fr-BE"/>
        </w:rPr>
      </w:pPr>
      <w:r w:rsidRPr="00F407AF">
        <w:rPr>
          <w:lang w:val="fr-BE"/>
        </w:rPr>
        <w:t>1.</w:t>
      </w:r>
      <w:r w:rsidR="007F2782" w:rsidRPr="00F407AF">
        <w:rPr>
          <w:lang w:val="fr-BE"/>
        </w:rPr>
        <w:tab/>
      </w:r>
      <w:r w:rsidR="00EE7F32" w:rsidRPr="00F407AF">
        <w:rPr>
          <w:lang w:val="fr-BE"/>
        </w:rPr>
        <w:t xml:space="preserve">Le présent règlement entre en vigueur le </w:t>
      </w:r>
      <w:r w:rsidR="009159E6" w:rsidRPr="00F407AF">
        <w:rPr>
          <w:lang w:val="fr-BE"/>
        </w:rPr>
        <w:t xml:space="preserve">troisième </w:t>
      </w:r>
      <w:r w:rsidR="00EE7F32" w:rsidRPr="00F407AF">
        <w:rPr>
          <w:lang w:val="fr-BE"/>
        </w:rPr>
        <w:t xml:space="preserve">jour suivant celui de sa publication au </w:t>
      </w:r>
      <w:r w:rsidR="00EE7F32" w:rsidRPr="00F407AF">
        <w:rPr>
          <w:i/>
          <w:iCs/>
          <w:lang w:val="fr-BE"/>
        </w:rPr>
        <w:t>Journal officiel de l'Union européenne</w:t>
      </w:r>
      <w:r w:rsidR="00EE7F32" w:rsidRPr="00F407AF">
        <w:rPr>
          <w:lang w:val="fr-BE"/>
        </w:rPr>
        <w:t>.</w:t>
      </w:r>
    </w:p>
    <w:p w:rsidR="00EE7F32" w:rsidRPr="00F407AF" w:rsidRDefault="00F407AF" w:rsidP="00F407AF">
      <w:pPr>
        <w:pStyle w:val="ManualNumPar1"/>
        <w:rPr>
          <w:lang w:val="fr-BE"/>
        </w:rPr>
      </w:pPr>
      <w:r w:rsidRPr="00F407AF">
        <w:rPr>
          <w:lang w:val="fr-BE"/>
        </w:rPr>
        <w:t>2.</w:t>
      </w:r>
      <w:r w:rsidR="007F2782" w:rsidRPr="00F407AF">
        <w:rPr>
          <w:lang w:val="fr-BE"/>
        </w:rPr>
        <w:tab/>
      </w:r>
      <w:r w:rsidR="00EE7F32" w:rsidRPr="00F407AF">
        <w:rPr>
          <w:lang w:val="fr-BE"/>
        </w:rPr>
        <w:t>Il est applicable à partir du 30 avril 2016, à l'exception des dispositions suivantes:</w:t>
      </w:r>
    </w:p>
    <w:p w:rsidR="00EE7F32" w:rsidRPr="00F407AF" w:rsidRDefault="00F407AF" w:rsidP="00F407AF">
      <w:pPr>
        <w:pStyle w:val="Point1"/>
        <w:rPr>
          <w:lang w:val="fr-BE"/>
        </w:rPr>
      </w:pPr>
      <w:r w:rsidRPr="00F407AF">
        <w:rPr>
          <w:lang w:val="fr-BE"/>
        </w:rPr>
        <w:t>a)</w:t>
      </w:r>
      <w:r w:rsidRPr="00F407AF">
        <w:rPr>
          <w:lang w:val="fr-BE"/>
        </w:rPr>
        <w:tab/>
      </w:r>
      <w:r w:rsidR="0055704D" w:rsidRPr="00F407AF">
        <w:rPr>
          <w:lang w:val="fr-BE"/>
        </w:rPr>
        <w:t>Dans l'hypothèse où l</w:t>
      </w:r>
      <w:r w:rsidRPr="00F407AF">
        <w:rPr>
          <w:lang w:val="fr-BE"/>
        </w:rPr>
        <w:t>'</w:t>
      </w:r>
      <w:r w:rsidR="0055704D" w:rsidRPr="00F407AF">
        <w:rPr>
          <w:lang w:val="fr-BE"/>
        </w:rPr>
        <w:t xml:space="preserve">acte législatif </w:t>
      </w:r>
      <w:r w:rsidR="00A04A3F" w:rsidRPr="00F407AF">
        <w:rPr>
          <w:lang w:val="fr-BE"/>
        </w:rPr>
        <w:t>devant être</w:t>
      </w:r>
      <w:r w:rsidR="009159E6" w:rsidRPr="00F407AF">
        <w:rPr>
          <w:lang w:val="fr-BE"/>
        </w:rPr>
        <w:t xml:space="preserve"> </w:t>
      </w:r>
      <w:r w:rsidR="0055704D" w:rsidRPr="00F407AF">
        <w:rPr>
          <w:lang w:val="fr-BE"/>
        </w:rPr>
        <w:t>adopt</w:t>
      </w:r>
      <w:r w:rsidR="00A04A3F" w:rsidRPr="00F407AF">
        <w:rPr>
          <w:lang w:val="fr-BE"/>
        </w:rPr>
        <w:t>é</w:t>
      </w:r>
      <w:r w:rsidR="0055704D" w:rsidRPr="00F407AF">
        <w:rPr>
          <w:lang w:val="fr-BE"/>
        </w:rPr>
        <w:t xml:space="preserve"> à la suite de la proposition visée à l</w:t>
      </w:r>
      <w:r w:rsidRPr="00F407AF">
        <w:rPr>
          <w:lang w:val="fr-BE"/>
        </w:rPr>
        <w:t>'</w:t>
      </w:r>
      <w:r w:rsidR="0055704D" w:rsidRPr="00F407AF">
        <w:rPr>
          <w:lang w:val="fr-BE"/>
        </w:rPr>
        <w:t>article 19, paragraphe 2, du règlement (UE) n° 531/2012 est applicable au 15 juin 2017, l</w:t>
      </w:r>
      <w:r w:rsidRPr="00F407AF">
        <w:rPr>
          <w:lang w:val="fr-BE"/>
        </w:rPr>
        <w:t>'</w:t>
      </w:r>
      <w:r w:rsidR="00914E62" w:rsidRPr="00F407AF">
        <w:rPr>
          <w:lang w:val="fr-BE"/>
        </w:rPr>
        <w:t>article 7, point 5</w:t>
      </w:r>
      <w:r w:rsidR="0055704D" w:rsidRPr="00F407AF">
        <w:rPr>
          <w:lang w:val="fr-BE"/>
        </w:rPr>
        <w:t>),</w:t>
      </w:r>
      <w:r w:rsidR="00914E62" w:rsidRPr="00F407AF">
        <w:rPr>
          <w:lang w:val="fr-BE"/>
        </w:rPr>
        <w:t xml:space="preserve"> du présent règlement</w:t>
      </w:r>
      <w:r w:rsidR="0055704D" w:rsidRPr="00F407AF">
        <w:rPr>
          <w:lang w:val="fr-BE"/>
        </w:rPr>
        <w:t>,</w:t>
      </w:r>
      <w:r w:rsidR="00914E62" w:rsidRPr="00F407AF">
        <w:rPr>
          <w:lang w:val="fr-BE"/>
        </w:rPr>
        <w:t xml:space="preserve"> en ce qui concerne l</w:t>
      </w:r>
      <w:r w:rsidR="0055704D" w:rsidRPr="00F407AF">
        <w:rPr>
          <w:lang w:val="fr-BE"/>
        </w:rPr>
        <w:t xml:space="preserve">es </w:t>
      </w:r>
      <w:r w:rsidR="00EE7F32" w:rsidRPr="00F407AF">
        <w:rPr>
          <w:lang w:val="fr-BE"/>
        </w:rPr>
        <w:t>article</w:t>
      </w:r>
      <w:r w:rsidR="0055704D" w:rsidRPr="00F407AF">
        <w:rPr>
          <w:lang w:val="fr-BE"/>
        </w:rPr>
        <w:t>s</w:t>
      </w:r>
      <w:r>
        <w:rPr>
          <w:lang w:val="fr-BE"/>
        </w:rPr>
        <w:t xml:space="preserve"> </w:t>
      </w:r>
      <w:r w:rsidR="00EE7F32" w:rsidRPr="00F407AF">
        <w:rPr>
          <w:lang w:val="fr-BE"/>
        </w:rPr>
        <w:t>6</w:t>
      </w:r>
      <w:r w:rsidR="00914E62" w:rsidRPr="00F407AF">
        <w:rPr>
          <w:lang w:val="fr-BE"/>
        </w:rPr>
        <w:t xml:space="preserve"> </w:t>
      </w:r>
      <w:r w:rsidR="00914E62" w:rsidRPr="00F407AF">
        <w:rPr>
          <w:i/>
          <w:iCs/>
          <w:lang w:val="fr-BE"/>
        </w:rPr>
        <w:t>bis</w:t>
      </w:r>
      <w:r w:rsidR="00914E62" w:rsidRPr="00F407AF">
        <w:rPr>
          <w:lang w:val="fr-BE"/>
        </w:rPr>
        <w:t xml:space="preserve"> à 6 </w:t>
      </w:r>
      <w:r w:rsidR="00914E62" w:rsidRPr="00F407AF">
        <w:rPr>
          <w:i/>
          <w:iCs/>
          <w:lang w:val="fr-BE"/>
        </w:rPr>
        <w:t>quinquies</w:t>
      </w:r>
      <w:r w:rsidR="00914E62" w:rsidRPr="00F407AF">
        <w:rPr>
          <w:lang w:val="fr-BE"/>
        </w:rPr>
        <w:t xml:space="preserve"> du règlement (UE) n° 531/2012</w:t>
      </w:r>
      <w:r w:rsidR="0055704D" w:rsidRPr="00F407AF">
        <w:rPr>
          <w:lang w:val="fr-BE"/>
        </w:rPr>
        <w:t>,</w:t>
      </w:r>
      <w:r w:rsidR="00914E62" w:rsidRPr="00F407AF">
        <w:rPr>
          <w:lang w:val="fr-BE"/>
        </w:rPr>
        <w:t xml:space="preserve"> l'article 7, </w:t>
      </w:r>
      <w:r w:rsidR="009159E6" w:rsidRPr="00F407AF">
        <w:rPr>
          <w:lang w:val="fr-BE"/>
        </w:rPr>
        <w:t>point 7 a) à c)</w:t>
      </w:r>
      <w:r w:rsidR="00A04A3F" w:rsidRPr="00F407AF">
        <w:rPr>
          <w:lang w:val="fr-BE"/>
        </w:rPr>
        <w:t>,</w:t>
      </w:r>
      <w:r w:rsidR="009159E6" w:rsidRPr="00F407AF">
        <w:rPr>
          <w:lang w:val="fr-BE"/>
        </w:rPr>
        <w:t xml:space="preserve"> du présent règle</w:t>
      </w:r>
      <w:r>
        <w:rPr>
          <w:lang w:val="fr-BE"/>
        </w:rPr>
        <w:t>ment et l'article 7, point 8 a)</w:t>
      </w:r>
      <w:r w:rsidR="009159E6" w:rsidRPr="00F407AF">
        <w:rPr>
          <w:lang w:val="fr-BE"/>
        </w:rPr>
        <w:t>, b) et d)</w:t>
      </w:r>
      <w:r w:rsidR="00A04A3F" w:rsidRPr="00F407AF">
        <w:rPr>
          <w:lang w:val="fr-BE"/>
        </w:rPr>
        <w:t>,</w:t>
      </w:r>
      <w:r w:rsidR="009159E6" w:rsidRPr="00F407AF">
        <w:rPr>
          <w:lang w:val="fr-BE"/>
        </w:rPr>
        <w:t xml:space="preserve"> </w:t>
      </w:r>
      <w:r w:rsidR="00914E62" w:rsidRPr="00F407AF">
        <w:rPr>
          <w:lang w:val="fr-BE"/>
        </w:rPr>
        <w:t xml:space="preserve">du présent règlement </w:t>
      </w:r>
      <w:r w:rsidR="00EB29B8" w:rsidRPr="00F407AF">
        <w:rPr>
          <w:lang w:val="fr-BE"/>
        </w:rPr>
        <w:t>s</w:t>
      </w:r>
      <w:r w:rsidRPr="00F407AF">
        <w:rPr>
          <w:lang w:val="fr-BE"/>
        </w:rPr>
        <w:t>'</w:t>
      </w:r>
      <w:r w:rsidR="00EB29B8" w:rsidRPr="00F407AF">
        <w:rPr>
          <w:lang w:val="fr-BE"/>
        </w:rPr>
        <w:t>applique</w:t>
      </w:r>
      <w:r w:rsidR="00EE7F32" w:rsidRPr="00F407AF">
        <w:rPr>
          <w:lang w:val="fr-BE"/>
        </w:rPr>
        <w:t xml:space="preserve"> à </w:t>
      </w:r>
      <w:r w:rsidR="0055704D" w:rsidRPr="00F407AF">
        <w:rPr>
          <w:lang w:val="fr-BE"/>
        </w:rPr>
        <w:t xml:space="preserve">partir </w:t>
      </w:r>
      <w:r w:rsidR="009159E6" w:rsidRPr="00F407AF">
        <w:rPr>
          <w:lang w:val="fr-BE"/>
        </w:rPr>
        <w:t xml:space="preserve">de </w:t>
      </w:r>
      <w:r w:rsidR="00EE7F32" w:rsidRPr="00F407AF">
        <w:rPr>
          <w:lang w:val="fr-BE"/>
        </w:rPr>
        <w:t>cette date.</w:t>
      </w:r>
    </w:p>
    <w:p w:rsidR="00EE7F32" w:rsidRPr="00F407AF" w:rsidRDefault="00EE7F32" w:rsidP="00F407AF">
      <w:pPr>
        <w:pStyle w:val="Text2"/>
        <w:rPr>
          <w:lang w:val="fr-BE"/>
        </w:rPr>
      </w:pPr>
      <w:r w:rsidRPr="00F407AF">
        <w:rPr>
          <w:lang w:val="fr-BE"/>
        </w:rPr>
        <w:t xml:space="preserve">Dans l'hypothèse où </w:t>
      </w:r>
      <w:r w:rsidR="0055704D" w:rsidRPr="00F407AF">
        <w:rPr>
          <w:lang w:val="fr-BE"/>
        </w:rPr>
        <w:t xml:space="preserve">ledit </w:t>
      </w:r>
      <w:r w:rsidRPr="00F407AF">
        <w:rPr>
          <w:lang w:val="fr-BE"/>
        </w:rPr>
        <w:t xml:space="preserve">acte législatif n'est pas applicable </w:t>
      </w:r>
      <w:r w:rsidR="0055704D" w:rsidRPr="00F407AF">
        <w:rPr>
          <w:lang w:val="fr-BE"/>
        </w:rPr>
        <w:t>au</w:t>
      </w:r>
      <w:r w:rsidRPr="00F407AF">
        <w:rPr>
          <w:lang w:val="fr-BE"/>
        </w:rPr>
        <w:t xml:space="preserve"> 15 juin 2017</w:t>
      </w:r>
      <w:r w:rsidR="00F407AF">
        <w:rPr>
          <w:lang w:val="fr-BE"/>
        </w:rPr>
        <w:t xml:space="preserve">, l'article </w:t>
      </w:r>
      <w:r w:rsidR="00914E62" w:rsidRPr="00F407AF">
        <w:rPr>
          <w:lang w:val="fr-BE"/>
        </w:rPr>
        <w:t>7</w:t>
      </w:r>
      <w:r w:rsidR="00F407AF">
        <w:rPr>
          <w:lang w:val="fr-BE"/>
        </w:rPr>
        <w:t xml:space="preserve">, point </w:t>
      </w:r>
      <w:r w:rsidR="00914E62" w:rsidRPr="00F407AF">
        <w:rPr>
          <w:lang w:val="fr-BE"/>
        </w:rPr>
        <w:t>5</w:t>
      </w:r>
      <w:r w:rsidRPr="00F407AF">
        <w:rPr>
          <w:lang w:val="fr-BE"/>
        </w:rPr>
        <w:t>)</w:t>
      </w:r>
      <w:r w:rsidR="0055704D" w:rsidRPr="00F407AF">
        <w:rPr>
          <w:lang w:val="fr-BE"/>
        </w:rPr>
        <w:t>,</w:t>
      </w:r>
      <w:r w:rsidR="00914E62" w:rsidRPr="00F407AF">
        <w:rPr>
          <w:lang w:val="fr-BE"/>
        </w:rPr>
        <w:t xml:space="preserve"> du présent règlement</w:t>
      </w:r>
      <w:r w:rsidR="00A04A3F" w:rsidRPr="00F407AF">
        <w:rPr>
          <w:lang w:val="fr-BE"/>
        </w:rPr>
        <w:t>, en ce qui concerne l</w:t>
      </w:r>
      <w:r w:rsidR="00F407AF" w:rsidRPr="00F407AF">
        <w:rPr>
          <w:lang w:val="fr-BE"/>
        </w:rPr>
        <w:t>'</w:t>
      </w:r>
      <w:r w:rsidR="00A04A3F" w:rsidRPr="00F407AF">
        <w:rPr>
          <w:lang w:val="fr-BE"/>
        </w:rPr>
        <w:t xml:space="preserve">article 6 </w:t>
      </w:r>
      <w:r w:rsidR="00A04A3F" w:rsidRPr="00F407AF">
        <w:rPr>
          <w:i/>
          <w:iCs/>
          <w:lang w:val="fr-BE"/>
        </w:rPr>
        <w:t>septies</w:t>
      </w:r>
      <w:r w:rsidR="00A04A3F" w:rsidRPr="00F407AF">
        <w:rPr>
          <w:lang w:val="fr-BE"/>
        </w:rPr>
        <w:t xml:space="preserve"> du règlement (UE) n° 531/2012,</w:t>
      </w:r>
      <w:r w:rsidR="00A53603" w:rsidRPr="00F407AF">
        <w:rPr>
          <w:lang w:val="fr-BE"/>
        </w:rPr>
        <w:t xml:space="preserve"> </w:t>
      </w:r>
      <w:r w:rsidR="0055704D" w:rsidRPr="00F407AF">
        <w:rPr>
          <w:lang w:val="fr-BE"/>
        </w:rPr>
        <w:t>continue de s</w:t>
      </w:r>
      <w:r w:rsidR="00F407AF" w:rsidRPr="00F407AF">
        <w:rPr>
          <w:lang w:val="fr-BE"/>
        </w:rPr>
        <w:t>'</w:t>
      </w:r>
      <w:r w:rsidR="0055704D" w:rsidRPr="00F407AF">
        <w:rPr>
          <w:lang w:val="fr-BE"/>
        </w:rPr>
        <w:t>appliquer</w:t>
      </w:r>
      <w:r w:rsidRPr="00F407AF">
        <w:rPr>
          <w:lang w:val="fr-BE"/>
        </w:rPr>
        <w:t xml:space="preserve"> jusqu'à ce que </w:t>
      </w:r>
      <w:r w:rsidR="0055704D" w:rsidRPr="00F407AF">
        <w:rPr>
          <w:lang w:val="fr-BE"/>
        </w:rPr>
        <w:t xml:space="preserve">ledit </w:t>
      </w:r>
      <w:r w:rsidRPr="00F407AF">
        <w:rPr>
          <w:lang w:val="fr-BE"/>
        </w:rPr>
        <w:t xml:space="preserve">acte législatif </w:t>
      </w:r>
      <w:r w:rsidR="0055704D" w:rsidRPr="00F407AF">
        <w:rPr>
          <w:lang w:val="fr-BE"/>
        </w:rPr>
        <w:t>devient applicable</w:t>
      </w:r>
      <w:r w:rsidRPr="00F407AF">
        <w:rPr>
          <w:lang w:val="fr-BE"/>
        </w:rPr>
        <w:t>.</w:t>
      </w:r>
    </w:p>
    <w:p w:rsidR="007F2782" w:rsidRPr="00F407AF" w:rsidRDefault="00F407AF" w:rsidP="00F407AF">
      <w:pPr>
        <w:pStyle w:val="Text2"/>
        <w:rPr>
          <w:lang w:val="fr-BE"/>
        </w:rPr>
      </w:pPr>
      <w:r>
        <w:rPr>
          <w:lang w:val="fr-BE"/>
        </w:rPr>
        <w:br w:type="page"/>
      </w:r>
      <w:r w:rsidR="00EE7F32" w:rsidRPr="00F407AF">
        <w:rPr>
          <w:lang w:val="fr-BE"/>
        </w:rPr>
        <w:lastRenderedPageBreak/>
        <w:t xml:space="preserve">Dans l'hypothèse où </w:t>
      </w:r>
      <w:r w:rsidR="0055704D" w:rsidRPr="00F407AF">
        <w:rPr>
          <w:lang w:val="fr-BE"/>
        </w:rPr>
        <w:t>ledi</w:t>
      </w:r>
      <w:r w:rsidR="00EE7F32" w:rsidRPr="00F407AF">
        <w:rPr>
          <w:lang w:val="fr-BE"/>
        </w:rPr>
        <w:t xml:space="preserve">t acte législatif </w:t>
      </w:r>
      <w:r w:rsidR="0055704D" w:rsidRPr="00F407AF">
        <w:rPr>
          <w:lang w:val="fr-BE"/>
        </w:rPr>
        <w:t>devient</w:t>
      </w:r>
      <w:r w:rsidR="00EE7F32" w:rsidRPr="00F407AF">
        <w:rPr>
          <w:lang w:val="fr-BE"/>
        </w:rPr>
        <w:t xml:space="preserve"> applicable après le 15 juin 2017, </w:t>
      </w:r>
      <w:r w:rsidR="0055704D" w:rsidRPr="00F407AF">
        <w:rPr>
          <w:lang w:val="fr-BE"/>
        </w:rPr>
        <w:t>l</w:t>
      </w:r>
      <w:r w:rsidRPr="00F407AF">
        <w:rPr>
          <w:lang w:val="fr-BE"/>
        </w:rPr>
        <w:t>'</w:t>
      </w:r>
      <w:r>
        <w:rPr>
          <w:lang w:val="fr-BE"/>
        </w:rPr>
        <w:t xml:space="preserve">article </w:t>
      </w:r>
      <w:r w:rsidR="00501DDA" w:rsidRPr="00F407AF">
        <w:rPr>
          <w:lang w:val="fr-BE"/>
        </w:rPr>
        <w:t>7</w:t>
      </w:r>
      <w:r>
        <w:rPr>
          <w:lang w:val="fr-BE"/>
        </w:rPr>
        <w:t xml:space="preserve">, points </w:t>
      </w:r>
      <w:r w:rsidR="00EE7F32" w:rsidRPr="00F407AF">
        <w:rPr>
          <w:lang w:val="fr-BE"/>
        </w:rPr>
        <w:t>5)</w:t>
      </w:r>
      <w:r w:rsidR="0055704D" w:rsidRPr="00F407AF">
        <w:rPr>
          <w:lang w:val="fr-BE"/>
        </w:rPr>
        <w:t>,</w:t>
      </w:r>
      <w:r w:rsidR="00EE7F32" w:rsidRPr="00F407AF">
        <w:rPr>
          <w:lang w:val="fr-BE"/>
        </w:rPr>
        <w:t xml:space="preserve"> </w:t>
      </w:r>
      <w:r w:rsidR="00501DDA" w:rsidRPr="00F407AF">
        <w:rPr>
          <w:lang w:val="fr-BE"/>
        </w:rPr>
        <w:t>du présent règlement</w:t>
      </w:r>
      <w:r w:rsidR="0055704D" w:rsidRPr="00F407AF">
        <w:rPr>
          <w:lang w:val="fr-BE"/>
        </w:rPr>
        <w:t>, en ce qui concerne</w:t>
      </w:r>
      <w:r w:rsidR="00501DDA" w:rsidRPr="00F407AF">
        <w:rPr>
          <w:lang w:val="fr-BE"/>
        </w:rPr>
        <w:t xml:space="preserve"> les articles 6 </w:t>
      </w:r>
      <w:r w:rsidR="00501DDA" w:rsidRPr="00F407AF">
        <w:rPr>
          <w:i/>
          <w:iCs/>
          <w:lang w:val="fr-BE"/>
        </w:rPr>
        <w:t>bis</w:t>
      </w:r>
      <w:r w:rsidR="00501DDA" w:rsidRPr="00F407AF">
        <w:rPr>
          <w:lang w:val="fr-BE"/>
        </w:rPr>
        <w:t xml:space="preserve"> à 6 </w:t>
      </w:r>
      <w:r w:rsidR="00501DDA" w:rsidRPr="00F407AF">
        <w:rPr>
          <w:i/>
          <w:iCs/>
          <w:lang w:val="fr-BE"/>
        </w:rPr>
        <w:t>quinquies</w:t>
      </w:r>
      <w:r w:rsidR="00501DDA" w:rsidRPr="00F407AF">
        <w:rPr>
          <w:lang w:val="fr-BE"/>
        </w:rPr>
        <w:t xml:space="preserve"> du règlement (UE) n° 531/2012</w:t>
      </w:r>
      <w:r w:rsidR="0055704D" w:rsidRPr="00F407AF">
        <w:rPr>
          <w:lang w:val="fr-BE"/>
        </w:rPr>
        <w:t>,</w:t>
      </w:r>
      <w:r w:rsidR="00501DDA" w:rsidRPr="00F407AF">
        <w:rPr>
          <w:lang w:val="fr-BE"/>
        </w:rPr>
        <w:t xml:space="preserve"> l'article 7</w:t>
      </w:r>
      <w:r>
        <w:rPr>
          <w:lang w:val="fr-BE"/>
        </w:rPr>
        <w:t xml:space="preserve"> point 7 </w:t>
      </w:r>
      <w:r w:rsidR="009159E6" w:rsidRPr="00F407AF">
        <w:rPr>
          <w:lang w:val="fr-BE"/>
        </w:rPr>
        <w:t>a) à c)</w:t>
      </w:r>
      <w:r w:rsidR="00A04A3F" w:rsidRPr="00F407AF">
        <w:rPr>
          <w:lang w:val="fr-BE"/>
        </w:rPr>
        <w:t xml:space="preserve">, </w:t>
      </w:r>
      <w:r w:rsidR="00640C1D" w:rsidRPr="00F407AF">
        <w:rPr>
          <w:lang w:val="fr-BE"/>
        </w:rPr>
        <w:t>du présent règle</w:t>
      </w:r>
      <w:r>
        <w:rPr>
          <w:lang w:val="fr-BE"/>
        </w:rPr>
        <w:t>ment et l'article 7, point 8 a)</w:t>
      </w:r>
      <w:r w:rsidR="00640C1D" w:rsidRPr="00F407AF">
        <w:rPr>
          <w:lang w:val="fr-BE"/>
        </w:rPr>
        <w:t>, b) et d)</w:t>
      </w:r>
      <w:r w:rsidR="0055704D" w:rsidRPr="00F407AF">
        <w:rPr>
          <w:lang w:val="fr-BE"/>
        </w:rPr>
        <w:t>,</w:t>
      </w:r>
      <w:r w:rsidR="00501DDA" w:rsidRPr="00F407AF">
        <w:rPr>
          <w:lang w:val="fr-BE"/>
        </w:rPr>
        <w:t xml:space="preserve"> du présent règlement</w:t>
      </w:r>
      <w:r w:rsidR="00EE7F32" w:rsidRPr="00F407AF">
        <w:rPr>
          <w:lang w:val="fr-BE"/>
        </w:rPr>
        <w:t xml:space="preserve"> s'applique à partir de la date d'application </w:t>
      </w:r>
      <w:r w:rsidR="0055704D" w:rsidRPr="00F407AF">
        <w:rPr>
          <w:lang w:val="fr-BE"/>
        </w:rPr>
        <w:t xml:space="preserve">dudit </w:t>
      </w:r>
      <w:r w:rsidR="00EE7F32" w:rsidRPr="00F407AF">
        <w:rPr>
          <w:lang w:val="fr-BE"/>
        </w:rPr>
        <w:t>acte législatif;</w:t>
      </w:r>
    </w:p>
    <w:p w:rsidR="00EE7F32" w:rsidRPr="00F407AF" w:rsidRDefault="00AD3672" w:rsidP="00F407AF">
      <w:pPr>
        <w:pStyle w:val="Point1"/>
        <w:rPr>
          <w:lang w:val="fr-BE"/>
        </w:rPr>
      </w:pPr>
      <w:r w:rsidRPr="00F407AF">
        <w:rPr>
          <w:lang w:val="fr-BE"/>
        </w:rPr>
        <w:t>b)</w:t>
      </w:r>
      <w:r w:rsidR="00EE7F32" w:rsidRPr="00F407AF">
        <w:rPr>
          <w:lang w:val="fr-BE"/>
        </w:rPr>
        <w:tab/>
        <w:t xml:space="preserve">la délégation de compétences d'exécution à la Commission </w:t>
      </w:r>
      <w:r w:rsidR="0055704D" w:rsidRPr="00F407AF">
        <w:rPr>
          <w:lang w:val="fr-BE"/>
        </w:rPr>
        <w:t>prévue</w:t>
      </w:r>
      <w:r w:rsidR="00AC47EE" w:rsidRPr="00F407AF">
        <w:rPr>
          <w:lang w:val="fr-BE"/>
        </w:rPr>
        <w:t xml:space="preserve"> à </w:t>
      </w:r>
      <w:r w:rsidR="009A4A66" w:rsidRPr="00F407AF">
        <w:rPr>
          <w:lang w:val="fr-BE"/>
        </w:rPr>
        <w:t>l'article 7</w:t>
      </w:r>
      <w:r w:rsidR="00AC47EE" w:rsidRPr="00F407AF">
        <w:rPr>
          <w:lang w:val="fr-BE"/>
        </w:rPr>
        <w:t>, po</w:t>
      </w:r>
      <w:r w:rsidR="0055704D" w:rsidRPr="00F407AF">
        <w:rPr>
          <w:lang w:val="fr-BE"/>
        </w:rPr>
        <w:t>i</w:t>
      </w:r>
      <w:r w:rsidR="00AC47EE" w:rsidRPr="00F407AF">
        <w:rPr>
          <w:lang w:val="fr-BE"/>
        </w:rPr>
        <w:t>nt 4</w:t>
      </w:r>
      <w:r w:rsidR="00EB29B8" w:rsidRPr="00F407AF">
        <w:rPr>
          <w:lang w:val="fr-BE"/>
        </w:rPr>
        <w:t>)</w:t>
      </w:r>
      <w:r w:rsidR="00AC47EE" w:rsidRPr="00F407AF">
        <w:rPr>
          <w:lang w:val="fr-BE"/>
        </w:rPr>
        <w:t xml:space="preserve"> c),</w:t>
      </w:r>
      <w:r w:rsidR="009A4A66" w:rsidRPr="00F407AF">
        <w:rPr>
          <w:lang w:val="fr-BE"/>
        </w:rPr>
        <w:t xml:space="preserve"> du présent règlement, </w:t>
      </w:r>
      <w:r w:rsidR="00AC47EE" w:rsidRPr="00F407AF">
        <w:rPr>
          <w:lang w:val="fr-BE"/>
        </w:rPr>
        <w:t xml:space="preserve">et à l'article 7, </w:t>
      </w:r>
      <w:r w:rsidR="009A4A66" w:rsidRPr="00F407AF">
        <w:rPr>
          <w:lang w:val="fr-BE"/>
        </w:rPr>
        <w:t>point 5</w:t>
      </w:r>
      <w:r w:rsidR="0055704D" w:rsidRPr="00F407AF">
        <w:rPr>
          <w:lang w:val="fr-BE"/>
        </w:rPr>
        <w:t>),</w:t>
      </w:r>
      <w:r w:rsidR="009A4A66" w:rsidRPr="00F407AF">
        <w:rPr>
          <w:lang w:val="fr-BE"/>
        </w:rPr>
        <w:t xml:space="preserve"> du présent règlement, </w:t>
      </w:r>
      <w:r w:rsidR="0055704D" w:rsidRPr="00F407AF">
        <w:rPr>
          <w:lang w:val="fr-BE"/>
        </w:rPr>
        <w:t xml:space="preserve">en ce qui </w:t>
      </w:r>
      <w:r w:rsidR="00AC47EE" w:rsidRPr="00F407AF">
        <w:rPr>
          <w:lang w:val="fr-BE"/>
        </w:rPr>
        <w:t>concern</w:t>
      </w:r>
      <w:r w:rsidR="0055704D" w:rsidRPr="00F407AF">
        <w:rPr>
          <w:lang w:val="fr-BE"/>
        </w:rPr>
        <w:t>e</w:t>
      </w:r>
      <w:r w:rsidR="00AC47EE" w:rsidRPr="00F407AF">
        <w:rPr>
          <w:lang w:val="fr-BE"/>
        </w:rPr>
        <w:t xml:space="preserve"> l</w:t>
      </w:r>
      <w:r w:rsidR="009A4A66" w:rsidRPr="00F407AF">
        <w:rPr>
          <w:lang w:val="fr-BE"/>
        </w:rPr>
        <w:t>es articles 6</w:t>
      </w:r>
      <w:r w:rsidR="0055704D" w:rsidRPr="00F407AF">
        <w:rPr>
          <w:lang w:val="fr-BE"/>
        </w:rPr>
        <w:t xml:space="preserve"> </w:t>
      </w:r>
      <w:r w:rsidR="00AC47EE" w:rsidRPr="00F407AF">
        <w:rPr>
          <w:i/>
          <w:iCs/>
          <w:lang w:val="fr-BE"/>
        </w:rPr>
        <w:t>quinquies</w:t>
      </w:r>
      <w:r w:rsidR="00AC47EE" w:rsidRPr="00F407AF">
        <w:rPr>
          <w:lang w:val="fr-BE"/>
        </w:rPr>
        <w:t xml:space="preserve"> </w:t>
      </w:r>
      <w:r w:rsidR="009A4A66" w:rsidRPr="00F407AF">
        <w:rPr>
          <w:lang w:val="fr-BE"/>
        </w:rPr>
        <w:t>et 6</w:t>
      </w:r>
      <w:r w:rsidR="0055704D" w:rsidRPr="00F407AF">
        <w:rPr>
          <w:lang w:val="fr-BE"/>
        </w:rPr>
        <w:t xml:space="preserve"> </w:t>
      </w:r>
      <w:r w:rsidR="00AC47EE" w:rsidRPr="00F407AF">
        <w:rPr>
          <w:i/>
          <w:iCs/>
          <w:lang w:val="fr-BE"/>
        </w:rPr>
        <w:t>sexies</w:t>
      </w:r>
      <w:r w:rsidR="00AC47EE" w:rsidRPr="00F407AF">
        <w:rPr>
          <w:lang w:val="fr-BE"/>
        </w:rPr>
        <w:t>, paragraphe 2,</w:t>
      </w:r>
      <w:r w:rsidR="00F407AF">
        <w:rPr>
          <w:lang w:val="fr-BE"/>
        </w:rPr>
        <w:t xml:space="preserve"> du règlement (UE) n° </w:t>
      </w:r>
      <w:r w:rsidR="009A4A66" w:rsidRPr="00F407AF">
        <w:rPr>
          <w:lang w:val="fr-BE"/>
        </w:rPr>
        <w:t>531/2012</w:t>
      </w:r>
      <w:r w:rsidR="0055704D" w:rsidRPr="00F407AF">
        <w:rPr>
          <w:lang w:val="fr-BE"/>
        </w:rPr>
        <w:t>, s</w:t>
      </w:r>
      <w:r w:rsidR="00F407AF" w:rsidRPr="00F407AF">
        <w:rPr>
          <w:lang w:val="fr-BE"/>
        </w:rPr>
        <w:t>'</w:t>
      </w:r>
      <w:r w:rsidR="0055704D" w:rsidRPr="00F407AF">
        <w:rPr>
          <w:lang w:val="fr-BE"/>
        </w:rPr>
        <w:t xml:space="preserve">applique </w:t>
      </w:r>
      <w:r w:rsidR="009159E6" w:rsidRPr="00F407AF">
        <w:rPr>
          <w:lang w:val="fr-BE"/>
        </w:rPr>
        <w:t>à partir du …</w:t>
      </w:r>
      <w:r w:rsidR="009159E6" w:rsidRPr="00F407AF">
        <w:rPr>
          <w:b/>
          <w:bCs/>
          <w:vertAlign w:val="superscript"/>
          <w:lang w:val="fr-BE"/>
        </w:rPr>
        <w:t>*</w:t>
      </w:r>
      <w:r w:rsidR="00EE7F32" w:rsidRPr="00F407AF">
        <w:rPr>
          <w:lang w:val="fr-BE"/>
        </w:rPr>
        <w:t>;</w:t>
      </w:r>
    </w:p>
    <w:p w:rsidR="00EE7F32" w:rsidRPr="00F407AF" w:rsidRDefault="00AD3672" w:rsidP="00F407AF">
      <w:pPr>
        <w:pStyle w:val="Point1"/>
        <w:rPr>
          <w:lang w:val="fr-BE"/>
        </w:rPr>
      </w:pPr>
      <w:r w:rsidRPr="00F407AF">
        <w:rPr>
          <w:lang w:val="fr-BE"/>
        </w:rPr>
        <w:t>c)</w:t>
      </w:r>
      <w:r w:rsidR="00EE7F32" w:rsidRPr="00F407AF">
        <w:rPr>
          <w:lang w:val="fr-BE"/>
        </w:rPr>
        <w:tab/>
      </w:r>
      <w:r w:rsidR="0055704D" w:rsidRPr="00F407AF">
        <w:rPr>
          <w:lang w:val="fr-BE"/>
        </w:rPr>
        <w:t>l</w:t>
      </w:r>
      <w:r w:rsidR="00EE7F32" w:rsidRPr="00F407AF">
        <w:rPr>
          <w:lang w:val="fr-BE"/>
        </w:rPr>
        <w:t xml:space="preserve">'article </w:t>
      </w:r>
      <w:r w:rsidR="009A4A66" w:rsidRPr="00F407AF">
        <w:rPr>
          <w:lang w:val="fr-BE"/>
        </w:rPr>
        <w:t>5</w:t>
      </w:r>
      <w:r w:rsidR="00EE7F32" w:rsidRPr="00F407AF">
        <w:rPr>
          <w:lang w:val="fr-BE"/>
        </w:rPr>
        <w:t xml:space="preserve">, </w:t>
      </w:r>
      <w:r w:rsidR="00F407AF">
        <w:rPr>
          <w:lang w:val="fr-BE"/>
        </w:rPr>
        <w:t xml:space="preserve">paragraphe </w:t>
      </w:r>
      <w:r w:rsidR="009A4A66" w:rsidRPr="00F407AF">
        <w:rPr>
          <w:lang w:val="fr-BE"/>
        </w:rPr>
        <w:t>3</w:t>
      </w:r>
      <w:r w:rsidR="00EE7F32" w:rsidRPr="00F407AF">
        <w:rPr>
          <w:lang w:val="fr-BE"/>
        </w:rPr>
        <w:t xml:space="preserve">), </w:t>
      </w:r>
      <w:r w:rsidR="0055704D" w:rsidRPr="00F407AF">
        <w:rPr>
          <w:lang w:val="fr-BE"/>
        </w:rPr>
        <w:t>s</w:t>
      </w:r>
      <w:r w:rsidR="00F407AF" w:rsidRPr="00F407AF">
        <w:rPr>
          <w:lang w:val="fr-BE"/>
        </w:rPr>
        <w:t>'</w:t>
      </w:r>
      <w:r w:rsidR="0055704D" w:rsidRPr="00F407AF">
        <w:rPr>
          <w:lang w:val="fr-BE"/>
        </w:rPr>
        <w:t>applique</w:t>
      </w:r>
      <w:r w:rsidR="00EE7F32" w:rsidRPr="00F407AF">
        <w:rPr>
          <w:lang w:val="fr-BE"/>
        </w:rPr>
        <w:t xml:space="preserve"> à partir </w:t>
      </w:r>
      <w:r w:rsidR="009159E6" w:rsidRPr="00F407AF">
        <w:rPr>
          <w:lang w:val="fr-BE"/>
        </w:rPr>
        <w:t>du …</w:t>
      </w:r>
      <w:r w:rsidR="009159E6" w:rsidRPr="00F407AF">
        <w:rPr>
          <w:b/>
          <w:bCs/>
          <w:vertAlign w:val="superscript"/>
          <w:lang w:val="fr-BE"/>
        </w:rPr>
        <w:t>*</w:t>
      </w:r>
      <w:r w:rsidR="00EE7F32" w:rsidRPr="00F407AF">
        <w:rPr>
          <w:lang w:val="fr-BE"/>
        </w:rPr>
        <w:t>;</w:t>
      </w:r>
    </w:p>
    <w:p w:rsidR="00EE7F32" w:rsidRPr="00F407AF" w:rsidRDefault="00AD3672" w:rsidP="00F407AF">
      <w:pPr>
        <w:pStyle w:val="Point1"/>
        <w:rPr>
          <w:lang w:val="fr-BE"/>
        </w:rPr>
      </w:pPr>
      <w:r w:rsidRPr="00F407AF">
        <w:rPr>
          <w:lang w:val="fr-BE"/>
        </w:rPr>
        <w:t>d)</w:t>
      </w:r>
      <w:r w:rsidR="00EE7F32" w:rsidRPr="00F407AF">
        <w:rPr>
          <w:lang w:val="fr-BE"/>
        </w:rPr>
        <w:tab/>
      </w:r>
      <w:r w:rsidR="009A4A66" w:rsidRPr="00F407AF">
        <w:rPr>
          <w:lang w:val="fr-BE"/>
        </w:rPr>
        <w:t>l'article 7</w:t>
      </w:r>
      <w:r w:rsidR="00AC47EE" w:rsidRPr="00F407AF">
        <w:rPr>
          <w:lang w:val="fr-BE"/>
        </w:rPr>
        <w:t>, point 10)</w:t>
      </w:r>
      <w:r w:rsidR="0055704D" w:rsidRPr="00F407AF">
        <w:rPr>
          <w:lang w:val="fr-BE"/>
        </w:rPr>
        <w:t>,</w:t>
      </w:r>
      <w:r w:rsidR="009A4A66" w:rsidRPr="00F407AF">
        <w:rPr>
          <w:lang w:val="fr-BE"/>
        </w:rPr>
        <w:t xml:space="preserve"> du présent règlement</w:t>
      </w:r>
      <w:r w:rsidR="0055704D" w:rsidRPr="00F407AF">
        <w:rPr>
          <w:lang w:val="fr-BE"/>
        </w:rPr>
        <w:t xml:space="preserve"> s</w:t>
      </w:r>
      <w:r w:rsidR="00F407AF" w:rsidRPr="00F407AF">
        <w:rPr>
          <w:lang w:val="fr-BE"/>
        </w:rPr>
        <w:t>'</w:t>
      </w:r>
      <w:r w:rsidR="0055704D" w:rsidRPr="00F407AF">
        <w:rPr>
          <w:lang w:val="fr-BE"/>
        </w:rPr>
        <w:t>applique</w:t>
      </w:r>
      <w:r w:rsidR="009A4A66" w:rsidRPr="00F407AF">
        <w:rPr>
          <w:lang w:val="fr-BE"/>
        </w:rPr>
        <w:t xml:space="preserve"> </w:t>
      </w:r>
      <w:r w:rsidR="00EE7F32" w:rsidRPr="00F407AF">
        <w:rPr>
          <w:lang w:val="fr-BE"/>
        </w:rPr>
        <w:t xml:space="preserve">à partir </w:t>
      </w:r>
      <w:r w:rsidR="009159E6" w:rsidRPr="00F407AF">
        <w:rPr>
          <w:lang w:val="fr-BE"/>
        </w:rPr>
        <w:t>du …</w:t>
      </w:r>
      <w:r w:rsidR="009159E6" w:rsidRPr="00F407AF">
        <w:rPr>
          <w:b/>
          <w:bCs/>
          <w:vertAlign w:val="superscript"/>
          <w:lang w:val="fr-BE"/>
        </w:rPr>
        <w:t>*</w:t>
      </w:r>
      <w:r w:rsidR="00EE7F32" w:rsidRPr="00F407AF">
        <w:rPr>
          <w:lang w:val="fr-BE"/>
        </w:rPr>
        <w:t>.</w:t>
      </w:r>
    </w:p>
    <w:p w:rsidR="00EE7F32" w:rsidRPr="00F407AF" w:rsidRDefault="009A4A66" w:rsidP="00F407AF">
      <w:pPr>
        <w:pStyle w:val="ManualNumPar1"/>
        <w:rPr>
          <w:lang w:val="fr-BE"/>
        </w:rPr>
      </w:pPr>
      <w:r w:rsidRPr="00F407AF">
        <w:rPr>
          <w:lang w:val="fr-BE"/>
        </w:rPr>
        <w:t>3</w:t>
      </w:r>
      <w:r w:rsidR="00EE7F32" w:rsidRPr="00F407AF">
        <w:rPr>
          <w:lang w:val="fr-BE"/>
        </w:rPr>
        <w:t>.</w:t>
      </w:r>
      <w:r w:rsidR="00EE7F32" w:rsidRPr="00F407AF">
        <w:rPr>
          <w:lang w:val="fr-BE"/>
        </w:rPr>
        <w:tab/>
        <w:t xml:space="preserve">Les États membres peuvent maintenir jusqu'au 31 décembre 2016 </w:t>
      </w:r>
      <w:r w:rsidR="00F617FE" w:rsidRPr="00F407AF">
        <w:rPr>
          <w:lang w:val="fr-BE"/>
        </w:rPr>
        <w:t>d</w:t>
      </w:r>
      <w:r w:rsidR="00F407AF">
        <w:rPr>
          <w:lang w:val="fr-BE"/>
        </w:rPr>
        <w:t xml:space="preserve">es mesures nationales, y </w:t>
      </w:r>
      <w:r w:rsidR="00EE7F32" w:rsidRPr="00F407AF">
        <w:rPr>
          <w:lang w:val="fr-BE"/>
        </w:rPr>
        <w:t>compris des systèmes d'autoréglementation, instaurées avant</w:t>
      </w:r>
      <w:r w:rsidR="0072189A" w:rsidRPr="00F407AF">
        <w:rPr>
          <w:lang w:val="fr-BE"/>
        </w:rPr>
        <w:t xml:space="preserve"> le …</w:t>
      </w:r>
      <w:r w:rsidRPr="00F407AF">
        <w:rPr>
          <w:b/>
          <w:bCs/>
          <w:vertAlign w:val="superscript"/>
          <w:lang w:val="fr-BE"/>
        </w:rPr>
        <w:footnoteReference w:customMarkFollows="1" w:id="15"/>
        <w:t>*</w:t>
      </w:r>
      <w:r w:rsidR="00AC47EE" w:rsidRPr="00F407AF">
        <w:rPr>
          <w:lang w:val="fr-BE"/>
        </w:rPr>
        <w:t xml:space="preserve">, </w:t>
      </w:r>
      <w:r w:rsidR="00EE7F32" w:rsidRPr="00F407AF">
        <w:rPr>
          <w:lang w:val="fr-BE"/>
        </w:rPr>
        <w:t xml:space="preserve">qui ne </w:t>
      </w:r>
      <w:r w:rsidR="00F617FE" w:rsidRPr="00F407AF">
        <w:rPr>
          <w:lang w:val="fr-BE"/>
        </w:rPr>
        <w:t>respectent pas</w:t>
      </w:r>
      <w:r w:rsidR="00F407AF">
        <w:rPr>
          <w:lang w:val="fr-BE"/>
        </w:rPr>
        <w:t xml:space="preserve"> l'article 3, paragraphe </w:t>
      </w:r>
      <w:r w:rsidR="00EE7F32" w:rsidRPr="00F407AF">
        <w:rPr>
          <w:lang w:val="fr-BE"/>
        </w:rPr>
        <w:t>2 ou 3. Les États membres concernés notifient ces mesures à la Commission au plus tard le 30 avril 2016.</w:t>
      </w:r>
    </w:p>
    <w:p w:rsidR="00EE7F32" w:rsidRPr="00F407AF" w:rsidRDefault="00F407AF" w:rsidP="007768E7">
      <w:pPr>
        <w:pStyle w:val="ManualNumPar1"/>
        <w:rPr>
          <w:lang w:val="fr-BE"/>
        </w:rPr>
      </w:pPr>
      <w:r>
        <w:rPr>
          <w:lang w:val="fr-BE"/>
        </w:rPr>
        <w:br w:type="page"/>
      </w:r>
      <w:r w:rsidR="009A4A66" w:rsidRPr="00F407AF">
        <w:rPr>
          <w:lang w:val="fr-BE"/>
        </w:rPr>
        <w:lastRenderedPageBreak/>
        <w:t>4</w:t>
      </w:r>
      <w:r w:rsidR="00AD3672" w:rsidRPr="00F407AF">
        <w:rPr>
          <w:lang w:val="fr-BE"/>
        </w:rPr>
        <w:t>.</w:t>
      </w:r>
      <w:r w:rsidR="00EE7F32" w:rsidRPr="00F407AF">
        <w:rPr>
          <w:lang w:val="fr-BE"/>
        </w:rPr>
        <w:tab/>
        <w:t>Les dispositions du règlement d'exécution (UE) n° 1203/2012 de la Commission</w:t>
      </w:r>
      <w:r w:rsidR="00EE7F32" w:rsidRPr="007768E7">
        <w:rPr>
          <w:rStyle w:val="FootnoteReference"/>
        </w:rPr>
        <w:footnoteReference w:id="16"/>
      </w:r>
      <w:r w:rsidR="00EE7F32" w:rsidRPr="00F407AF">
        <w:rPr>
          <w:lang w:val="fr-BE"/>
        </w:rPr>
        <w:t xml:space="preserve"> en ce qui concerne la modalité technique permettant de mettre en œuvre l'accès aux services locaux de données en itinérance sur un réseau visité continuent de s'appliquer aux fins de la vente séparée de services </w:t>
      </w:r>
      <w:r w:rsidR="00F617FE" w:rsidRPr="00F407AF">
        <w:rPr>
          <w:lang w:val="fr-BE"/>
        </w:rPr>
        <w:t xml:space="preserve">de données en </w:t>
      </w:r>
      <w:r w:rsidR="00EE7F32" w:rsidRPr="00F407AF">
        <w:rPr>
          <w:lang w:val="fr-BE"/>
        </w:rPr>
        <w:t xml:space="preserve">itinérance au détail réglementés jusqu'à l'adoption de l'acte d'exécution visé à l'article </w:t>
      </w:r>
      <w:r w:rsidR="00F617FE" w:rsidRPr="00F407AF">
        <w:rPr>
          <w:lang w:val="fr-BE"/>
        </w:rPr>
        <w:t>7</w:t>
      </w:r>
      <w:r>
        <w:rPr>
          <w:lang w:val="fr-BE"/>
        </w:rPr>
        <w:t xml:space="preserve">, point </w:t>
      </w:r>
      <w:r w:rsidR="00F617FE" w:rsidRPr="00F407AF">
        <w:rPr>
          <w:lang w:val="fr-BE"/>
        </w:rPr>
        <w:t>4</w:t>
      </w:r>
      <w:r>
        <w:rPr>
          <w:lang w:val="fr-BE"/>
        </w:rPr>
        <w:t xml:space="preserve">) </w:t>
      </w:r>
      <w:r w:rsidR="00EE7F32" w:rsidRPr="00F407AF">
        <w:rPr>
          <w:lang w:val="fr-BE"/>
        </w:rPr>
        <w:t>c), du présent règlement.</w:t>
      </w:r>
    </w:p>
    <w:p w:rsidR="00EE7F32" w:rsidRPr="00F407AF" w:rsidRDefault="00EE7F32" w:rsidP="00F407AF">
      <w:pPr>
        <w:pStyle w:val="Applicationdirecte"/>
        <w:rPr>
          <w:lang w:val="fr-BE"/>
        </w:rPr>
      </w:pPr>
      <w:r w:rsidRPr="00F407AF">
        <w:rPr>
          <w:lang w:val="fr-BE"/>
        </w:rPr>
        <w:t>Le présent règlement est obligatoire dans tous ses éléments et directement applicable dans tout État membre.</w:t>
      </w:r>
    </w:p>
    <w:p w:rsidR="00EE7F32" w:rsidRPr="00CF3546" w:rsidRDefault="00EE7F32" w:rsidP="00F407AF">
      <w:pPr>
        <w:pStyle w:val="Fait"/>
        <w:rPr>
          <w:lang w:val="fr-BE"/>
        </w:rPr>
      </w:pPr>
      <w:r w:rsidRPr="00CF3546">
        <w:rPr>
          <w:lang w:val="fr-BE"/>
        </w:rPr>
        <w:t xml:space="preserve">Fait </w:t>
      </w:r>
      <w:r w:rsidR="009159E6" w:rsidRPr="00CF3546">
        <w:rPr>
          <w:lang w:val="fr-BE"/>
        </w:rPr>
        <w:t>…</w:t>
      </w:r>
      <w:r w:rsidRPr="00CF3546">
        <w:rPr>
          <w:lang w:val="fr-BE"/>
        </w:rPr>
        <w:t>, le</w:t>
      </w:r>
    </w:p>
    <w:p w:rsidR="00EE7F32" w:rsidRPr="00F407AF" w:rsidRDefault="00EE7F32" w:rsidP="00AD3672">
      <w:pPr>
        <w:pStyle w:val="Institutionquisigne"/>
        <w:rPr>
          <w:lang w:val="fr-BE"/>
        </w:rPr>
      </w:pPr>
      <w:r w:rsidRPr="00F407AF">
        <w:rPr>
          <w:lang w:val="fr-BE"/>
        </w:rPr>
        <w:t>Par le Parlement européen</w:t>
      </w:r>
      <w:r w:rsidRPr="00F407AF">
        <w:rPr>
          <w:lang w:val="fr-BE"/>
        </w:rPr>
        <w:tab/>
        <w:t>Par le Conseil</w:t>
      </w:r>
    </w:p>
    <w:p w:rsidR="00EE7F32" w:rsidRPr="00F407AF" w:rsidRDefault="00EE7F32" w:rsidP="00F407AF">
      <w:pPr>
        <w:pStyle w:val="Personnequisigne"/>
      </w:pPr>
      <w:r w:rsidRPr="00F407AF">
        <w:t>Le président</w:t>
      </w:r>
      <w:r w:rsidRPr="00F407AF">
        <w:tab/>
        <w:t>Le président</w:t>
      </w:r>
    </w:p>
    <w:p w:rsidR="00EE7F32" w:rsidRPr="00796A51" w:rsidRDefault="00EE7F32" w:rsidP="00F407AF">
      <w:pPr>
        <w:pStyle w:val="Lignefinal"/>
      </w:pPr>
    </w:p>
    <w:sectPr w:rsidR="00EE7F32" w:rsidRPr="00796A51" w:rsidSect="00273126">
      <w:headerReference w:type="default" r:id="rId1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EF" w:rsidRDefault="00D62FEF" w:rsidP="005F3E84">
      <w:pPr>
        <w:spacing w:before="0" w:after="0" w:line="240" w:lineRule="auto"/>
      </w:pPr>
      <w:r>
        <w:separator/>
      </w:r>
    </w:p>
  </w:endnote>
  <w:endnote w:type="continuationSeparator" w:id="0">
    <w:p w:rsidR="00D62FEF" w:rsidRDefault="00D62FEF" w:rsidP="005F3E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73126" w:rsidRPr="0035025C" w:rsidTr="00273126">
      <w:trPr>
        <w:jc w:val="center"/>
      </w:trPr>
      <w:tc>
        <w:tcPr>
          <w:tcW w:w="5000" w:type="pct"/>
          <w:gridSpan w:val="7"/>
          <w:shd w:val="clear" w:color="auto" w:fill="auto"/>
          <w:tcMar>
            <w:top w:w="57" w:type="dxa"/>
          </w:tcMar>
        </w:tcPr>
        <w:p w:rsidR="00273126" w:rsidRPr="0035025C" w:rsidRDefault="00273126" w:rsidP="0035025C">
          <w:pPr>
            <w:pStyle w:val="FooterText"/>
            <w:pBdr>
              <w:top w:val="single" w:sz="4" w:space="1" w:color="auto"/>
            </w:pBdr>
            <w:spacing w:before="200"/>
            <w:rPr>
              <w:sz w:val="2"/>
              <w:szCs w:val="2"/>
            </w:rPr>
          </w:pPr>
          <w:bookmarkStart w:id="2" w:name="FOOTER_LEGACTS"/>
        </w:p>
      </w:tc>
    </w:tr>
    <w:tr w:rsidR="00273126" w:rsidRPr="00B310DC" w:rsidTr="00273126">
      <w:trPr>
        <w:jc w:val="center"/>
      </w:trPr>
      <w:tc>
        <w:tcPr>
          <w:tcW w:w="2500" w:type="pct"/>
          <w:gridSpan w:val="2"/>
          <w:shd w:val="clear" w:color="auto" w:fill="auto"/>
          <w:tcMar>
            <w:top w:w="0" w:type="dxa"/>
          </w:tcMar>
        </w:tcPr>
        <w:p w:rsidR="00273126" w:rsidRPr="00AD7BF2" w:rsidRDefault="00273126" w:rsidP="0035025C">
          <w:pPr>
            <w:pStyle w:val="FooterText"/>
          </w:pPr>
          <w:r>
            <w:t xml:space="preserve">10788/2/15 REV 2 </w:t>
          </w:r>
        </w:p>
      </w:tc>
      <w:tc>
        <w:tcPr>
          <w:tcW w:w="625" w:type="pct"/>
          <w:shd w:val="clear" w:color="auto" w:fill="auto"/>
          <w:tcMar>
            <w:top w:w="0" w:type="dxa"/>
          </w:tcMar>
        </w:tcPr>
        <w:p w:rsidR="00273126" w:rsidRPr="00AD7BF2" w:rsidRDefault="00273126" w:rsidP="0035025C">
          <w:pPr>
            <w:pStyle w:val="FooterText"/>
            <w:jc w:val="center"/>
          </w:pPr>
        </w:p>
      </w:tc>
      <w:tc>
        <w:tcPr>
          <w:tcW w:w="1287" w:type="pct"/>
          <w:gridSpan w:val="3"/>
          <w:shd w:val="clear" w:color="auto" w:fill="auto"/>
          <w:tcMar>
            <w:top w:w="0" w:type="dxa"/>
          </w:tcMar>
        </w:tcPr>
        <w:p w:rsidR="00273126" w:rsidRPr="002511D8" w:rsidRDefault="00273126" w:rsidP="0035025C">
          <w:pPr>
            <w:pStyle w:val="FooterText"/>
            <w:jc w:val="center"/>
          </w:pPr>
          <w:r>
            <w:t>EZ/gt</w:t>
          </w:r>
        </w:p>
      </w:tc>
      <w:tc>
        <w:tcPr>
          <w:tcW w:w="588" w:type="pct"/>
          <w:shd w:val="clear" w:color="auto" w:fill="auto"/>
          <w:tcMar>
            <w:top w:w="0" w:type="dxa"/>
          </w:tcMar>
        </w:tcPr>
        <w:p w:rsidR="00273126" w:rsidRPr="00B310DC" w:rsidRDefault="00273126" w:rsidP="0035025C">
          <w:pPr>
            <w:pStyle w:val="FooterText"/>
            <w:jc w:val="right"/>
          </w:pPr>
          <w:r>
            <w:fldChar w:fldCharType="begin"/>
          </w:r>
          <w:r>
            <w:instrText xml:space="preserve"> PAGE  \* MERGEFORMAT </w:instrText>
          </w:r>
          <w:r>
            <w:fldChar w:fldCharType="separate"/>
          </w:r>
          <w:r w:rsidR="007B1D98">
            <w:rPr>
              <w:noProof/>
            </w:rPr>
            <w:t>1</w:t>
          </w:r>
          <w:r>
            <w:fldChar w:fldCharType="end"/>
          </w:r>
        </w:p>
      </w:tc>
    </w:tr>
    <w:tr w:rsidR="00273126" w:rsidRPr="0035025C" w:rsidTr="00273126">
      <w:trPr>
        <w:jc w:val="center"/>
      </w:trPr>
      <w:tc>
        <w:tcPr>
          <w:tcW w:w="1774" w:type="pct"/>
          <w:shd w:val="clear" w:color="auto" w:fill="auto"/>
        </w:tcPr>
        <w:p w:rsidR="00273126" w:rsidRPr="00AD7BF2" w:rsidRDefault="00273126" w:rsidP="0035025C">
          <w:pPr>
            <w:pStyle w:val="FooterText"/>
            <w:spacing w:before="40"/>
          </w:pPr>
        </w:p>
      </w:tc>
      <w:tc>
        <w:tcPr>
          <w:tcW w:w="1494" w:type="pct"/>
          <w:gridSpan w:val="3"/>
          <w:shd w:val="clear" w:color="auto" w:fill="auto"/>
        </w:tcPr>
        <w:p w:rsidR="00273126" w:rsidRPr="00AD7BF2" w:rsidRDefault="00273126" w:rsidP="0035025C">
          <w:pPr>
            <w:pStyle w:val="FooterText"/>
            <w:spacing w:before="40"/>
            <w:jc w:val="center"/>
          </w:pPr>
          <w:r>
            <w:t>DGE 2</w:t>
          </w:r>
        </w:p>
      </w:tc>
      <w:tc>
        <w:tcPr>
          <w:tcW w:w="1107" w:type="pct"/>
          <w:shd w:val="clear" w:color="auto" w:fill="auto"/>
        </w:tcPr>
        <w:p w:rsidR="00273126" w:rsidRPr="0035025C" w:rsidRDefault="00273126" w:rsidP="0035025C">
          <w:pPr>
            <w:pStyle w:val="FooterText"/>
            <w:jc w:val="right"/>
            <w:rPr>
              <w:b/>
              <w:position w:val="-4"/>
              <w:sz w:val="36"/>
            </w:rPr>
          </w:pPr>
        </w:p>
      </w:tc>
      <w:tc>
        <w:tcPr>
          <w:tcW w:w="625" w:type="pct"/>
          <w:gridSpan w:val="2"/>
          <w:shd w:val="clear" w:color="auto" w:fill="auto"/>
        </w:tcPr>
        <w:p w:rsidR="00273126" w:rsidRPr="0035025C" w:rsidRDefault="00273126" w:rsidP="0035025C">
          <w:pPr>
            <w:pStyle w:val="FooterText"/>
            <w:jc w:val="right"/>
            <w:rPr>
              <w:sz w:val="16"/>
            </w:rPr>
          </w:pPr>
          <w:r>
            <w:rPr>
              <w:b/>
              <w:position w:val="-4"/>
              <w:sz w:val="36"/>
            </w:rPr>
            <w:t>FR</w:t>
          </w:r>
        </w:p>
      </w:tc>
    </w:tr>
    <w:bookmarkEnd w:id="2"/>
  </w:tbl>
  <w:p w:rsidR="002275EE" w:rsidRPr="00273126" w:rsidRDefault="002275EE" w:rsidP="00273126">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73126" w:rsidRPr="0035025C" w:rsidTr="00273126">
      <w:trPr>
        <w:jc w:val="center"/>
      </w:trPr>
      <w:tc>
        <w:tcPr>
          <w:tcW w:w="5000" w:type="pct"/>
          <w:gridSpan w:val="7"/>
          <w:shd w:val="clear" w:color="auto" w:fill="auto"/>
          <w:tcMar>
            <w:top w:w="57" w:type="dxa"/>
          </w:tcMar>
        </w:tcPr>
        <w:p w:rsidR="00273126" w:rsidRPr="0035025C" w:rsidRDefault="00273126" w:rsidP="0035025C">
          <w:pPr>
            <w:pStyle w:val="FooterText"/>
            <w:pBdr>
              <w:top w:val="single" w:sz="4" w:space="1" w:color="auto"/>
            </w:pBdr>
            <w:spacing w:before="200"/>
            <w:rPr>
              <w:sz w:val="2"/>
              <w:szCs w:val="2"/>
            </w:rPr>
          </w:pPr>
        </w:p>
      </w:tc>
    </w:tr>
    <w:tr w:rsidR="00273126" w:rsidRPr="00B310DC" w:rsidTr="00273126">
      <w:trPr>
        <w:jc w:val="center"/>
      </w:trPr>
      <w:tc>
        <w:tcPr>
          <w:tcW w:w="2500" w:type="pct"/>
          <w:gridSpan w:val="2"/>
          <w:shd w:val="clear" w:color="auto" w:fill="auto"/>
          <w:tcMar>
            <w:top w:w="0" w:type="dxa"/>
          </w:tcMar>
        </w:tcPr>
        <w:p w:rsidR="00273126" w:rsidRPr="00AD7BF2" w:rsidRDefault="00273126" w:rsidP="0035025C">
          <w:pPr>
            <w:pStyle w:val="FooterText"/>
          </w:pPr>
          <w:r>
            <w:t xml:space="preserve">10788/2/15 REV 2 </w:t>
          </w:r>
        </w:p>
      </w:tc>
      <w:tc>
        <w:tcPr>
          <w:tcW w:w="625" w:type="pct"/>
          <w:shd w:val="clear" w:color="auto" w:fill="auto"/>
          <w:tcMar>
            <w:top w:w="0" w:type="dxa"/>
          </w:tcMar>
        </w:tcPr>
        <w:p w:rsidR="00273126" w:rsidRPr="00AD7BF2" w:rsidRDefault="00273126" w:rsidP="0035025C">
          <w:pPr>
            <w:pStyle w:val="FooterText"/>
            <w:jc w:val="center"/>
          </w:pPr>
        </w:p>
      </w:tc>
      <w:tc>
        <w:tcPr>
          <w:tcW w:w="1287" w:type="pct"/>
          <w:gridSpan w:val="3"/>
          <w:shd w:val="clear" w:color="auto" w:fill="auto"/>
          <w:tcMar>
            <w:top w:w="0" w:type="dxa"/>
          </w:tcMar>
        </w:tcPr>
        <w:p w:rsidR="00273126" w:rsidRPr="002511D8" w:rsidRDefault="00273126" w:rsidP="0035025C">
          <w:pPr>
            <w:pStyle w:val="FooterText"/>
            <w:jc w:val="center"/>
          </w:pPr>
          <w:r>
            <w:t>EZ/gt</w:t>
          </w:r>
        </w:p>
      </w:tc>
      <w:tc>
        <w:tcPr>
          <w:tcW w:w="588" w:type="pct"/>
          <w:shd w:val="clear" w:color="auto" w:fill="auto"/>
          <w:tcMar>
            <w:top w:w="0" w:type="dxa"/>
          </w:tcMar>
        </w:tcPr>
        <w:p w:rsidR="00273126" w:rsidRPr="00B310DC" w:rsidRDefault="00273126" w:rsidP="0035025C">
          <w:pPr>
            <w:pStyle w:val="FooterText"/>
            <w:jc w:val="right"/>
          </w:pPr>
        </w:p>
      </w:tc>
    </w:tr>
    <w:tr w:rsidR="00273126" w:rsidRPr="0035025C" w:rsidTr="00273126">
      <w:trPr>
        <w:jc w:val="center"/>
      </w:trPr>
      <w:tc>
        <w:tcPr>
          <w:tcW w:w="1774" w:type="pct"/>
          <w:shd w:val="clear" w:color="auto" w:fill="auto"/>
        </w:tcPr>
        <w:p w:rsidR="00273126" w:rsidRPr="00AD7BF2" w:rsidRDefault="00273126" w:rsidP="0035025C">
          <w:pPr>
            <w:pStyle w:val="FooterText"/>
            <w:spacing w:before="40"/>
          </w:pPr>
        </w:p>
      </w:tc>
      <w:tc>
        <w:tcPr>
          <w:tcW w:w="1494" w:type="pct"/>
          <w:gridSpan w:val="3"/>
          <w:shd w:val="clear" w:color="auto" w:fill="auto"/>
        </w:tcPr>
        <w:p w:rsidR="00273126" w:rsidRPr="00AD7BF2" w:rsidRDefault="00273126" w:rsidP="0035025C">
          <w:pPr>
            <w:pStyle w:val="FooterText"/>
            <w:spacing w:before="40"/>
            <w:jc w:val="center"/>
          </w:pPr>
          <w:r>
            <w:t>DGE 2</w:t>
          </w:r>
        </w:p>
      </w:tc>
      <w:tc>
        <w:tcPr>
          <w:tcW w:w="1107" w:type="pct"/>
          <w:shd w:val="clear" w:color="auto" w:fill="auto"/>
        </w:tcPr>
        <w:p w:rsidR="00273126" w:rsidRPr="0035025C" w:rsidRDefault="00273126" w:rsidP="0035025C">
          <w:pPr>
            <w:pStyle w:val="FooterText"/>
            <w:jc w:val="right"/>
            <w:rPr>
              <w:b/>
              <w:position w:val="-4"/>
              <w:sz w:val="36"/>
            </w:rPr>
          </w:pPr>
        </w:p>
      </w:tc>
      <w:tc>
        <w:tcPr>
          <w:tcW w:w="625" w:type="pct"/>
          <w:gridSpan w:val="2"/>
          <w:shd w:val="clear" w:color="auto" w:fill="auto"/>
        </w:tcPr>
        <w:p w:rsidR="00273126" w:rsidRPr="0035025C" w:rsidRDefault="00273126" w:rsidP="0035025C">
          <w:pPr>
            <w:pStyle w:val="FooterText"/>
            <w:jc w:val="right"/>
            <w:rPr>
              <w:sz w:val="16"/>
            </w:rPr>
          </w:pPr>
          <w:r>
            <w:rPr>
              <w:b/>
              <w:position w:val="-4"/>
              <w:sz w:val="36"/>
            </w:rPr>
            <w:t>FR</w:t>
          </w:r>
        </w:p>
      </w:tc>
    </w:tr>
  </w:tbl>
  <w:p w:rsidR="002275EE" w:rsidRPr="00273126" w:rsidRDefault="002275EE" w:rsidP="0027312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EF" w:rsidRDefault="00D62FEF" w:rsidP="005F3E84">
      <w:pPr>
        <w:spacing w:before="0" w:after="0" w:line="240" w:lineRule="auto"/>
      </w:pPr>
      <w:r>
        <w:separator/>
      </w:r>
    </w:p>
  </w:footnote>
  <w:footnote w:type="continuationSeparator" w:id="0">
    <w:p w:rsidR="00D62FEF" w:rsidRDefault="00D62FEF" w:rsidP="005F3E84">
      <w:pPr>
        <w:spacing w:before="0" w:after="0" w:line="240" w:lineRule="auto"/>
      </w:pPr>
      <w:r>
        <w:continuationSeparator/>
      </w:r>
    </w:p>
  </w:footnote>
  <w:footnote w:id="1">
    <w:p w:rsidR="002275EE" w:rsidRPr="00CF3546" w:rsidRDefault="002275EE" w:rsidP="00F407AF">
      <w:pPr>
        <w:pStyle w:val="FootnoteText"/>
        <w:rPr>
          <w:lang w:val="da-DK"/>
        </w:rPr>
      </w:pPr>
      <w:r w:rsidRPr="00F407AF">
        <w:rPr>
          <w:rStyle w:val="FootnoteReference"/>
          <w:bCs/>
          <w:lang w:val="fr-BE"/>
        </w:rPr>
        <w:footnoteRef/>
      </w:r>
      <w:r w:rsidRPr="00CF3546">
        <w:rPr>
          <w:lang w:val="da-DK"/>
        </w:rPr>
        <w:tab/>
        <w:t>JO C 177 du 11.6.2014, p. 64.</w:t>
      </w:r>
    </w:p>
  </w:footnote>
  <w:footnote w:id="2">
    <w:p w:rsidR="002275EE" w:rsidRPr="00CF3546" w:rsidRDefault="002275EE" w:rsidP="00F407AF">
      <w:pPr>
        <w:pStyle w:val="FootnoteText"/>
        <w:rPr>
          <w:lang w:val="da-DK"/>
        </w:rPr>
      </w:pPr>
      <w:r w:rsidRPr="00F407AF">
        <w:rPr>
          <w:rStyle w:val="FootnoteReference"/>
          <w:bCs/>
          <w:lang w:val="fr-BE"/>
        </w:rPr>
        <w:footnoteRef/>
      </w:r>
      <w:r w:rsidRPr="00CF3546">
        <w:rPr>
          <w:lang w:val="da-DK"/>
        </w:rPr>
        <w:tab/>
        <w:t>JO C 126 du 26.4.2014, p. 53.</w:t>
      </w:r>
    </w:p>
  </w:footnote>
  <w:footnote w:id="3">
    <w:p w:rsidR="002275EE" w:rsidRPr="00F407AF" w:rsidRDefault="002275EE" w:rsidP="00F407AF">
      <w:pPr>
        <w:pStyle w:val="FootnoteText"/>
        <w:rPr>
          <w:lang w:val="fr-BE"/>
        </w:rPr>
      </w:pPr>
      <w:r w:rsidRPr="00F407AF">
        <w:rPr>
          <w:rStyle w:val="FootnoteReference"/>
          <w:bCs/>
          <w:lang w:val="fr-BE"/>
        </w:rPr>
        <w:footnoteRef/>
      </w:r>
      <w:r w:rsidRPr="00F407AF">
        <w:rPr>
          <w:lang w:val="fr-BE"/>
        </w:rPr>
        <w:tab/>
        <w:t xml:space="preserve">Position du Parlement européen du 3 avril 2014 (non encore parue au Journal officiel) et position du </w:t>
      </w:r>
      <w:r w:rsidR="00012941">
        <w:rPr>
          <w:lang w:val="fr-BE"/>
        </w:rPr>
        <w:t>Conseil en première lecture du 1 octobre 2015</w:t>
      </w:r>
      <w:r w:rsidRPr="00F407AF">
        <w:rPr>
          <w:lang w:val="fr-BE"/>
        </w:rPr>
        <w:t xml:space="preserve"> (non encore parue au Journal officiel). Position du Parlement européen du … (non encore parue au Journal officiel).</w:t>
      </w:r>
    </w:p>
  </w:footnote>
  <w:footnote w:id="4">
    <w:p w:rsidR="002275EE" w:rsidRPr="00D10AB0" w:rsidRDefault="002275EE" w:rsidP="00E760B3">
      <w:pPr>
        <w:pStyle w:val="FootnoteText"/>
        <w:rPr>
          <w:lang w:val="fr-BE"/>
        </w:rPr>
      </w:pPr>
      <w:r>
        <w:rPr>
          <w:rStyle w:val="FootnoteReference"/>
        </w:rPr>
        <w:footnoteRef/>
      </w:r>
      <w:r>
        <w:rPr>
          <w:lang w:val="fr-BE"/>
        </w:rPr>
        <w:tab/>
      </w:r>
      <w:r w:rsidRPr="0085077B">
        <w:rPr>
          <w:lang w:val="fr-BE"/>
        </w:rPr>
        <w:t>Directive 2008/63/CE de la Commission du 20 juin 2008 relative à la concurrence dans les marchés des équipements terminaux de télécommunications</w:t>
      </w:r>
      <w:r>
        <w:rPr>
          <w:lang w:val="fr-BE"/>
        </w:rPr>
        <w:t xml:space="preserve"> (</w:t>
      </w:r>
      <w:r w:rsidRPr="0085077B">
        <w:rPr>
          <w:lang w:val="fr-BE"/>
        </w:rPr>
        <w:t>JO L 162 du 21.6.2008, p. 20</w:t>
      </w:r>
      <w:r>
        <w:rPr>
          <w:lang w:val="fr-BE"/>
        </w:rPr>
        <w:t>)</w:t>
      </w:r>
      <w:r w:rsidR="00F407AF">
        <w:rPr>
          <w:lang w:val="fr-BE"/>
        </w:rPr>
        <w:t>.</w:t>
      </w:r>
    </w:p>
  </w:footnote>
  <w:footnote w:id="5">
    <w:p w:rsidR="002275EE" w:rsidRPr="00D10AB0" w:rsidRDefault="002275EE">
      <w:pPr>
        <w:pStyle w:val="FootnoteText"/>
        <w:rPr>
          <w:lang w:val="fr-BE"/>
        </w:rPr>
      </w:pPr>
      <w:r>
        <w:rPr>
          <w:rStyle w:val="FootnoteReference"/>
        </w:rPr>
        <w:footnoteRef/>
      </w:r>
      <w:r>
        <w:rPr>
          <w:lang w:val="fr-BE"/>
        </w:rPr>
        <w:tab/>
      </w:r>
      <w:r w:rsidRPr="00556EAC">
        <w:rPr>
          <w:lang w:val="fr-BE"/>
        </w:rPr>
        <w:t>Directive 2002/21/CE du Parlement européen et du Conseil du 7 mars 2002 relative à un cadre réglementaire commun pour les réseaux et services de communications électroniques (directive "cadre")</w:t>
      </w:r>
      <w:r>
        <w:rPr>
          <w:lang w:val="fr-BE"/>
        </w:rPr>
        <w:t xml:space="preserve"> (</w:t>
      </w:r>
      <w:r w:rsidRPr="00556EAC">
        <w:rPr>
          <w:lang w:val="fr-BE"/>
        </w:rPr>
        <w:t>JO L 108 du 24.4.2002, p. 33</w:t>
      </w:r>
      <w:r>
        <w:rPr>
          <w:lang w:val="fr-BE"/>
        </w:rPr>
        <w:t>)</w:t>
      </w:r>
      <w:r w:rsidR="00F407AF">
        <w:rPr>
          <w:lang w:val="fr-BE"/>
        </w:rPr>
        <w:t>.</w:t>
      </w:r>
    </w:p>
  </w:footnote>
  <w:footnote w:id="6">
    <w:p w:rsidR="002275EE" w:rsidRPr="00D10AB0" w:rsidRDefault="002275EE">
      <w:pPr>
        <w:pStyle w:val="FootnoteText"/>
        <w:rPr>
          <w:lang w:val="fr-BE"/>
        </w:rPr>
      </w:pPr>
      <w:r>
        <w:rPr>
          <w:rStyle w:val="FootnoteReference"/>
        </w:rPr>
        <w:footnoteRef/>
      </w:r>
      <w:r>
        <w:rPr>
          <w:lang w:val="fr-BE"/>
        </w:rPr>
        <w:tab/>
      </w:r>
      <w:r w:rsidRPr="00957EE6">
        <w:rPr>
          <w:lang w:val="fr-BE"/>
        </w:rPr>
        <w:t>Directive 2002/22/CE du Parlement européen et du Conseil du 7 mars 2002 concernant le service universel et les droits des utilisateurs au regard des réseaux et services de communications électroniques (directive "service universel")</w:t>
      </w:r>
      <w:r>
        <w:rPr>
          <w:lang w:val="fr-BE"/>
        </w:rPr>
        <w:t xml:space="preserve"> (</w:t>
      </w:r>
      <w:r w:rsidRPr="00957EE6">
        <w:rPr>
          <w:lang w:val="fr-BE"/>
        </w:rPr>
        <w:t>JO L 108 du 24.4.2002, p. 51</w:t>
      </w:r>
      <w:r>
        <w:rPr>
          <w:lang w:val="fr-BE"/>
        </w:rPr>
        <w:t>).</w:t>
      </w:r>
    </w:p>
  </w:footnote>
  <w:footnote w:id="7">
    <w:p w:rsidR="002275EE" w:rsidRPr="00D10AB0" w:rsidRDefault="002275EE" w:rsidP="00E4627C">
      <w:pPr>
        <w:pStyle w:val="FootnoteText"/>
        <w:rPr>
          <w:lang w:val="fr-BE"/>
        </w:rPr>
      </w:pPr>
      <w:r>
        <w:rPr>
          <w:rStyle w:val="FootnoteReference"/>
        </w:rPr>
        <w:footnoteRef/>
      </w:r>
      <w:r>
        <w:rPr>
          <w:lang w:val="fr-BE"/>
        </w:rPr>
        <w:tab/>
      </w:r>
      <w:r w:rsidRPr="008C35EB">
        <w:rPr>
          <w:lang w:val="fr-BE"/>
        </w:rPr>
        <w:t>Règlement (UE) n° 531/2012 du Parlement européen et du Conseil du 13 juin 2012 concernant l</w:t>
      </w:r>
      <w:r w:rsidR="00F407AF">
        <w:rPr>
          <w:lang w:val="fr-BE"/>
        </w:rPr>
        <w:t>'</w:t>
      </w:r>
      <w:r w:rsidRPr="008C35EB">
        <w:rPr>
          <w:lang w:val="fr-BE"/>
        </w:rPr>
        <w:t>itinérance sur les réseaux publics de communications mobiles à l</w:t>
      </w:r>
      <w:r w:rsidR="00F407AF">
        <w:rPr>
          <w:lang w:val="fr-BE"/>
        </w:rPr>
        <w:t>'</w:t>
      </w:r>
      <w:r w:rsidRPr="008C35EB">
        <w:rPr>
          <w:lang w:val="fr-BE"/>
        </w:rPr>
        <w:t>intérieur de l</w:t>
      </w:r>
      <w:r w:rsidR="00F407AF">
        <w:rPr>
          <w:lang w:val="fr-BE"/>
        </w:rPr>
        <w:t>'</w:t>
      </w:r>
      <w:r w:rsidRPr="008C35EB">
        <w:rPr>
          <w:lang w:val="fr-BE"/>
        </w:rPr>
        <w:t>Union</w:t>
      </w:r>
      <w:r>
        <w:rPr>
          <w:lang w:val="fr-BE"/>
        </w:rPr>
        <w:t xml:space="preserve"> (</w:t>
      </w:r>
      <w:r w:rsidRPr="008C35EB">
        <w:rPr>
          <w:lang w:val="fr-BE"/>
        </w:rPr>
        <w:t>JO L 172 du 30.6.2012, p. 10</w:t>
      </w:r>
      <w:r>
        <w:rPr>
          <w:lang w:val="fr-BE"/>
        </w:rPr>
        <w:t>).</w:t>
      </w:r>
    </w:p>
  </w:footnote>
  <w:footnote w:id="8">
    <w:p w:rsidR="002275EE" w:rsidRPr="00D10AB0" w:rsidRDefault="002275EE">
      <w:pPr>
        <w:pStyle w:val="FootnoteText"/>
        <w:rPr>
          <w:lang w:val="fr-BE"/>
        </w:rPr>
      </w:pPr>
      <w:r>
        <w:rPr>
          <w:rStyle w:val="FootnoteReference"/>
        </w:rPr>
        <w:footnoteRef/>
      </w:r>
      <w:r>
        <w:rPr>
          <w:lang w:val="fr-BE"/>
        </w:rPr>
        <w:tab/>
      </w:r>
      <w:r w:rsidRPr="009E3C1D">
        <w:rPr>
          <w:lang w:val="fr-BE"/>
        </w:rPr>
        <w:t>Règlement (UE) n</w:t>
      </w:r>
      <w:r>
        <w:rPr>
          <w:lang w:val="fr-BE"/>
        </w:rPr>
        <w:t>°</w:t>
      </w:r>
      <w:r w:rsidRPr="009E3C1D">
        <w:rPr>
          <w:lang w:val="fr-BE"/>
        </w:rPr>
        <w:t xml:space="preserve"> 182/2011 du Parlement Européen et du Conseil du 16 février 2011 établissant les règles et principes généraux relatifs aux modalités de contrôle par les États membres de l</w:t>
      </w:r>
      <w:r w:rsidR="00F407AF">
        <w:rPr>
          <w:lang w:val="fr-BE"/>
        </w:rPr>
        <w:t>'</w:t>
      </w:r>
      <w:r w:rsidRPr="009E3C1D">
        <w:rPr>
          <w:lang w:val="fr-BE"/>
        </w:rPr>
        <w:t>exercice des compétences d</w:t>
      </w:r>
      <w:r w:rsidR="00F407AF">
        <w:rPr>
          <w:lang w:val="fr-BE"/>
        </w:rPr>
        <w:t>'</w:t>
      </w:r>
      <w:r w:rsidRPr="009E3C1D">
        <w:rPr>
          <w:lang w:val="fr-BE"/>
        </w:rPr>
        <w:t>exécution par la Commission</w:t>
      </w:r>
      <w:r>
        <w:rPr>
          <w:lang w:val="fr-BE"/>
        </w:rPr>
        <w:t xml:space="preserve"> (</w:t>
      </w:r>
      <w:r w:rsidRPr="009E3C1D">
        <w:rPr>
          <w:lang w:val="fr-BE"/>
        </w:rPr>
        <w:t>JO L 55 du 28.2.2011, p. 13</w:t>
      </w:r>
      <w:r>
        <w:rPr>
          <w:lang w:val="fr-BE"/>
        </w:rPr>
        <w:t>).</w:t>
      </w:r>
    </w:p>
  </w:footnote>
  <w:footnote w:id="9">
    <w:p w:rsidR="002275EE" w:rsidRPr="00F407AF" w:rsidRDefault="002275EE" w:rsidP="007768E7">
      <w:pPr>
        <w:pStyle w:val="FootnoteText"/>
        <w:rPr>
          <w:lang w:val="fr-BE"/>
        </w:rPr>
      </w:pPr>
      <w:r w:rsidRPr="007768E7">
        <w:rPr>
          <w:rStyle w:val="FootnoteReference"/>
        </w:rPr>
        <w:footnoteRef/>
      </w:r>
      <w:r w:rsidRPr="00F407AF">
        <w:rPr>
          <w:lang w:val="fr-BE"/>
        </w:rPr>
        <w:tab/>
      </w:r>
      <w:bookmarkStart w:id="3" w:name="http://eur-lex.europa.eu/legal-content/A"/>
      <w:r w:rsidRPr="00F407AF">
        <w:rPr>
          <w:lang w:val="fr-BE"/>
        </w:rPr>
        <w:fldChar w:fldCharType="begin"/>
      </w:r>
      <w:r w:rsidRPr="00F407AF">
        <w:rPr>
          <w:lang w:val="fr-BE"/>
        </w:rPr>
        <w:instrText xml:space="preserve"> HYPERLINK "http://eur-lex.europa.eu/legal-content/AUTO/?uri=CELEX:32001R0045&amp;qid=1439905228372&amp;rid=1" </w:instrText>
      </w:r>
      <w:r w:rsidRPr="00F407AF">
        <w:rPr>
          <w:lang w:val="fr-BE"/>
        </w:rPr>
        <w:fldChar w:fldCharType="separate"/>
      </w:r>
      <w:r w:rsidRPr="00F407AF">
        <w:rPr>
          <w:lang w:val="fr-BE"/>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w:t>
      </w:r>
      <w:r w:rsidRPr="00F407AF">
        <w:rPr>
          <w:lang w:val="fr-BE"/>
        </w:rPr>
        <w:fldChar w:fldCharType="end"/>
      </w:r>
      <w:bookmarkEnd w:id="3"/>
      <w:r w:rsidRPr="00F407AF">
        <w:rPr>
          <w:lang w:val="fr-BE"/>
        </w:rPr>
        <w:t xml:space="preserve"> (JO L 8 du 12.1.2001, p. 1).</w:t>
      </w:r>
    </w:p>
  </w:footnote>
  <w:footnote w:id="10">
    <w:p w:rsidR="002275EE" w:rsidRPr="00D10AB0" w:rsidRDefault="002275EE" w:rsidP="004E759F">
      <w:pPr>
        <w:pStyle w:val="FootnoteText"/>
        <w:rPr>
          <w:lang w:val="fr-BE"/>
        </w:rPr>
      </w:pPr>
      <w:r w:rsidRPr="004E759F">
        <w:rPr>
          <w:rStyle w:val="FootnoteReference"/>
        </w:rPr>
        <w:footnoteRef/>
      </w:r>
      <w:r w:rsidR="007768E7">
        <w:rPr>
          <w:lang w:val="fr-BE"/>
        </w:rPr>
        <w:tab/>
      </w:r>
      <w:r w:rsidRPr="005E475A">
        <w:rPr>
          <w:lang w:val="fr-BE"/>
        </w:rPr>
        <w:t>Directive 95/46/CE du Parlement européen et du Conseil, du 24 octobre 1995, relative à la protection des personnes physiques à l'égard du traitement des données à caractère personnel et à la libre circulation de ces données</w:t>
      </w:r>
      <w:r>
        <w:rPr>
          <w:lang w:val="fr-BE"/>
        </w:rPr>
        <w:t xml:space="preserve"> (</w:t>
      </w:r>
      <w:r w:rsidRPr="005E475A">
        <w:rPr>
          <w:lang w:val="fr-BE"/>
        </w:rPr>
        <w:t>JO L 281 du 23.11.1995, p. 31</w:t>
      </w:r>
      <w:r>
        <w:rPr>
          <w:lang w:val="fr-BE"/>
        </w:rPr>
        <w:t>).</w:t>
      </w:r>
    </w:p>
  </w:footnote>
  <w:footnote w:id="11">
    <w:p w:rsidR="002275EE" w:rsidRPr="00D10AB0" w:rsidRDefault="002275EE" w:rsidP="004E759F">
      <w:pPr>
        <w:pStyle w:val="FootnoteText"/>
        <w:rPr>
          <w:lang w:val="fr-BE"/>
        </w:rPr>
      </w:pPr>
      <w:r w:rsidRPr="004E759F">
        <w:rPr>
          <w:rStyle w:val="FootnoteReference"/>
        </w:rPr>
        <w:footnoteRef/>
      </w:r>
      <w:r w:rsidR="007768E7">
        <w:rPr>
          <w:lang w:val="fr-BE"/>
        </w:rPr>
        <w:tab/>
      </w:r>
      <w:r w:rsidRPr="005E475A">
        <w:rPr>
          <w:lang w:val="fr-BE"/>
        </w:rPr>
        <w:t>Directive 2002/58/CE du Parlement européen et du Conseil du 12 juillet 2002 concernant le traitement des données à caractère personnel et la protection de la vie privée dans le secteur des communications électroniques (directive vie privée et communications électroniques)</w:t>
      </w:r>
      <w:r>
        <w:rPr>
          <w:lang w:val="fr-BE"/>
        </w:rPr>
        <w:t xml:space="preserve"> (</w:t>
      </w:r>
      <w:r w:rsidRPr="005E475A">
        <w:rPr>
          <w:lang w:val="fr-BE"/>
        </w:rPr>
        <w:t>JO L 201 du 31.7.2002, p. 37</w:t>
      </w:r>
      <w:r>
        <w:rPr>
          <w:lang w:val="fr-BE"/>
        </w:rPr>
        <w:t>).</w:t>
      </w:r>
    </w:p>
  </w:footnote>
  <w:footnote w:id="12">
    <w:p w:rsidR="002275EE" w:rsidRPr="00D10AB0" w:rsidRDefault="002275EE">
      <w:pPr>
        <w:pStyle w:val="FootnoteText"/>
        <w:rPr>
          <w:lang w:val="fr-BE"/>
        </w:rPr>
      </w:pPr>
      <w:r w:rsidRPr="00543B6E">
        <w:rPr>
          <w:rStyle w:val="FootnoteReference"/>
          <w:lang w:val="fr-BE"/>
        </w:rPr>
        <w:t>*</w:t>
      </w:r>
      <w:r>
        <w:rPr>
          <w:lang w:val="fr-BE"/>
        </w:rPr>
        <w:tab/>
        <w:t>JO: veuillez insérer la date d'entrée en vigueur du présent règlement.</w:t>
      </w:r>
    </w:p>
  </w:footnote>
  <w:footnote w:id="13">
    <w:p w:rsidR="002275EE" w:rsidRPr="00D10AB0" w:rsidRDefault="002275EE">
      <w:pPr>
        <w:pStyle w:val="FootnoteText"/>
        <w:rPr>
          <w:lang w:val="fr-BE"/>
        </w:rPr>
      </w:pPr>
      <w:r w:rsidRPr="00543B6E">
        <w:rPr>
          <w:rStyle w:val="FootnoteReference"/>
          <w:lang w:val="fr-BE"/>
        </w:rPr>
        <w:t>*</w:t>
      </w:r>
      <w:r>
        <w:rPr>
          <w:lang w:val="fr-BE"/>
        </w:rPr>
        <w:tab/>
        <w:t>JO: veuillez insérer la date: neuf mois après la date d'entrée en vigueur du présent règlement.</w:t>
      </w:r>
    </w:p>
  </w:footnote>
  <w:footnote w:id="14">
    <w:p w:rsidR="002275EE" w:rsidRPr="00D10AB0" w:rsidRDefault="002275EE">
      <w:pPr>
        <w:pStyle w:val="FootnoteText"/>
        <w:rPr>
          <w:lang w:val="fr-BE"/>
        </w:rPr>
      </w:pPr>
      <w:r w:rsidRPr="00543B6E">
        <w:rPr>
          <w:rStyle w:val="FootnoteReference"/>
          <w:lang w:val="fr-BE"/>
        </w:rPr>
        <w:t>*</w:t>
      </w:r>
      <w:r>
        <w:rPr>
          <w:lang w:val="fr-BE"/>
        </w:rPr>
        <w:tab/>
        <w:t>JO: veuillez insérer la date d'entrée en vigueur du présent règlement</w:t>
      </w:r>
      <w:r w:rsidR="00395C2E">
        <w:rPr>
          <w:lang w:val="fr-BE"/>
        </w:rPr>
        <w:t>.</w:t>
      </w:r>
    </w:p>
  </w:footnote>
  <w:footnote w:id="15">
    <w:p w:rsidR="002275EE" w:rsidRPr="00D10AB0" w:rsidRDefault="002275EE">
      <w:pPr>
        <w:pStyle w:val="FootnoteText"/>
        <w:rPr>
          <w:lang w:val="fr-BE"/>
        </w:rPr>
      </w:pPr>
      <w:r w:rsidRPr="00543B6E">
        <w:rPr>
          <w:rStyle w:val="FootnoteReference"/>
          <w:lang w:val="fr-BE"/>
        </w:rPr>
        <w:t>*</w:t>
      </w:r>
      <w:r>
        <w:rPr>
          <w:lang w:val="fr-BE"/>
        </w:rPr>
        <w:tab/>
        <w:t>JO: veuillez insérer la date d'entrée en vigueur du présent règlement.</w:t>
      </w:r>
    </w:p>
  </w:footnote>
  <w:footnote w:id="16">
    <w:p w:rsidR="002275EE" w:rsidRPr="001E6CED" w:rsidRDefault="002275EE" w:rsidP="007768E7">
      <w:pPr>
        <w:pStyle w:val="FootnoteText"/>
        <w:rPr>
          <w:szCs w:val="24"/>
          <w:lang w:val="fr-BE"/>
        </w:rPr>
      </w:pPr>
      <w:r w:rsidRPr="007768E7">
        <w:rPr>
          <w:rStyle w:val="FootnoteReference"/>
        </w:rPr>
        <w:footnoteRef/>
      </w:r>
      <w:r w:rsidRPr="00D10AB0">
        <w:rPr>
          <w:lang w:val="fr-BE"/>
        </w:rPr>
        <w:tab/>
      </w:r>
      <w:r w:rsidRPr="00846ADA">
        <w:rPr>
          <w:lang w:val="fr-BE"/>
        </w:rPr>
        <w:t>Règlement d</w:t>
      </w:r>
      <w:r w:rsidR="00F407AF">
        <w:rPr>
          <w:lang w:val="fr-BE"/>
        </w:rPr>
        <w:t>'</w:t>
      </w:r>
      <w:r w:rsidRPr="00846ADA">
        <w:rPr>
          <w:lang w:val="fr-BE"/>
        </w:rPr>
        <w:t>exécution (UE) n</w:t>
      </w:r>
      <w:r>
        <w:rPr>
          <w:lang w:val="fr-BE"/>
        </w:rPr>
        <w:t>°</w:t>
      </w:r>
      <w:r w:rsidR="00C35ADE">
        <w:rPr>
          <w:lang w:val="fr-BE"/>
        </w:rPr>
        <w:t xml:space="preserve"> </w:t>
      </w:r>
      <w:r w:rsidRPr="00846ADA">
        <w:rPr>
          <w:lang w:val="fr-BE"/>
        </w:rPr>
        <w:t>1203/2012 de la Commission du 14 décembre 2012 relatif à la vente séparée de services d</w:t>
      </w:r>
      <w:r w:rsidR="00F407AF">
        <w:rPr>
          <w:lang w:val="fr-BE"/>
        </w:rPr>
        <w:t>'</w:t>
      </w:r>
      <w:r w:rsidRPr="00846ADA">
        <w:rPr>
          <w:lang w:val="fr-BE"/>
        </w:rPr>
        <w:t xml:space="preserve">itinérance au détail réglementés dans </w:t>
      </w:r>
      <w:r w:rsidRPr="00E760E7">
        <w:rPr>
          <w:szCs w:val="24"/>
          <w:lang w:val="fr-BE"/>
        </w:rPr>
        <w:t>l</w:t>
      </w:r>
      <w:r w:rsidR="00F407AF">
        <w:rPr>
          <w:szCs w:val="24"/>
          <w:lang w:val="fr-BE"/>
        </w:rPr>
        <w:t>'</w:t>
      </w:r>
      <w:r w:rsidRPr="00E760E7">
        <w:rPr>
          <w:szCs w:val="24"/>
          <w:lang w:val="fr-BE"/>
        </w:rPr>
        <w:t xml:space="preserve">Union </w:t>
      </w:r>
      <w:r w:rsidRPr="00CB214A">
        <w:rPr>
          <w:szCs w:val="24"/>
          <w:lang w:val="fr-BE"/>
        </w:rPr>
        <w:t>(</w:t>
      </w:r>
      <w:r w:rsidRPr="001E6CED">
        <w:rPr>
          <w:szCs w:val="24"/>
          <w:lang w:val="fr-BE"/>
        </w:rPr>
        <w:t>JO L 347 du 15.12.2012, p. 1)</w:t>
      </w:r>
      <w:r w:rsidRPr="00543B6E">
        <w:rPr>
          <w:szCs w:val="24"/>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F56" w:rsidRPr="00273126" w:rsidRDefault="00204F56" w:rsidP="00273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8A93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C61E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8C1A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E6F3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2439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F48A5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600F3E"/>
    <w:lvl w:ilvl="0">
      <w:start w:val="1"/>
      <w:numFmt w:val="decimal"/>
      <w:pStyle w:val="ListNumber"/>
      <w:lvlText w:val="%1."/>
      <w:lvlJc w:val="left"/>
      <w:pPr>
        <w:tabs>
          <w:tab w:val="num" w:pos="360"/>
        </w:tabs>
        <w:ind w:left="360" w:hanging="360"/>
      </w:pPr>
    </w:lvl>
  </w:abstractNum>
  <w:abstractNum w:abstractNumId="7">
    <w:nsid w:val="FFFFFF89"/>
    <w:multiLevelType w:val="singleLevel"/>
    <w:tmpl w:val="96E8AA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5">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6">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7">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9">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1">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1"/>
  </w:num>
  <w:num w:numId="10">
    <w:abstractNumId w:val="14"/>
  </w:num>
  <w:num w:numId="11">
    <w:abstractNumId w:val="16"/>
  </w:num>
  <w:num w:numId="12">
    <w:abstractNumId w:val="15"/>
  </w:num>
  <w:num w:numId="13">
    <w:abstractNumId w:val="20"/>
  </w:num>
  <w:num w:numId="14">
    <w:abstractNumId w:val="12"/>
  </w:num>
  <w:num w:numId="15">
    <w:abstractNumId w:val="8"/>
  </w:num>
  <w:num w:numId="16">
    <w:abstractNumId w:val="21"/>
  </w:num>
  <w:num w:numId="17">
    <w:abstractNumId w:val="13"/>
  </w:num>
  <w:num w:numId="18">
    <w:abstractNumId w:val="10"/>
  </w:num>
  <w:num w:numId="19">
    <w:abstractNumId w:val="9"/>
  </w:num>
  <w:num w:numId="20">
    <w:abstractNumId w:val="19"/>
  </w:num>
  <w:num w:numId="21">
    <w:abstractNumId w:val="17"/>
  </w:num>
  <w:num w:numId="22">
    <w:abstractNumId w:val="18"/>
  </w:num>
  <w:num w:numId="23">
    <w:abstractNumId w:val="11"/>
  </w:num>
  <w:num w:numId="24">
    <w:abstractNumId w:val="14"/>
  </w:num>
  <w:num w:numId="25">
    <w:abstractNumId w:val="16"/>
  </w:num>
  <w:num w:numId="26">
    <w:abstractNumId w:val="15"/>
  </w:num>
  <w:num w:numId="27">
    <w:abstractNumId w:val="20"/>
  </w:num>
  <w:num w:numId="28">
    <w:abstractNumId w:val="12"/>
  </w:num>
  <w:num w:numId="29">
    <w:abstractNumId w:val="8"/>
  </w:num>
  <w:num w:numId="30">
    <w:abstractNumId w:val="21"/>
  </w:num>
  <w:num w:numId="31">
    <w:abstractNumId w:val="13"/>
  </w:num>
  <w:num w:numId="32">
    <w:abstractNumId w:val="10"/>
  </w:num>
  <w:num w:numId="33">
    <w:abstractNumId w:val="9"/>
  </w:num>
  <w:num w:numId="34">
    <w:abstractNumId w:val="19"/>
  </w:num>
  <w:num w:numId="35">
    <w:abstractNumId w:val="17"/>
  </w:num>
  <w:num w:numId="36">
    <w:abstractNumId w:val="18"/>
  </w:num>
  <w:num w:numId="37">
    <w:abstractNumId w:val="11"/>
  </w:num>
  <w:num w:numId="38">
    <w:abstractNumId w:val="14"/>
  </w:num>
  <w:num w:numId="39">
    <w:abstractNumId w:val="16"/>
  </w:num>
  <w:num w:numId="40">
    <w:abstractNumId w:val="15"/>
  </w:num>
  <w:num w:numId="41">
    <w:abstractNumId w:val="20"/>
  </w:num>
  <w:num w:numId="42">
    <w:abstractNumId w:val="12"/>
  </w:num>
  <w:num w:numId="43">
    <w:abstractNumId w:val="8"/>
  </w:num>
  <w:num w:numId="44">
    <w:abstractNumId w:val="21"/>
  </w:num>
  <w:num w:numId="45">
    <w:abstractNumId w:val="13"/>
  </w:num>
  <w:num w:numId="46">
    <w:abstractNumId w:val="10"/>
  </w:num>
  <w:num w:numId="47">
    <w:abstractNumId w:val="9"/>
  </w:num>
  <w:num w:numId="48">
    <w:abstractNumId w:val="19"/>
  </w:num>
  <w:num w:numId="49">
    <w:abstractNumId w:val="17"/>
  </w:num>
  <w:num w:numId="5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7d5a7832-ed2f-4ba4-b365-62c259fe5678&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10-02&lt;/text&gt;_x000d__x000a_  &lt;/metadata&gt;_x000d__x000a_  &lt;metadata key=&quot;md_Prefix&quot;&gt;_x000d__x000a_    &lt;text&gt;&lt;/text&gt;_x000d__x000a_  &lt;/metadata&gt;_x000d__x000a_  &lt;metadata key=&quot;md_DocumentNumber&quot;&gt;_x000d__x000a_    &lt;text&gt;10788&lt;/text&gt;_x000d__x000a_  &lt;/metadata&gt;_x000d__x000a_  &lt;metadata key=&quot;md_YearDocumentNumber&quot;&gt;_x000d__x000a_    &lt;text&gt;2015&lt;/text&gt;_x000d__x000a_  &lt;/metadata&gt;_x000d__x000a_  &lt;metadata key=&quot;md_Suffixes&quot;&gt;_x000d__x000a_    &lt;text&gt;REV 2&lt;/text&gt;_x000d__x000a_  &lt;/metadata&gt;_x000d__x000a_  &lt;metadata key=&quot;md_SuffixLanguagesInvolved&quot;&gt;_x000d__x000a_    &lt;text&gt;&lt;/text&gt;_x000d__x000a_  &lt;/metadata&gt;_x000d__x000a_  &lt;metadata key=&quot;md_FirstRevNumber&quot;&gt;_x000d__x000a_    &lt;text&gt;2&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161&lt;/text&gt;_x000d__x000a_      &lt;text&gt;COMPET 361&lt;/text&gt;_x000d__x000a_      &lt;text&gt;MI 481&lt;/text&gt;_x000d__x000a_      &lt;text&gt;CONSOM 126&lt;/text&gt;_x000d__x000a_      &lt;text&gt;CODEC 1038&lt;/text&gt;_x000d__x000a_      &lt;text&gt;PARLNAT 10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309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 RÈGLEMENT DU PARLEMENT EUROPÉEN ET DU CONSEIL établissant des mesures relatives à l'internet ouvert et modifiant la directive 2002/22/CE sur le service universel et les droits de l'utilisateur concernant les réseaux de communication et les services et le règlement (UE) n° 531/2012 concernant l'itinérance sur les réseaux publics de communications mobiles à l'intérieur de l'Union - Adopté par le Conseil le 1 octobre 2015&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fr-be&quot; xml:space=&quot;preserve&quot;&amp;gt;Position du Conseil en première lecture en vue de l'adoption du RÈGLEMENT DU PARLEMENT EUROPÉEN ET DU CONSEIL &amp;lt;/Run&amp;gt;&amp;lt;Run FontFamily=&quot;Arial Unicode MS&quot;&amp;gt;établissant des mesures relatives à l'internet ouvert et modifiant la directive 2002/22/CE&amp;lt;/Run&amp;gt;&amp;lt;Run FontFamily=&quot;Arial Unicode MS&quot; xml:lang=&quot;fr-be&quot; xml:space=&quot;preserve&quot;&amp;gt; &amp;lt;/Run&amp;gt;&amp;lt;Run FontFamily=&quot;Arial Unicode MS&quot;&amp;gt;sur le service universel et les droits de l'utilisateur concernant les réseaux de communication et les services et le règlement (UE) n° 531/2012 concernant l'itinérance sur les réseaux publics de communications mobiles&amp;lt;/Run&amp;gt;&amp;lt;Run FontFamily=&quot;Arial Unicode MS&quot; xml:lang=&quot;fr-be&quot; xml:space=&quot;preserve&quot;&amp;gt; &amp;lt;/Run&amp;gt;&amp;lt;Run FontFamily=&quot;Arial Unicode MS&quot;&amp;gt;à l'intérieur de l'Union&amp;lt;/Run&amp;gt;&amp;lt;LineBreak /&amp;gt;&amp;lt;Run FontFamily=&quot;Arial Unicode MS&quot; xml:lang=&quot;fr-be&quot;&amp;gt;- Adopté par le Conseil le 1 octobre 2015&amp;lt;/Run&amp;gt;&amp;lt;/Paragraph&amp;gt;&amp;lt;/FlowDocument&amp;gt;&lt;/xaml&gt;_x000d__x000a_  &lt;/metadata&gt;_x000d__x000a_  &lt;metadata key=&quot;md_SubjectFootnote&quot; /&gt;_x000d__x000a_  &lt;metadata key=&quot;md_DG&quot;&gt;_x000d__x000a_    &lt;text&gt;DGE 2&lt;/text&gt;_x000d__x000a_  &lt;/metadata&gt;_x000d__x000a_  &lt;metadata key=&quot;md_Initials&quot;&gt;_x000d__x000a_    &lt;text&gt;EZ/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5F3E84"/>
    <w:rsid w:val="00002649"/>
    <w:rsid w:val="00003C96"/>
    <w:rsid w:val="00005A50"/>
    <w:rsid w:val="00005FD7"/>
    <w:rsid w:val="00012800"/>
    <w:rsid w:val="00012941"/>
    <w:rsid w:val="00012F5A"/>
    <w:rsid w:val="00017154"/>
    <w:rsid w:val="0002067D"/>
    <w:rsid w:val="00022731"/>
    <w:rsid w:val="0002709D"/>
    <w:rsid w:val="00027B7B"/>
    <w:rsid w:val="000425C0"/>
    <w:rsid w:val="0004300B"/>
    <w:rsid w:val="00055F5E"/>
    <w:rsid w:val="00065BB2"/>
    <w:rsid w:val="00070CAF"/>
    <w:rsid w:val="00080565"/>
    <w:rsid w:val="00080E94"/>
    <w:rsid w:val="0008166A"/>
    <w:rsid w:val="00086E11"/>
    <w:rsid w:val="000926F2"/>
    <w:rsid w:val="0009370E"/>
    <w:rsid w:val="000974DA"/>
    <w:rsid w:val="000A17FE"/>
    <w:rsid w:val="000B14AC"/>
    <w:rsid w:val="000B220D"/>
    <w:rsid w:val="000C197A"/>
    <w:rsid w:val="000C4090"/>
    <w:rsid w:val="000E0D3D"/>
    <w:rsid w:val="000E3634"/>
    <w:rsid w:val="000F1A4C"/>
    <w:rsid w:val="000F4AFC"/>
    <w:rsid w:val="000F5534"/>
    <w:rsid w:val="000F7001"/>
    <w:rsid w:val="000F715D"/>
    <w:rsid w:val="00101251"/>
    <w:rsid w:val="00102A78"/>
    <w:rsid w:val="001148B9"/>
    <w:rsid w:val="001154A1"/>
    <w:rsid w:val="00133095"/>
    <w:rsid w:val="00143295"/>
    <w:rsid w:val="00145963"/>
    <w:rsid w:val="00161C29"/>
    <w:rsid w:val="00165421"/>
    <w:rsid w:val="00165C9F"/>
    <w:rsid w:val="00172424"/>
    <w:rsid w:val="00185851"/>
    <w:rsid w:val="00185A2C"/>
    <w:rsid w:val="0019251B"/>
    <w:rsid w:val="00193CF0"/>
    <w:rsid w:val="00194A27"/>
    <w:rsid w:val="001B5D4C"/>
    <w:rsid w:val="001B66B0"/>
    <w:rsid w:val="001B7178"/>
    <w:rsid w:val="001C248C"/>
    <w:rsid w:val="001E11C1"/>
    <w:rsid w:val="001E264A"/>
    <w:rsid w:val="001E6CED"/>
    <w:rsid w:val="00204F56"/>
    <w:rsid w:val="002155AE"/>
    <w:rsid w:val="0022072E"/>
    <w:rsid w:val="0022388A"/>
    <w:rsid w:val="00223F02"/>
    <w:rsid w:val="00224697"/>
    <w:rsid w:val="002259F6"/>
    <w:rsid w:val="002275EE"/>
    <w:rsid w:val="00227CEF"/>
    <w:rsid w:val="0023738A"/>
    <w:rsid w:val="002433F1"/>
    <w:rsid w:val="002435D0"/>
    <w:rsid w:val="00251E83"/>
    <w:rsid w:val="00252671"/>
    <w:rsid w:val="002533D8"/>
    <w:rsid w:val="00253ABA"/>
    <w:rsid w:val="00254D1F"/>
    <w:rsid w:val="002615F4"/>
    <w:rsid w:val="002634F4"/>
    <w:rsid w:val="00265639"/>
    <w:rsid w:val="00273126"/>
    <w:rsid w:val="002748C1"/>
    <w:rsid w:val="002A2F7D"/>
    <w:rsid w:val="002A7935"/>
    <w:rsid w:val="002B034A"/>
    <w:rsid w:val="002C0066"/>
    <w:rsid w:val="002C086A"/>
    <w:rsid w:val="002D7A66"/>
    <w:rsid w:val="002D7C87"/>
    <w:rsid w:val="002E44E5"/>
    <w:rsid w:val="002E568E"/>
    <w:rsid w:val="002F28C6"/>
    <w:rsid w:val="002F2E09"/>
    <w:rsid w:val="002F3341"/>
    <w:rsid w:val="003041A7"/>
    <w:rsid w:val="003105DC"/>
    <w:rsid w:val="00313400"/>
    <w:rsid w:val="00317833"/>
    <w:rsid w:val="00323261"/>
    <w:rsid w:val="00330F23"/>
    <w:rsid w:val="00332091"/>
    <w:rsid w:val="00333DB7"/>
    <w:rsid w:val="00341779"/>
    <w:rsid w:val="00341989"/>
    <w:rsid w:val="00353140"/>
    <w:rsid w:val="00356B68"/>
    <w:rsid w:val="0036128D"/>
    <w:rsid w:val="00362593"/>
    <w:rsid w:val="003726FF"/>
    <w:rsid w:val="00373D8D"/>
    <w:rsid w:val="00387ECD"/>
    <w:rsid w:val="003933C6"/>
    <w:rsid w:val="00395C2E"/>
    <w:rsid w:val="003A1933"/>
    <w:rsid w:val="003A1B24"/>
    <w:rsid w:val="003B2301"/>
    <w:rsid w:val="003B717B"/>
    <w:rsid w:val="003D0F2A"/>
    <w:rsid w:val="003D3BE1"/>
    <w:rsid w:val="003D6470"/>
    <w:rsid w:val="003E1A32"/>
    <w:rsid w:val="003E32E2"/>
    <w:rsid w:val="003F604D"/>
    <w:rsid w:val="003F630D"/>
    <w:rsid w:val="00411D28"/>
    <w:rsid w:val="00413C70"/>
    <w:rsid w:val="0041755A"/>
    <w:rsid w:val="00424044"/>
    <w:rsid w:val="004256F6"/>
    <w:rsid w:val="00432032"/>
    <w:rsid w:val="0043398F"/>
    <w:rsid w:val="00444FDA"/>
    <w:rsid w:val="00453DB2"/>
    <w:rsid w:val="00457BB7"/>
    <w:rsid w:val="00472CD8"/>
    <w:rsid w:val="00474EA6"/>
    <w:rsid w:val="00475A30"/>
    <w:rsid w:val="00481C3F"/>
    <w:rsid w:val="00481DDF"/>
    <w:rsid w:val="004820B4"/>
    <w:rsid w:val="004907A0"/>
    <w:rsid w:val="00490F4A"/>
    <w:rsid w:val="00495962"/>
    <w:rsid w:val="00496234"/>
    <w:rsid w:val="004A15F6"/>
    <w:rsid w:val="004A19F4"/>
    <w:rsid w:val="004A29FC"/>
    <w:rsid w:val="004B6431"/>
    <w:rsid w:val="004C0D1B"/>
    <w:rsid w:val="004E0002"/>
    <w:rsid w:val="004E33E6"/>
    <w:rsid w:val="004E759F"/>
    <w:rsid w:val="004F11AD"/>
    <w:rsid w:val="004F2158"/>
    <w:rsid w:val="004F2B5C"/>
    <w:rsid w:val="00501DDA"/>
    <w:rsid w:val="00502A43"/>
    <w:rsid w:val="00506A07"/>
    <w:rsid w:val="005114B6"/>
    <w:rsid w:val="00525DC8"/>
    <w:rsid w:val="005317CC"/>
    <w:rsid w:val="005436D5"/>
    <w:rsid w:val="00543B6E"/>
    <w:rsid w:val="005445BA"/>
    <w:rsid w:val="005448FE"/>
    <w:rsid w:val="0054511A"/>
    <w:rsid w:val="00547077"/>
    <w:rsid w:val="00551601"/>
    <w:rsid w:val="005518AB"/>
    <w:rsid w:val="00556EAC"/>
    <w:rsid w:val="0055704D"/>
    <w:rsid w:val="00567FC4"/>
    <w:rsid w:val="00573C2F"/>
    <w:rsid w:val="00584F80"/>
    <w:rsid w:val="00590A8B"/>
    <w:rsid w:val="0059154D"/>
    <w:rsid w:val="005930F0"/>
    <w:rsid w:val="005951FD"/>
    <w:rsid w:val="005A3878"/>
    <w:rsid w:val="005A629B"/>
    <w:rsid w:val="005B7644"/>
    <w:rsid w:val="005C4ACC"/>
    <w:rsid w:val="005C5D80"/>
    <w:rsid w:val="005C7EAA"/>
    <w:rsid w:val="005D60D4"/>
    <w:rsid w:val="005D7A2A"/>
    <w:rsid w:val="005E0470"/>
    <w:rsid w:val="005E431C"/>
    <w:rsid w:val="005E475A"/>
    <w:rsid w:val="005F0423"/>
    <w:rsid w:val="005F3E84"/>
    <w:rsid w:val="005F6ECC"/>
    <w:rsid w:val="006019B7"/>
    <w:rsid w:val="00602D28"/>
    <w:rsid w:val="00602ED9"/>
    <w:rsid w:val="00605CDC"/>
    <w:rsid w:val="00610F21"/>
    <w:rsid w:val="00612DD0"/>
    <w:rsid w:val="0061395E"/>
    <w:rsid w:val="00620B32"/>
    <w:rsid w:val="006266E8"/>
    <w:rsid w:val="006316F3"/>
    <w:rsid w:val="00640C1D"/>
    <w:rsid w:val="00644C6E"/>
    <w:rsid w:val="00646E8B"/>
    <w:rsid w:val="0065101B"/>
    <w:rsid w:val="00652014"/>
    <w:rsid w:val="00652307"/>
    <w:rsid w:val="00656402"/>
    <w:rsid w:val="006606B4"/>
    <w:rsid w:val="006665B2"/>
    <w:rsid w:val="00672D70"/>
    <w:rsid w:val="0067747B"/>
    <w:rsid w:val="00680541"/>
    <w:rsid w:val="006833D0"/>
    <w:rsid w:val="00685731"/>
    <w:rsid w:val="0069496A"/>
    <w:rsid w:val="00695110"/>
    <w:rsid w:val="00695739"/>
    <w:rsid w:val="006A5CE9"/>
    <w:rsid w:val="006B1830"/>
    <w:rsid w:val="006C7323"/>
    <w:rsid w:val="006D01AB"/>
    <w:rsid w:val="006E1BE1"/>
    <w:rsid w:val="006F2763"/>
    <w:rsid w:val="007024DF"/>
    <w:rsid w:val="007101C7"/>
    <w:rsid w:val="00714825"/>
    <w:rsid w:val="0071724A"/>
    <w:rsid w:val="0072189A"/>
    <w:rsid w:val="00722462"/>
    <w:rsid w:val="007242D1"/>
    <w:rsid w:val="00733ADC"/>
    <w:rsid w:val="007437A7"/>
    <w:rsid w:val="00745CCA"/>
    <w:rsid w:val="007554B4"/>
    <w:rsid w:val="00757673"/>
    <w:rsid w:val="00765C6A"/>
    <w:rsid w:val="0077362A"/>
    <w:rsid w:val="007768E7"/>
    <w:rsid w:val="00796A51"/>
    <w:rsid w:val="007B1D98"/>
    <w:rsid w:val="007B54F3"/>
    <w:rsid w:val="007B5A4D"/>
    <w:rsid w:val="007B730B"/>
    <w:rsid w:val="007C0117"/>
    <w:rsid w:val="007D7B08"/>
    <w:rsid w:val="007F069E"/>
    <w:rsid w:val="007F2782"/>
    <w:rsid w:val="008009CE"/>
    <w:rsid w:val="00811704"/>
    <w:rsid w:val="0081329A"/>
    <w:rsid w:val="00821B48"/>
    <w:rsid w:val="00827ED1"/>
    <w:rsid w:val="00845C48"/>
    <w:rsid w:val="00846ADA"/>
    <w:rsid w:val="0085077B"/>
    <w:rsid w:val="00866341"/>
    <w:rsid w:val="00886000"/>
    <w:rsid w:val="008C0FBD"/>
    <w:rsid w:val="008C2786"/>
    <w:rsid w:val="008C35EB"/>
    <w:rsid w:val="008E7EC3"/>
    <w:rsid w:val="008F1919"/>
    <w:rsid w:val="008F50FC"/>
    <w:rsid w:val="008F5231"/>
    <w:rsid w:val="008F67D7"/>
    <w:rsid w:val="009033BC"/>
    <w:rsid w:val="009076FC"/>
    <w:rsid w:val="009115AA"/>
    <w:rsid w:val="00914E62"/>
    <w:rsid w:val="009159E6"/>
    <w:rsid w:val="00916581"/>
    <w:rsid w:val="00925644"/>
    <w:rsid w:val="00925F25"/>
    <w:rsid w:val="0093073B"/>
    <w:rsid w:val="00932C6C"/>
    <w:rsid w:val="00937D68"/>
    <w:rsid w:val="00954795"/>
    <w:rsid w:val="00957EE6"/>
    <w:rsid w:val="00963F47"/>
    <w:rsid w:val="00966868"/>
    <w:rsid w:val="00967D72"/>
    <w:rsid w:val="009737DF"/>
    <w:rsid w:val="00973C74"/>
    <w:rsid w:val="009749AC"/>
    <w:rsid w:val="00974EC7"/>
    <w:rsid w:val="009779EA"/>
    <w:rsid w:val="009809D9"/>
    <w:rsid w:val="0098793F"/>
    <w:rsid w:val="009921DC"/>
    <w:rsid w:val="009A0798"/>
    <w:rsid w:val="009A4A66"/>
    <w:rsid w:val="009A60F5"/>
    <w:rsid w:val="009A71B3"/>
    <w:rsid w:val="009B76CE"/>
    <w:rsid w:val="009B7B7E"/>
    <w:rsid w:val="009C208C"/>
    <w:rsid w:val="009C2282"/>
    <w:rsid w:val="009C7FE0"/>
    <w:rsid w:val="009E0A8C"/>
    <w:rsid w:val="009E2A90"/>
    <w:rsid w:val="009E3C1D"/>
    <w:rsid w:val="00A022B2"/>
    <w:rsid w:val="00A04A3F"/>
    <w:rsid w:val="00A1112B"/>
    <w:rsid w:val="00A17CC4"/>
    <w:rsid w:val="00A21152"/>
    <w:rsid w:val="00A2672E"/>
    <w:rsid w:val="00A306DC"/>
    <w:rsid w:val="00A35AF9"/>
    <w:rsid w:val="00A37140"/>
    <w:rsid w:val="00A42224"/>
    <w:rsid w:val="00A53603"/>
    <w:rsid w:val="00A547CB"/>
    <w:rsid w:val="00A6077F"/>
    <w:rsid w:val="00A63240"/>
    <w:rsid w:val="00A64388"/>
    <w:rsid w:val="00A700E4"/>
    <w:rsid w:val="00A7023B"/>
    <w:rsid w:val="00A746D2"/>
    <w:rsid w:val="00A76D62"/>
    <w:rsid w:val="00A809F3"/>
    <w:rsid w:val="00A81332"/>
    <w:rsid w:val="00A8210C"/>
    <w:rsid w:val="00A82110"/>
    <w:rsid w:val="00A82DD2"/>
    <w:rsid w:val="00A8377A"/>
    <w:rsid w:val="00AA280A"/>
    <w:rsid w:val="00AA3492"/>
    <w:rsid w:val="00AC3EF2"/>
    <w:rsid w:val="00AC47EE"/>
    <w:rsid w:val="00AD1EE0"/>
    <w:rsid w:val="00AD3672"/>
    <w:rsid w:val="00AD4873"/>
    <w:rsid w:val="00AD513D"/>
    <w:rsid w:val="00AE0599"/>
    <w:rsid w:val="00AE0C59"/>
    <w:rsid w:val="00AF3C5A"/>
    <w:rsid w:val="00B025DF"/>
    <w:rsid w:val="00B04932"/>
    <w:rsid w:val="00B06A77"/>
    <w:rsid w:val="00B25505"/>
    <w:rsid w:val="00B309AA"/>
    <w:rsid w:val="00B31567"/>
    <w:rsid w:val="00B34292"/>
    <w:rsid w:val="00B346F1"/>
    <w:rsid w:val="00B56D5D"/>
    <w:rsid w:val="00B61759"/>
    <w:rsid w:val="00B62E3B"/>
    <w:rsid w:val="00B73ADC"/>
    <w:rsid w:val="00B743D1"/>
    <w:rsid w:val="00B82F64"/>
    <w:rsid w:val="00B859CE"/>
    <w:rsid w:val="00B905C8"/>
    <w:rsid w:val="00B96162"/>
    <w:rsid w:val="00B97F70"/>
    <w:rsid w:val="00BB7AB7"/>
    <w:rsid w:val="00BC6AD4"/>
    <w:rsid w:val="00BD0AD4"/>
    <w:rsid w:val="00BD5483"/>
    <w:rsid w:val="00BD5E59"/>
    <w:rsid w:val="00BE0E1F"/>
    <w:rsid w:val="00BE36DC"/>
    <w:rsid w:val="00BE55E9"/>
    <w:rsid w:val="00BF1C19"/>
    <w:rsid w:val="00BF1F58"/>
    <w:rsid w:val="00C06ED8"/>
    <w:rsid w:val="00C07C0F"/>
    <w:rsid w:val="00C169B1"/>
    <w:rsid w:val="00C20CFC"/>
    <w:rsid w:val="00C30FDF"/>
    <w:rsid w:val="00C35ADE"/>
    <w:rsid w:val="00C372B5"/>
    <w:rsid w:val="00C377B5"/>
    <w:rsid w:val="00C41061"/>
    <w:rsid w:val="00C41720"/>
    <w:rsid w:val="00C431EF"/>
    <w:rsid w:val="00C46E3C"/>
    <w:rsid w:val="00C55381"/>
    <w:rsid w:val="00C5561A"/>
    <w:rsid w:val="00C5587D"/>
    <w:rsid w:val="00C571AD"/>
    <w:rsid w:val="00C63CFA"/>
    <w:rsid w:val="00C655C4"/>
    <w:rsid w:val="00C73198"/>
    <w:rsid w:val="00C76672"/>
    <w:rsid w:val="00C85F1D"/>
    <w:rsid w:val="00C860A5"/>
    <w:rsid w:val="00CB00C9"/>
    <w:rsid w:val="00CB08DD"/>
    <w:rsid w:val="00CB214A"/>
    <w:rsid w:val="00CC09BB"/>
    <w:rsid w:val="00CC26DD"/>
    <w:rsid w:val="00CD1269"/>
    <w:rsid w:val="00CD323A"/>
    <w:rsid w:val="00CE0E07"/>
    <w:rsid w:val="00CE7397"/>
    <w:rsid w:val="00CF1AAF"/>
    <w:rsid w:val="00CF3546"/>
    <w:rsid w:val="00CF3AD0"/>
    <w:rsid w:val="00D02316"/>
    <w:rsid w:val="00D10AB0"/>
    <w:rsid w:val="00D12C83"/>
    <w:rsid w:val="00D17214"/>
    <w:rsid w:val="00D21FB4"/>
    <w:rsid w:val="00D3584F"/>
    <w:rsid w:val="00D37843"/>
    <w:rsid w:val="00D41225"/>
    <w:rsid w:val="00D42A1A"/>
    <w:rsid w:val="00D4419D"/>
    <w:rsid w:val="00D47313"/>
    <w:rsid w:val="00D508DD"/>
    <w:rsid w:val="00D55FE1"/>
    <w:rsid w:val="00D62FEF"/>
    <w:rsid w:val="00D90C16"/>
    <w:rsid w:val="00D91432"/>
    <w:rsid w:val="00D929CC"/>
    <w:rsid w:val="00D92C90"/>
    <w:rsid w:val="00D93674"/>
    <w:rsid w:val="00D94B8B"/>
    <w:rsid w:val="00D94E2D"/>
    <w:rsid w:val="00D95D58"/>
    <w:rsid w:val="00DA3577"/>
    <w:rsid w:val="00DA6009"/>
    <w:rsid w:val="00DB4E2C"/>
    <w:rsid w:val="00DB57B1"/>
    <w:rsid w:val="00DB626D"/>
    <w:rsid w:val="00DC2CC0"/>
    <w:rsid w:val="00DC3806"/>
    <w:rsid w:val="00DD535B"/>
    <w:rsid w:val="00DD627A"/>
    <w:rsid w:val="00DE5909"/>
    <w:rsid w:val="00DF16FD"/>
    <w:rsid w:val="00DF6043"/>
    <w:rsid w:val="00DF6BAC"/>
    <w:rsid w:val="00E023B5"/>
    <w:rsid w:val="00E02FFC"/>
    <w:rsid w:val="00E0503A"/>
    <w:rsid w:val="00E05755"/>
    <w:rsid w:val="00E05904"/>
    <w:rsid w:val="00E05AF6"/>
    <w:rsid w:val="00E0708C"/>
    <w:rsid w:val="00E213C5"/>
    <w:rsid w:val="00E234AB"/>
    <w:rsid w:val="00E316BA"/>
    <w:rsid w:val="00E4627C"/>
    <w:rsid w:val="00E51EC1"/>
    <w:rsid w:val="00E55262"/>
    <w:rsid w:val="00E6124C"/>
    <w:rsid w:val="00E63D41"/>
    <w:rsid w:val="00E64950"/>
    <w:rsid w:val="00E6523E"/>
    <w:rsid w:val="00E70702"/>
    <w:rsid w:val="00E72929"/>
    <w:rsid w:val="00E760B3"/>
    <w:rsid w:val="00E760E7"/>
    <w:rsid w:val="00E80CE7"/>
    <w:rsid w:val="00E85BBD"/>
    <w:rsid w:val="00E87B5D"/>
    <w:rsid w:val="00E87BC6"/>
    <w:rsid w:val="00E925E1"/>
    <w:rsid w:val="00E94BF3"/>
    <w:rsid w:val="00EA7473"/>
    <w:rsid w:val="00EB29B8"/>
    <w:rsid w:val="00EB3423"/>
    <w:rsid w:val="00EC4E58"/>
    <w:rsid w:val="00EC75E9"/>
    <w:rsid w:val="00ED1189"/>
    <w:rsid w:val="00ED6CE9"/>
    <w:rsid w:val="00EE7F32"/>
    <w:rsid w:val="00EF5A97"/>
    <w:rsid w:val="00F05E13"/>
    <w:rsid w:val="00F06501"/>
    <w:rsid w:val="00F17ADA"/>
    <w:rsid w:val="00F21D3D"/>
    <w:rsid w:val="00F22BE4"/>
    <w:rsid w:val="00F30B01"/>
    <w:rsid w:val="00F333FF"/>
    <w:rsid w:val="00F3609F"/>
    <w:rsid w:val="00F407AF"/>
    <w:rsid w:val="00F4764B"/>
    <w:rsid w:val="00F50D24"/>
    <w:rsid w:val="00F550FE"/>
    <w:rsid w:val="00F617FE"/>
    <w:rsid w:val="00F75B1E"/>
    <w:rsid w:val="00F76FD8"/>
    <w:rsid w:val="00F80726"/>
    <w:rsid w:val="00F84055"/>
    <w:rsid w:val="00F8550B"/>
    <w:rsid w:val="00F97CAC"/>
    <w:rsid w:val="00FA2120"/>
    <w:rsid w:val="00FA63BF"/>
    <w:rsid w:val="00FB12E6"/>
    <w:rsid w:val="00FD06DA"/>
    <w:rsid w:val="00FD382E"/>
    <w:rsid w:val="00FD7F17"/>
    <w:rsid w:val="00FE167F"/>
    <w:rsid w:val="00FF376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43"/>
      </w:numPr>
      <w:spacing w:before="360"/>
      <w:outlineLvl w:val="0"/>
    </w:pPr>
    <w:rPr>
      <w:b/>
      <w:bCs/>
      <w:smallCaps/>
      <w:szCs w:val="32"/>
    </w:rPr>
  </w:style>
  <w:style w:type="paragraph" w:styleId="Heading2">
    <w:name w:val="heading 2"/>
    <w:basedOn w:val="Normal"/>
    <w:next w:val="Text1"/>
    <w:qFormat/>
    <w:rsid w:val="00224697"/>
    <w:pPr>
      <w:keepNext/>
      <w:numPr>
        <w:ilvl w:val="1"/>
        <w:numId w:val="43"/>
      </w:numPr>
      <w:outlineLvl w:val="1"/>
    </w:pPr>
    <w:rPr>
      <w:b/>
      <w:bCs/>
      <w:iCs/>
      <w:szCs w:val="28"/>
    </w:rPr>
  </w:style>
  <w:style w:type="paragraph" w:styleId="Heading3">
    <w:name w:val="heading 3"/>
    <w:basedOn w:val="Normal"/>
    <w:next w:val="Text1"/>
    <w:qFormat/>
    <w:rsid w:val="00224697"/>
    <w:pPr>
      <w:keepNext/>
      <w:numPr>
        <w:ilvl w:val="2"/>
        <w:numId w:val="43"/>
      </w:numPr>
      <w:outlineLvl w:val="2"/>
    </w:pPr>
    <w:rPr>
      <w:bCs/>
      <w:i/>
      <w:szCs w:val="26"/>
    </w:rPr>
  </w:style>
  <w:style w:type="paragraph" w:styleId="Heading4">
    <w:name w:val="heading 4"/>
    <w:basedOn w:val="Normal"/>
    <w:next w:val="Text1"/>
    <w:qFormat/>
    <w:rsid w:val="00224697"/>
    <w:pPr>
      <w:keepNext/>
      <w:numPr>
        <w:ilvl w:val="3"/>
        <w:numId w:val="4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5F3E84"/>
    <w:pPr>
      <w:spacing w:before="0" w:after="600" w:line="240" w:lineRule="auto"/>
      <w:jc w:val="center"/>
    </w:pPr>
    <w:rPr>
      <w:b/>
      <w:caps/>
      <w:lang w:eastAsia="de-DE"/>
    </w:rPr>
  </w:style>
  <w:style w:type="paragraph" w:customStyle="1" w:styleId="Rfrenceinterne">
    <w:name w:val="Référence interne"/>
    <w:basedOn w:val="Normal"/>
    <w:next w:val="Normal"/>
    <w:rsid w:val="005F3E84"/>
    <w:pPr>
      <w:spacing w:before="0" w:after="600" w:line="240" w:lineRule="auto"/>
      <w:jc w:val="center"/>
    </w:pPr>
    <w:rPr>
      <w:b/>
      <w:lang w:eastAsia="de-DE"/>
    </w:rPr>
  </w:style>
  <w:style w:type="paragraph" w:customStyle="1" w:styleId="HeaderCouncilLarge">
    <w:name w:val="Header Council Large"/>
    <w:basedOn w:val="Normal"/>
    <w:link w:val="HeaderCouncilLargeChar"/>
    <w:rsid w:val="005F3E84"/>
    <w:pPr>
      <w:spacing w:before="0" w:after="440"/>
    </w:pPr>
    <w:rPr>
      <w:sz w:val="2"/>
      <w:lang w:val="fr-FR"/>
    </w:rPr>
  </w:style>
  <w:style w:type="character" w:customStyle="1" w:styleId="LignefinalChar">
    <w:name w:val="Ligne final Char"/>
    <w:basedOn w:val="DefaultParagraphFont"/>
    <w:rsid w:val="005F3E84"/>
    <w:rPr>
      <w:b/>
      <w:sz w:val="24"/>
      <w:szCs w:val="24"/>
      <w:lang w:val="fr-FR" w:eastAsia="en-US"/>
    </w:rPr>
  </w:style>
  <w:style w:type="character" w:customStyle="1" w:styleId="HeaderCouncilLargeChar">
    <w:name w:val="Header Council Large Char"/>
    <w:basedOn w:val="LignefinalChar"/>
    <w:link w:val="HeaderCouncilLarge"/>
    <w:rsid w:val="005F3E84"/>
    <w:rPr>
      <w:b w:val="0"/>
      <w:sz w:val="2"/>
      <w:szCs w:val="24"/>
      <w:lang w:val="fr-FR" w:eastAsia="en-US"/>
    </w:rPr>
  </w:style>
  <w:style w:type="paragraph" w:customStyle="1" w:styleId="FooterText">
    <w:name w:val="Footer Text"/>
    <w:basedOn w:val="Normal"/>
    <w:rsid w:val="005F3E84"/>
    <w:pPr>
      <w:spacing w:before="0" w:after="0" w:line="240" w:lineRule="auto"/>
    </w:pPr>
  </w:style>
  <w:style w:type="paragraph" w:styleId="ListParagraph">
    <w:name w:val="List Paragraph"/>
    <w:basedOn w:val="Normal"/>
    <w:uiPriority w:val="34"/>
    <w:qFormat/>
    <w:rsid w:val="00EE7F32"/>
    <w:pPr>
      <w:spacing w:before="0" w:after="0" w:line="240" w:lineRule="auto"/>
      <w:ind w:left="720"/>
    </w:pPr>
    <w:rPr>
      <w:rFonts w:ascii="Calibri" w:eastAsiaTheme="minorHAnsi" w:hAnsi="Calibri"/>
      <w:sz w:val="22"/>
      <w:szCs w:val="22"/>
      <w:lang w:eastAsia="fr-FR" w:bidi="fr-FR"/>
    </w:rPr>
  </w:style>
  <w:style w:type="character" w:customStyle="1" w:styleId="HeaderChar">
    <w:name w:val="Header Char"/>
    <w:basedOn w:val="DefaultParagraphFont"/>
    <w:rsid w:val="00EE7F32"/>
    <w:rPr>
      <w:sz w:val="24"/>
      <w:szCs w:val="24"/>
      <w:lang w:val="fr-FR" w:eastAsia="en-US"/>
    </w:rPr>
  </w:style>
  <w:style w:type="character" w:customStyle="1" w:styleId="FootnoteTextChar">
    <w:name w:val="Footnote Text Char"/>
    <w:basedOn w:val="DefaultParagraphFont"/>
    <w:rsid w:val="00EE7F32"/>
    <w:rPr>
      <w:sz w:val="24"/>
      <w:lang w:val="fr-FR" w:eastAsia="en-US"/>
    </w:rPr>
  </w:style>
  <w:style w:type="paragraph" w:customStyle="1" w:styleId="FinalLine">
    <w:name w:val="Final Line"/>
    <w:basedOn w:val="Normal"/>
    <w:next w:val="Normal"/>
    <w:rsid w:val="00EE7F32"/>
    <w:pPr>
      <w:pBdr>
        <w:bottom w:val="single" w:sz="4" w:space="0" w:color="000000"/>
      </w:pBdr>
      <w:spacing w:before="360"/>
      <w:ind w:left="3400" w:right="3400"/>
      <w:jc w:val="center"/>
    </w:pPr>
    <w:rPr>
      <w:b/>
      <w:lang w:eastAsia="fr-FR" w:bidi="fr-FR"/>
    </w:rPr>
  </w:style>
  <w:style w:type="paragraph" w:customStyle="1" w:styleId="Annex">
    <w:name w:val="Annex"/>
    <w:basedOn w:val="Normal"/>
    <w:next w:val="Normal"/>
    <w:rsid w:val="00EE7F32"/>
    <w:pPr>
      <w:jc w:val="right"/>
    </w:pPr>
    <w:rPr>
      <w:b/>
      <w:u w:val="single"/>
      <w:lang w:eastAsia="fr-FR" w:bidi="fr-FR"/>
    </w:rPr>
  </w:style>
  <w:style w:type="paragraph" w:customStyle="1" w:styleId="manualnumparormalBefore1cm">
    <w:name w:val="manual numparormal + Before:  1 cm"/>
    <w:basedOn w:val="Normal"/>
    <w:rsid w:val="004256F6"/>
    <w:pPr>
      <w:ind w:left="567"/>
    </w:pPr>
  </w:style>
  <w:style w:type="paragraph" w:customStyle="1" w:styleId="talLatinItalic">
    <w:name w:val="tal + (Latin) Italic"/>
    <w:basedOn w:val="Normal"/>
    <w:rsid w:val="004256F6"/>
    <w:pPr>
      <w:spacing w:before="0" w:after="200"/>
      <w:ind w:left="1134"/>
      <w:jc w:val="center"/>
    </w:pPr>
    <w:rPr>
      <w:i/>
    </w:rPr>
  </w:style>
  <w:style w:type="paragraph" w:styleId="BalloonText">
    <w:name w:val="Balloon Text"/>
    <w:basedOn w:val="Normal"/>
    <w:link w:val="BalloonTextChar"/>
    <w:uiPriority w:val="99"/>
    <w:semiHidden/>
    <w:unhideWhenUsed/>
    <w:rsid w:val="00602E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ED9"/>
    <w:rPr>
      <w:rFonts w:ascii="Tahoma" w:hAnsi="Tahoma" w:cs="Tahoma"/>
      <w:sz w:val="16"/>
      <w:szCs w:val="16"/>
      <w:lang w:val="fr-FR" w:eastAsia="en-US"/>
    </w:rPr>
  </w:style>
  <w:style w:type="character" w:styleId="Strong">
    <w:name w:val="Strong"/>
    <w:basedOn w:val="DefaultParagraphFont"/>
    <w:uiPriority w:val="22"/>
    <w:qFormat/>
    <w:rsid w:val="007024DF"/>
    <w:rPr>
      <w:b/>
      <w:bCs/>
    </w:rPr>
  </w:style>
  <w:style w:type="character" w:styleId="CommentReference">
    <w:name w:val="annotation reference"/>
    <w:basedOn w:val="DefaultParagraphFont"/>
    <w:uiPriority w:val="99"/>
    <w:semiHidden/>
    <w:unhideWhenUsed/>
    <w:rsid w:val="00CD323A"/>
    <w:rPr>
      <w:sz w:val="16"/>
      <w:szCs w:val="16"/>
    </w:rPr>
  </w:style>
  <w:style w:type="paragraph" w:styleId="CommentText">
    <w:name w:val="annotation text"/>
    <w:basedOn w:val="Normal"/>
    <w:link w:val="CommentTextChar"/>
    <w:uiPriority w:val="99"/>
    <w:semiHidden/>
    <w:unhideWhenUsed/>
    <w:rsid w:val="00CD323A"/>
    <w:pPr>
      <w:spacing w:line="240" w:lineRule="auto"/>
    </w:pPr>
    <w:rPr>
      <w:sz w:val="20"/>
      <w:szCs w:val="20"/>
    </w:rPr>
  </w:style>
  <w:style w:type="character" w:customStyle="1" w:styleId="CommentTextChar">
    <w:name w:val="Comment Text Char"/>
    <w:basedOn w:val="DefaultParagraphFont"/>
    <w:link w:val="CommentText"/>
    <w:uiPriority w:val="99"/>
    <w:semiHidden/>
    <w:rsid w:val="00CD323A"/>
    <w:rPr>
      <w:lang w:val="fr-FR" w:eastAsia="en-US"/>
    </w:rPr>
  </w:style>
  <w:style w:type="paragraph" w:styleId="CommentSubject">
    <w:name w:val="annotation subject"/>
    <w:basedOn w:val="CommentText"/>
    <w:next w:val="CommentText"/>
    <w:link w:val="CommentSubjectChar"/>
    <w:uiPriority w:val="99"/>
    <w:semiHidden/>
    <w:unhideWhenUsed/>
    <w:rsid w:val="00CD323A"/>
    <w:rPr>
      <w:b/>
      <w:bCs/>
    </w:rPr>
  </w:style>
  <w:style w:type="character" w:customStyle="1" w:styleId="CommentSubjectChar">
    <w:name w:val="Comment Subject Char"/>
    <w:basedOn w:val="CommentTextChar"/>
    <w:link w:val="CommentSubject"/>
    <w:uiPriority w:val="99"/>
    <w:semiHidden/>
    <w:rsid w:val="00CD323A"/>
    <w:rPr>
      <w:b/>
      <w:bCs/>
      <w:lang w:val="fr-FR" w:eastAsia="en-US"/>
    </w:rPr>
  </w:style>
  <w:style w:type="paragraph" w:styleId="Revision">
    <w:name w:val="Revision"/>
    <w:hidden/>
    <w:uiPriority w:val="99"/>
    <w:semiHidden/>
    <w:rsid w:val="005C7EAA"/>
    <w:rPr>
      <w:sz w:val="24"/>
      <w:szCs w:val="24"/>
      <w:lang w:val="fr-FR" w:eastAsia="en-US"/>
    </w:rPr>
  </w:style>
  <w:style w:type="paragraph" w:styleId="ListBullet">
    <w:name w:val="List Bullet"/>
    <w:basedOn w:val="Normal"/>
    <w:uiPriority w:val="99"/>
    <w:semiHidden/>
    <w:unhideWhenUsed/>
    <w:rsid w:val="007768E7"/>
    <w:pPr>
      <w:numPr>
        <w:numId w:val="1"/>
      </w:numPr>
      <w:contextualSpacing/>
    </w:pPr>
  </w:style>
  <w:style w:type="paragraph" w:styleId="ListBullet2">
    <w:name w:val="List Bullet 2"/>
    <w:basedOn w:val="Normal"/>
    <w:uiPriority w:val="99"/>
    <w:semiHidden/>
    <w:unhideWhenUsed/>
    <w:rsid w:val="007768E7"/>
    <w:pPr>
      <w:numPr>
        <w:numId w:val="2"/>
      </w:numPr>
      <w:contextualSpacing/>
    </w:pPr>
  </w:style>
  <w:style w:type="paragraph" w:styleId="ListBullet3">
    <w:name w:val="List Bullet 3"/>
    <w:basedOn w:val="Normal"/>
    <w:uiPriority w:val="99"/>
    <w:semiHidden/>
    <w:unhideWhenUsed/>
    <w:rsid w:val="007768E7"/>
    <w:pPr>
      <w:numPr>
        <w:numId w:val="3"/>
      </w:numPr>
      <w:contextualSpacing/>
    </w:pPr>
  </w:style>
  <w:style w:type="paragraph" w:styleId="ListBullet4">
    <w:name w:val="List Bullet 4"/>
    <w:basedOn w:val="Normal"/>
    <w:uiPriority w:val="99"/>
    <w:semiHidden/>
    <w:unhideWhenUsed/>
    <w:rsid w:val="007768E7"/>
    <w:pPr>
      <w:numPr>
        <w:numId w:val="4"/>
      </w:numPr>
      <w:contextualSpacing/>
    </w:pPr>
  </w:style>
  <w:style w:type="paragraph" w:styleId="ListNumber">
    <w:name w:val="List Number"/>
    <w:basedOn w:val="Normal"/>
    <w:uiPriority w:val="99"/>
    <w:semiHidden/>
    <w:unhideWhenUsed/>
    <w:rsid w:val="007768E7"/>
    <w:pPr>
      <w:numPr>
        <w:numId w:val="5"/>
      </w:numPr>
      <w:contextualSpacing/>
    </w:pPr>
  </w:style>
  <w:style w:type="paragraph" w:styleId="ListNumber2">
    <w:name w:val="List Number 2"/>
    <w:basedOn w:val="Normal"/>
    <w:uiPriority w:val="99"/>
    <w:semiHidden/>
    <w:unhideWhenUsed/>
    <w:rsid w:val="007768E7"/>
    <w:pPr>
      <w:numPr>
        <w:numId w:val="6"/>
      </w:numPr>
      <w:contextualSpacing/>
    </w:pPr>
  </w:style>
  <w:style w:type="paragraph" w:styleId="ListNumber3">
    <w:name w:val="List Number 3"/>
    <w:basedOn w:val="Normal"/>
    <w:uiPriority w:val="99"/>
    <w:semiHidden/>
    <w:unhideWhenUsed/>
    <w:rsid w:val="007768E7"/>
    <w:pPr>
      <w:numPr>
        <w:numId w:val="7"/>
      </w:numPr>
      <w:contextualSpacing/>
    </w:pPr>
  </w:style>
  <w:style w:type="paragraph" w:styleId="ListNumber4">
    <w:name w:val="List Number 4"/>
    <w:basedOn w:val="Normal"/>
    <w:uiPriority w:val="99"/>
    <w:semiHidden/>
    <w:unhideWhenUsed/>
    <w:rsid w:val="007768E7"/>
    <w:pPr>
      <w:numPr>
        <w:numId w:val="8"/>
      </w:numPr>
      <w:contextualSpacing/>
    </w:pPr>
  </w:style>
  <w:style w:type="character" w:styleId="Hyperlink">
    <w:name w:val="Hyperlink"/>
    <w:basedOn w:val="DefaultParagraphFont"/>
    <w:uiPriority w:val="99"/>
    <w:unhideWhenUsed/>
    <w:rsid w:val="007768E7"/>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73126"/>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7"/>
      </w:numPr>
    </w:pPr>
  </w:style>
  <w:style w:type="paragraph" w:customStyle="1" w:styleId="Tiret1">
    <w:name w:val="Tiret 1"/>
    <w:basedOn w:val="Normal"/>
    <w:rsid w:val="00224697"/>
    <w:pPr>
      <w:numPr>
        <w:numId w:val="38"/>
      </w:numPr>
      <w:outlineLvl w:val="0"/>
    </w:pPr>
  </w:style>
  <w:style w:type="paragraph" w:customStyle="1" w:styleId="Tiret2">
    <w:name w:val="Tiret 2"/>
    <w:basedOn w:val="Normal"/>
    <w:rsid w:val="00224697"/>
    <w:pPr>
      <w:numPr>
        <w:numId w:val="39"/>
      </w:numPr>
      <w:outlineLvl w:val="1"/>
    </w:pPr>
  </w:style>
  <w:style w:type="paragraph" w:customStyle="1" w:styleId="Tiret3">
    <w:name w:val="Tiret 3"/>
    <w:basedOn w:val="Normal"/>
    <w:rsid w:val="00224697"/>
    <w:pPr>
      <w:numPr>
        <w:numId w:val="40"/>
      </w:numPr>
      <w:outlineLvl w:val="2"/>
    </w:pPr>
  </w:style>
  <w:style w:type="paragraph" w:customStyle="1" w:styleId="Tiret4">
    <w:name w:val="Tiret 4"/>
    <w:basedOn w:val="Normal"/>
    <w:rsid w:val="00224697"/>
    <w:pPr>
      <w:numPr>
        <w:numId w:val="41"/>
      </w:numPr>
      <w:outlineLvl w:val="3"/>
    </w:pPr>
  </w:style>
  <w:style w:type="paragraph" w:customStyle="1" w:styleId="NumPar1">
    <w:name w:val="NumPar 1"/>
    <w:basedOn w:val="Normal"/>
    <w:next w:val="Text1"/>
    <w:rsid w:val="00224697"/>
    <w:pPr>
      <w:numPr>
        <w:numId w:val="42"/>
      </w:numPr>
      <w:outlineLvl w:val="0"/>
    </w:pPr>
  </w:style>
  <w:style w:type="paragraph" w:customStyle="1" w:styleId="NumPar2">
    <w:name w:val="NumPar 2"/>
    <w:basedOn w:val="Normal"/>
    <w:next w:val="Text1"/>
    <w:rsid w:val="00224697"/>
    <w:pPr>
      <w:numPr>
        <w:ilvl w:val="1"/>
        <w:numId w:val="42"/>
      </w:numPr>
      <w:outlineLvl w:val="1"/>
    </w:pPr>
  </w:style>
  <w:style w:type="paragraph" w:customStyle="1" w:styleId="NumPar3">
    <w:name w:val="NumPar 3"/>
    <w:basedOn w:val="Normal"/>
    <w:next w:val="Text1"/>
    <w:rsid w:val="00224697"/>
    <w:pPr>
      <w:numPr>
        <w:ilvl w:val="2"/>
        <w:numId w:val="42"/>
      </w:numPr>
      <w:outlineLvl w:val="2"/>
    </w:pPr>
  </w:style>
  <w:style w:type="paragraph" w:customStyle="1" w:styleId="NumPar4">
    <w:name w:val="NumPar 4"/>
    <w:basedOn w:val="Normal"/>
    <w:next w:val="Text1"/>
    <w:rsid w:val="00224697"/>
    <w:pPr>
      <w:numPr>
        <w:ilvl w:val="3"/>
        <w:numId w:val="42"/>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4"/>
      </w:numPr>
    </w:pPr>
  </w:style>
  <w:style w:type="paragraph" w:customStyle="1" w:styleId="Point1number">
    <w:name w:val="Point 1 (number)"/>
    <w:basedOn w:val="Normal"/>
    <w:rsid w:val="00224697"/>
    <w:pPr>
      <w:numPr>
        <w:ilvl w:val="2"/>
        <w:numId w:val="44"/>
      </w:numPr>
      <w:outlineLvl w:val="0"/>
    </w:pPr>
  </w:style>
  <w:style w:type="paragraph" w:customStyle="1" w:styleId="Point2number">
    <w:name w:val="Point 2 (number)"/>
    <w:basedOn w:val="Normal"/>
    <w:rsid w:val="00224697"/>
    <w:pPr>
      <w:numPr>
        <w:ilvl w:val="4"/>
        <w:numId w:val="44"/>
      </w:numPr>
      <w:outlineLvl w:val="1"/>
    </w:pPr>
  </w:style>
  <w:style w:type="paragraph" w:customStyle="1" w:styleId="Point3number">
    <w:name w:val="Point 3 (number)"/>
    <w:basedOn w:val="Normal"/>
    <w:rsid w:val="00224697"/>
    <w:pPr>
      <w:numPr>
        <w:ilvl w:val="6"/>
        <w:numId w:val="44"/>
      </w:numPr>
      <w:outlineLvl w:val="2"/>
    </w:pPr>
  </w:style>
  <w:style w:type="paragraph" w:customStyle="1" w:styleId="Point0letter">
    <w:name w:val="Point 0 (letter)"/>
    <w:basedOn w:val="Normal"/>
    <w:rsid w:val="00224697"/>
    <w:pPr>
      <w:numPr>
        <w:ilvl w:val="1"/>
        <w:numId w:val="44"/>
      </w:numPr>
    </w:pPr>
  </w:style>
  <w:style w:type="paragraph" w:customStyle="1" w:styleId="Point1letter">
    <w:name w:val="Point 1 (letter)"/>
    <w:basedOn w:val="Normal"/>
    <w:rsid w:val="00224697"/>
    <w:pPr>
      <w:numPr>
        <w:ilvl w:val="3"/>
        <w:numId w:val="44"/>
      </w:numPr>
      <w:outlineLvl w:val="0"/>
    </w:pPr>
  </w:style>
  <w:style w:type="paragraph" w:customStyle="1" w:styleId="Point2letter">
    <w:name w:val="Point 2 (letter)"/>
    <w:basedOn w:val="Normal"/>
    <w:rsid w:val="00224697"/>
    <w:pPr>
      <w:numPr>
        <w:ilvl w:val="5"/>
        <w:numId w:val="44"/>
      </w:numPr>
      <w:outlineLvl w:val="1"/>
    </w:pPr>
  </w:style>
  <w:style w:type="paragraph" w:customStyle="1" w:styleId="Point3letter">
    <w:name w:val="Point 3 (letter)"/>
    <w:basedOn w:val="Normal"/>
    <w:rsid w:val="00224697"/>
    <w:pPr>
      <w:numPr>
        <w:ilvl w:val="7"/>
        <w:numId w:val="44"/>
      </w:numPr>
      <w:outlineLvl w:val="2"/>
    </w:pPr>
  </w:style>
  <w:style w:type="paragraph" w:customStyle="1" w:styleId="Point4letter">
    <w:name w:val="Point 4 (letter)"/>
    <w:basedOn w:val="Normal"/>
    <w:rsid w:val="00224697"/>
    <w:pPr>
      <w:numPr>
        <w:ilvl w:val="8"/>
        <w:numId w:val="44"/>
      </w:numPr>
      <w:outlineLvl w:val="3"/>
    </w:pPr>
  </w:style>
  <w:style w:type="paragraph" w:customStyle="1" w:styleId="Bullet0">
    <w:name w:val="Bullet 0"/>
    <w:basedOn w:val="Normal"/>
    <w:rsid w:val="00224697"/>
    <w:pPr>
      <w:numPr>
        <w:numId w:val="45"/>
      </w:numPr>
    </w:pPr>
  </w:style>
  <w:style w:type="paragraph" w:customStyle="1" w:styleId="Bullet1">
    <w:name w:val="Bullet 1"/>
    <w:basedOn w:val="Normal"/>
    <w:rsid w:val="00224697"/>
    <w:pPr>
      <w:numPr>
        <w:numId w:val="46"/>
      </w:numPr>
      <w:outlineLvl w:val="0"/>
    </w:pPr>
  </w:style>
  <w:style w:type="paragraph" w:customStyle="1" w:styleId="Bullet2">
    <w:name w:val="Bullet 2"/>
    <w:basedOn w:val="Normal"/>
    <w:rsid w:val="00224697"/>
    <w:pPr>
      <w:numPr>
        <w:numId w:val="47"/>
      </w:numPr>
      <w:outlineLvl w:val="1"/>
    </w:pPr>
  </w:style>
  <w:style w:type="paragraph" w:customStyle="1" w:styleId="Bullet3">
    <w:name w:val="Bullet 3"/>
    <w:basedOn w:val="Normal"/>
    <w:rsid w:val="00224697"/>
    <w:pPr>
      <w:numPr>
        <w:numId w:val="48"/>
      </w:numPr>
      <w:outlineLvl w:val="2"/>
    </w:pPr>
  </w:style>
  <w:style w:type="paragraph" w:customStyle="1" w:styleId="Bullet4">
    <w:name w:val="Bullet 4"/>
    <w:basedOn w:val="Normal"/>
    <w:rsid w:val="00224697"/>
    <w:pPr>
      <w:numPr>
        <w:numId w:val="49"/>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50"/>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43"/>
      </w:numPr>
      <w:spacing w:before="360"/>
      <w:outlineLvl w:val="0"/>
    </w:pPr>
    <w:rPr>
      <w:b/>
      <w:bCs/>
      <w:smallCaps/>
      <w:szCs w:val="32"/>
    </w:rPr>
  </w:style>
  <w:style w:type="paragraph" w:styleId="Heading2">
    <w:name w:val="heading 2"/>
    <w:basedOn w:val="Normal"/>
    <w:next w:val="Text1"/>
    <w:qFormat/>
    <w:rsid w:val="00224697"/>
    <w:pPr>
      <w:keepNext/>
      <w:numPr>
        <w:ilvl w:val="1"/>
        <w:numId w:val="43"/>
      </w:numPr>
      <w:outlineLvl w:val="1"/>
    </w:pPr>
    <w:rPr>
      <w:b/>
      <w:bCs/>
      <w:iCs/>
      <w:szCs w:val="28"/>
    </w:rPr>
  </w:style>
  <w:style w:type="paragraph" w:styleId="Heading3">
    <w:name w:val="heading 3"/>
    <w:basedOn w:val="Normal"/>
    <w:next w:val="Text1"/>
    <w:qFormat/>
    <w:rsid w:val="00224697"/>
    <w:pPr>
      <w:keepNext/>
      <w:numPr>
        <w:ilvl w:val="2"/>
        <w:numId w:val="43"/>
      </w:numPr>
      <w:outlineLvl w:val="2"/>
    </w:pPr>
    <w:rPr>
      <w:bCs/>
      <w:i/>
      <w:szCs w:val="26"/>
    </w:rPr>
  </w:style>
  <w:style w:type="paragraph" w:styleId="Heading4">
    <w:name w:val="heading 4"/>
    <w:basedOn w:val="Normal"/>
    <w:next w:val="Text1"/>
    <w:qFormat/>
    <w:rsid w:val="00224697"/>
    <w:pPr>
      <w:keepNext/>
      <w:numPr>
        <w:ilvl w:val="3"/>
        <w:numId w:val="43"/>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5F3E84"/>
    <w:pPr>
      <w:spacing w:before="0" w:after="600" w:line="240" w:lineRule="auto"/>
      <w:jc w:val="center"/>
    </w:pPr>
    <w:rPr>
      <w:b/>
      <w:caps/>
      <w:lang w:eastAsia="de-DE"/>
    </w:rPr>
  </w:style>
  <w:style w:type="paragraph" w:customStyle="1" w:styleId="Rfrenceinterne">
    <w:name w:val="Référence interne"/>
    <w:basedOn w:val="Normal"/>
    <w:next w:val="Normal"/>
    <w:rsid w:val="005F3E84"/>
    <w:pPr>
      <w:spacing w:before="0" w:after="600" w:line="240" w:lineRule="auto"/>
      <w:jc w:val="center"/>
    </w:pPr>
    <w:rPr>
      <w:b/>
      <w:lang w:eastAsia="de-DE"/>
    </w:rPr>
  </w:style>
  <w:style w:type="paragraph" w:customStyle="1" w:styleId="HeaderCouncilLarge">
    <w:name w:val="Header Council Large"/>
    <w:basedOn w:val="Normal"/>
    <w:link w:val="HeaderCouncilLargeChar"/>
    <w:rsid w:val="005F3E84"/>
    <w:pPr>
      <w:spacing w:before="0" w:after="440"/>
    </w:pPr>
    <w:rPr>
      <w:sz w:val="2"/>
      <w:lang w:val="fr-FR"/>
    </w:rPr>
  </w:style>
  <w:style w:type="character" w:customStyle="1" w:styleId="LignefinalChar">
    <w:name w:val="Ligne final Char"/>
    <w:basedOn w:val="DefaultParagraphFont"/>
    <w:rsid w:val="005F3E84"/>
    <w:rPr>
      <w:b/>
      <w:sz w:val="24"/>
      <w:szCs w:val="24"/>
      <w:lang w:val="fr-FR" w:eastAsia="en-US"/>
    </w:rPr>
  </w:style>
  <w:style w:type="character" w:customStyle="1" w:styleId="HeaderCouncilLargeChar">
    <w:name w:val="Header Council Large Char"/>
    <w:basedOn w:val="LignefinalChar"/>
    <w:link w:val="HeaderCouncilLarge"/>
    <w:rsid w:val="005F3E84"/>
    <w:rPr>
      <w:b w:val="0"/>
      <w:sz w:val="2"/>
      <w:szCs w:val="24"/>
      <w:lang w:val="fr-FR" w:eastAsia="en-US"/>
    </w:rPr>
  </w:style>
  <w:style w:type="paragraph" w:customStyle="1" w:styleId="FooterText">
    <w:name w:val="Footer Text"/>
    <w:basedOn w:val="Normal"/>
    <w:rsid w:val="005F3E84"/>
    <w:pPr>
      <w:spacing w:before="0" w:after="0" w:line="240" w:lineRule="auto"/>
    </w:pPr>
  </w:style>
  <w:style w:type="paragraph" w:styleId="ListParagraph">
    <w:name w:val="List Paragraph"/>
    <w:basedOn w:val="Normal"/>
    <w:uiPriority w:val="34"/>
    <w:qFormat/>
    <w:rsid w:val="00EE7F32"/>
    <w:pPr>
      <w:spacing w:before="0" w:after="0" w:line="240" w:lineRule="auto"/>
      <w:ind w:left="720"/>
    </w:pPr>
    <w:rPr>
      <w:rFonts w:ascii="Calibri" w:eastAsiaTheme="minorHAnsi" w:hAnsi="Calibri"/>
      <w:sz w:val="22"/>
      <w:szCs w:val="22"/>
      <w:lang w:eastAsia="fr-FR" w:bidi="fr-FR"/>
    </w:rPr>
  </w:style>
  <w:style w:type="character" w:customStyle="1" w:styleId="HeaderChar">
    <w:name w:val="Header Char"/>
    <w:basedOn w:val="DefaultParagraphFont"/>
    <w:rsid w:val="00EE7F32"/>
    <w:rPr>
      <w:sz w:val="24"/>
      <w:szCs w:val="24"/>
      <w:lang w:val="fr-FR" w:eastAsia="en-US"/>
    </w:rPr>
  </w:style>
  <w:style w:type="character" w:customStyle="1" w:styleId="FootnoteTextChar">
    <w:name w:val="Footnote Text Char"/>
    <w:basedOn w:val="DefaultParagraphFont"/>
    <w:rsid w:val="00EE7F32"/>
    <w:rPr>
      <w:sz w:val="24"/>
      <w:lang w:val="fr-FR" w:eastAsia="en-US"/>
    </w:rPr>
  </w:style>
  <w:style w:type="paragraph" w:customStyle="1" w:styleId="FinalLine">
    <w:name w:val="Final Line"/>
    <w:basedOn w:val="Normal"/>
    <w:next w:val="Normal"/>
    <w:rsid w:val="00EE7F32"/>
    <w:pPr>
      <w:pBdr>
        <w:bottom w:val="single" w:sz="4" w:space="0" w:color="000000"/>
      </w:pBdr>
      <w:spacing w:before="360"/>
      <w:ind w:left="3400" w:right="3400"/>
      <w:jc w:val="center"/>
    </w:pPr>
    <w:rPr>
      <w:b/>
      <w:lang w:eastAsia="fr-FR" w:bidi="fr-FR"/>
    </w:rPr>
  </w:style>
  <w:style w:type="paragraph" w:customStyle="1" w:styleId="Annex">
    <w:name w:val="Annex"/>
    <w:basedOn w:val="Normal"/>
    <w:next w:val="Normal"/>
    <w:rsid w:val="00EE7F32"/>
    <w:pPr>
      <w:jc w:val="right"/>
    </w:pPr>
    <w:rPr>
      <w:b/>
      <w:u w:val="single"/>
      <w:lang w:eastAsia="fr-FR" w:bidi="fr-FR"/>
    </w:rPr>
  </w:style>
  <w:style w:type="paragraph" w:customStyle="1" w:styleId="manualnumparormalBefore1cm">
    <w:name w:val="manual numparormal + Before:  1 cm"/>
    <w:basedOn w:val="Normal"/>
    <w:rsid w:val="004256F6"/>
    <w:pPr>
      <w:ind w:left="567"/>
    </w:pPr>
  </w:style>
  <w:style w:type="paragraph" w:customStyle="1" w:styleId="talLatinItalic">
    <w:name w:val="tal + (Latin) Italic"/>
    <w:basedOn w:val="Normal"/>
    <w:rsid w:val="004256F6"/>
    <w:pPr>
      <w:spacing w:before="0" w:after="200"/>
      <w:ind w:left="1134"/>
      <w:jc w:val="center"/>
    </w:pPr>
    <w:rPr>
      <w:i/>
    </w:rPr>
  </w:style>
  <w:style w:type="paragraph" w:styleId="BalloonText">
    <w:name w:val="Balloon Text"/>
    <w:basedOn w:val="Normal"/>
    <w:link w:val="BalloonTextChar"/>
    <w:uiPriority w:val="99"/>
    <w:semiHidden/>
    <w:unhideWhenUsed/>
    <w:rsid w:val="00602E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ED9"/>
    <w:rPr>
      <w:rFonts w:ascii="Tahoma" w:hAnsi="Tahoma" w:cs="Tahoma"/>
      <w:sz w:val="16"/>
      <w:szCs w:val="16"/>
      <w:lang w:val="fr-FR" w:eastAsia="en-US"/>
    </w:rPr>
  </w:style>
  <w:style w:type="character" w:styleId="Strong">
    <w:name w:val="Strong"/>
    <w:basedOn w:val="DefaultParagraphFont"/>
    <w:uiPriority w:val="22"/>
    <w:qFormat/>
    <w:rsid w:val="007024DF"/>
    <w:rPr>
      <w:b/>
      <w:bCs/>
    </w:rPr>
  </w:style>
  <w:style w:type="character" w:styleId="CommentReference">
    <w:name w:val="annotation reference"/>
    <w:basedOn w:val="DefaultParagraphFont"/>
    <w:uiPriority w:val="99"/>
    <w:semiHidden/>
    <w:unhideWhenUsed/>
    <w:rsid w:val="00CD323A"/>
    <w:rPr>
      <w:sz w:val="16"/>
      <w:szCs w:val="16"/>
    </w:rPr>
  </w:style>
  <w:style w:type="paragraph" w:styleId="CommentText">
    <w:name w:val="annotation text"/>
    <w:basedOn w:val="Normal"/>
    <w:link w:val="CommentTextChar"/>
    <w:uiPriority w:val="99"/>
    <w:semiHidden/>
    <w:unhideWhenUsed/>
    <w:rsid w:val="00CD323A"/>
    <w:pPr>
      <w:spacing w:line="240" w:lineRule="auto"/>
    </w:pPr>
    <w:rPr>
      <w:sz w:val="20"/>
      <w:szCs w:val="20"/>
    </w:rPr>
  </w:style>
  <w:style w:type="character" w:customStyle="1" w:styleId="CommentTextChar">
    <w:name w:val="Comment Text Char"/>
    <w:basedOn w:val="DefaultParagraphFont"/>
    <w:link w:val="CommentText"/>
    <w:uiPriority w:val="99"/>
    <w:semiHidden/>
    <w:rsid w:val="00CD323A"/>
    <w:rPr>
      <w:lang w:val="fr-FR" w:eastAsia="en-US"/>
    </w:rPr>
  </w:style>
  <w:style w:type="paragraph" w:styleId="CommentSubject">
    <w:name w:val="annotation subject"/>
    <w:basedOn w:val="CommentText"/>
    <w:next w:val="CommentText"/>
    <w:link w:val="CommentSubjectChar"/>
    <w:uiPriority w:val="99"/>
    <w:semiHidden/>
    <w:unhideWhenUsed/>
    <w:rsid w:val="00CD323A"/>
    <w:rPr>
      <w:b/>
      <w:bCs/>
    </w:rPr>
  </w:style>
  <w:style w:type="character" w:customStyle="1" w:styleId="CommentSubjectChar">
    <w:name w:val="Comment Subject Char"/>
    <w:basedOn w:val="CommentTextChar"/>
    <w:link w:val="CommentSubject"/>
    <w:uiPriority w:val="99"/>
    <w:semiHidden/>
    <w:rsid w:val="00CD323A"/>
    <w:rPr>
      <w:b/>
      <w:bCs/>
      <w:lang w:val="fr-FR" w:eastAsia="en-US"/>
    </w:rPr>
  </w:style>
  <w:style w:type="paragraph" w:styleId="Revision">
    <w:name w:val="Revision"/>
    <w:hidden/>
    <w:uiPriority w:val="99"/>
    <w:semiHidden/>
    <w:rsid w:val="005C7EAA"/>
    <w:rPr>
      <w:sz w:val="24"/>
      <w:szCs w:val="24"/>
      <w:lang w:val="fr-FR" w:eastAsia="en-US"/>
    </w:rPr>
  </w:style>
  <w:style w:type="paragraph" w:styleId="ListBullet">
    <w:name w:val="List Bullet"/>
    <w:basedOn w:val="Normal"/>
    <w:uiPriority w:val="99"/>
    <w:semiHidden/>
    <w:unhideWhenUsed/>
    <w:rsid w:val="007768E7"/>
    <w:pPr>
      <w:numPr>
        <w:numId w:val="1"/>
      </w:numPr>
      <w:contextualSpacing/>
    </w:pPr>
  </w:style>
  <w:style w:type="paragraph" w:styleId="ListBullet2">
    <w:name w:val="List Bullet 2"/>
    <w:basedOn w:val="Normal"/>
    <w:uiPriority w:val="99"/>
    <w:semiHidden/>
    <w:unhideWhenUsed/>
    <w:rsid w:val="007768E7"/>
    <w:pPr>
      <w:numPr>
        <w:numId w:val="2"/>
      </w:numPr>
      <w:contextualSpacing/>
    </w:pPr>
  </w:style>
  <w:style w:type="paragraph" w:styleId="ListBullet3">
    <w:name w:val="List Bullet 3"/>
    <w:basedOn w:val="Normal"/>
    <w:uiPriority w:val="99"/>
    <w:semiHidden/>
    <w:unhideWhenUsed/>
    <w:rsid w:val="007768E7"/>
    <w:pPr>
      <w:numPr>
        <w:numId w:val="3"/>
      </w:numPr>
      <w:contextualSpacing/>
    </w:pPr>
  </w:style>
  <w:style w:type="paragraph" w:styleId="ListBullet4">
    <w:name w:val="List Bullet 4"/>
    <w:basedOn w:val="Normal"/>
    <w:uiPriority w:val="99"/>
    <w:semiHidden/>
    <w:unhideWhenUsed/>
    <w:rsid w:val="007768E7"/>
    <w:pPr>
      <w:numPr>
        <w:numId w:val="4"/>
      </w:numPr>
      <w:contextualSpacing/>
    </w:pPr>
  </w:style>
  <w:style w:type="paragraph" w:styleId="ListNumber">
    <w:name w:val="List Number"/>
    <w:basedOn w:val="Normal"/>
    <w:uiPriority w:val="99"/>
    <w:semiHidden/>
    <w:unhideWhenUsed/>
    <w:rsid w:val="007768E7"/>
    <w:pPr>
      <w:numPr>
        <w:numId w:val="5"/>
      </w:numPr>
      <w:contextualSpacing/>
    </w:pPr>
  </w:style>
  <w:style w:type="paragraph" w:styleId="ListNumber2">
    <w:name w:val="List Number 2"/>
    <w:basedOn w:val="Normal"/>
    <w:uiPriority w:val="99"/>
    <w:semiHidden/>
    <w:unhideWhenUsed/>
    <w:rsid w:val="007768E7"/>
    <w:pPr>
      <w:numPr>
        <w:numId w:val="6"/>
      </w:numPr>
      <w:contextualSpacing/>
    </w:pPr>
  </w:style>
  <w:style w:type="paragraph" w:styleId="ListNumber3">
    <w:name w:val="List Number 3"/>
    <w:basedOn w:val="Normal"/>
    <w:uiPriority w:val="99"/>
    <w:semiHidden/>
    <w:unhideWhenUsed/>
    <w:rsid w:val="007768E7"/>
    <w:pPr>
      <w:numPr>
        <w:numId w:val="7"/>
      </w:numPr>
      <w:contextualSpacing/>
    </w:pPr>
  </w:style>
  <w:style w:type="paragraph" w:styleId="ListNumber4">
    <w:name w:val="List Number 4"/>
    <w:basedOn w:val="Normal"/>
    <w:uiPriority w:val="99"/>
    <w:semiHidden/>
    <w:unhideWhenUsed/>
    <w:rsid w:val="007768E7"/>
    <w:pPr>
      <w:numPr>
        <w:numId w:val="8"/>
      </w:numPr>
      <w:contextualSpacing/>
    </w:pPr>
  </w:style>
  <w:style w:type="character" w:styleId="Hyperlink">
    <w:name w:val="Hyperlink"/>
    <w:basedOn w:val="DefaultParagraphFont"/>
    <w:uiPriority w:val="99"/>
    <w:unhideWhenUsed/>
    <w:rsid w:val="007768E7"/>
    <w:rPr>
      <w:color w:val="0000FF" w:themeColor="hyperlink"/>
      <w:u w:val="single"/>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73126"/>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7"/>
      </w:numPr>
    </w:pPr>
  </w:style>
  <w:style w:type="paragraph" w:customStyle="1" w:styleId="Tiret1">
    <w:name w:val="Tiret 1"/>
    <w:basedOn w:val="Normal"/>
    <w:rsid w:val="00224697"/>
    <w:pPr>
      <w:numPr>
        <w:numId w:val="38"/>
      </w:numPr>
      <w:outlineLvl w:val="0"/>
    </w:pPr>
  </w:style>
  <w:style w:type="paragraph" w:customStyle="1" w:styleId="Tiret2">
    <w:name w:val="Tiret 2"/>
    <w:basedOn w:val="Normal"/>
    <w:rsid w:val="00224697"/>
    <w:pPr>
      <w:numPr>
        <w:numId w:val="39"/>
      </w:numPr>
      <w:outlineLvl w:val="1"/>
    </w:pPr>
  </w:style>
  <w:style w:type="paragraph" w:customStyle="1" w:styleId="Tiret3">
    <w:name w:val="Tiret 3"/>
    <w:basedOn w:val="Normal"/>
    <w:rsid w:val="00224697"/>
    <w:pPr>
      <w:numPr>
        <w:numId w:val="40"/>
      </w:numPr>
      <w:outlineLvl w:val="2"/>
    </w:pPr>
  </w:style>
  <w:style w:type="paragraph" w:customStyle="1" w:styleId="Tiret4">
    <w:name w:val="Tiret 4"/>
    <w:basedOn w:val="Normal"/>
    <w:rsid w:val="00224697"/>
    <w:pPr>
      <w:numPr>
        <w:numId w:val="41"/>
      </w:numPr>
      <w:outlineLvl w:val="3"/>
    </w:pPr>
  </w:style>
  <w:style w:type="paragraph" w:customStyle="1" w:styleId="NumPar1">
    <w:name w:val="NumPar 1"/>
    <w:basedOn w:val="Normal"/>
    <w:next w:val="Text1"/>
    <w:rsid w:val="00224697"/>
    <w:pPr>
      <w:numPr>
        <w:numId w:val="42"/>
      </w:numPr>
      <w:outlineLvl w:val="0"/>
    </w:pPr>
  </w:style>
  <w:style w:type="paragraph" w:customStyle="1" w:styleId="NumPar2">
    <w:name w:val="NumPar 2"/>
    <w:basedOn w:val="Normal"/>
    <w:next w:val="Text1"/>
    <w:rsid w:val="00224697"/>
    <w:pPr>
      <w:numPr>
        <w:ilvl w:val="1"/>
        <w:numId w:val="42"/>
      </w:numPr>
      <w:outlineLvl w:val="1"/>
    </w:pPr>
  </w:style>
  <w:style w:type="paragraph" w:customStyle="1" w:styleId="NumPar3">
    <w:name w:val="NumPar 3"/>
    <w:basedOn w:val="Normal"/>
    <w:next w:val="Text1"/>
    <w:rsid w:val="00224697"/>
    <w:pPr>
      <w:numPr>
        <w:ilvl w:val="2"/>
        <w:numId w:val="42"/>
      </w:numPr>
      <w:outlineLvl w:val="2"/>
    </w:pPr>
  </w:style>
  <w:style w:type="paragraph" w:customStyle="1" w:styleId="NumPar4">
    <w:name w:val="NumPar 4"/>
    <w:basedOn w:val="Normal"/>
    <w:next w:val="Text1"/>
    <w:rsid w:val="00224697"/>
    <w:pPr>
      <w:numPr>
        <w:ilvl w:val="3"/>
        <w:numId w:val="42"/>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4"/>
      </w:numPr>
    </w:pPr>
  </w:style>
  <w:style w:type="paragraph" w:customStyle="1" w:styleId="Point1number">
    <w:name w:val="Point 1 (number)"/>
    <w:basedOn w:val="Normal"/>
    <w:rsid w:val="00224697"/>
    <w:pPr>
      <w:numPr>
        <w:ilvl w:val="2"/>
        <w:numId w:val="44"/>
      </w:numPr>
      <w:outlineLvl w:val="0"/>
    </w:pPr>
  </w:style>
  <w:style w:type="paragraph" w:customStyle="1" w:styleId="Point2number">
    <w:name w:val="Point 2 (number)"/>
    <w:basedOn w:val="Normal"/>
    <w:rsid w:val="00224697"/>
    <w:pPr>
      <w:numPr>
        <w:ilvl w:val="4"/>
        <w:numId w:val="44"/>
      </w:numPr>
      <w:outlineLvl w:val="1"/>
    </w:pPr>
  </w:style>
  <w:style w:type="paragraph" w:customStyle="1" w:styleId="Point3number">
    <w:name w:val="Point 3 (number)"/>
    <w:basedOn w:val="Normal"/>
    <w:rsid w:val="00224697"/>
    <w:pPr>
      <w:numPr>
        <w:ilvl w:val="6"/>
        <w:numId w:val="44"/>
      </w:numPr>
      <w:outlineLvl w:val="2"/>
    </w:pPr>
  </w:style>
  <w:style w:type="paragraph" w:customStyle="1" w:styleId="Point0letter">
    <w:name w:val="Point 0 (letter)"/>
    <w:basedOn w:val="Normal"/>
    <w:rsid w:val="00224697"/>
    <w:pPr>
      <w:numPr>
        <w:ilvl w:val="1"/>
        <w:numId w:val="44"/>
      </w:numPr>
    </w:pPr>
  </w:style>
  <w:style w:type="paragraph" w:customStyle="1" w:styleId="Point1letter">
    <w:name w:val="Point 1 (letter)"/>
    <w:basedOn w:val="Normal"/>
    <w:rsid w:val="00224697"/>
    <w:pPr>
      <w:numPr>
        <w:ilvl w:val="3"/>
        <w:numId w:val="44"/>
      </w:numPr>
      <w:outlineLvl w:val="0"/>
    </w:pPr>
  </w:style>
  <w:style w:type="paragraph" w:customStyle="1" w:styleId="Point2letter">
    <w:name w:val="Point 2 (letter)"/>
    <w:basedOn w:val="Normal"/>
    <w:rsid w:val="00224697"/>
    <w:pPr>
      <w:numPr>
        <w:ilvl w:val="5"/>
        <w:numId w:val="44"/>
      </w:numPr>
      <w:outlineLvl w:val="1"/>
    </w:pPr>
  </w:style>
  <w:style w:type="paragraph" w:customStyle="1" w:styleId="Point3letter">
    <w:name w:val="Point 3 (letter)"/>
    <w:basedOn w:val="Normal"/>
    <w:rsid w:val="00224697"/>
    <w:pPr>
      <w:numPr>
        <w:ilvl w:val="7"/>
        <w:numId w:val="44"/>
      </w:numPr>
      <w:outlineLvl w:val="2"/>
    </w:pPr>
  </w:style>
  <w:style w:type="paragraph" w:customStyle="1" w:styleId="Point4letter">
    <w:name w:val="Point 4 (letter)"/>
    <w:basedOn w:val="Normal"/>
    <w:rsid w:val="00224697"/>
    <w:pPr>
      <w:numPr>
        <w:ilvl w:val="8"/>
        <w:numId w:val="44"/>
      </w:numPr>
      <w:outlineLvl w:val="3"/>
    </w:pPr>
  </w:style>
  <w:style w:type="paragraph" w:customStyle="1" w:styleId="Bullet0">
    <w:name w:val="Bullet 0"/>
    <w:basedOn w:val="Normal"/>
    <w:rsid w:val="00224697"/>
    <w:pPr>
      <w:numPr>
        <w:numId w:val="45"/>
      </w:numPr>
    </w:pPr>
  </w:style>
  <w:style w:type="paragraph" w:customStyle="1" w:styleId="Bullet1">
    <w:name w:val="Bullet 1"/>
    <w:basedOn w:val="Normal"/>
    <w:rsid w:val="00224697"/>
    <w:pPr>
      <w:numPr>
        <w:numId w:val="46"/>
      </w:numPr>
      <w:outlineLvl w:val="0"/>
    </w:pPr>
  </w:style>
  <w:style w:type="paragraph" w:customStyle="1" w:styleId="Bullet2">
    <w:name w:val="Bullet 2"/>
    <w:basedOn w:val="Normal"/>
    <w:rsid w:val="00224697"/>
    <w:pPr>
      <w:numPr>
        <w:numId w:val="47"/>
      </w:numPr>
      <w:outlineLvl w:val="1"/>
    </w:pPr>
  </w:style>
  <w:style w:type="paragraph" w:customStyle="1" w:styleId="Bullet3">
    <w:name w:val="Bullet 3"/>
    <w:basedOn w:val="Normal"/>
    <w:rsid w:val="00224697"/>
    <w:pPr>
      <w:numPr>
        <w:numId w:val="48"/>
      </w:numPr>
      <w:outlineLvl w:val="2"/>
    </w:pPr>
  </w:style>
  <w:style w:type="paragraph" w:customStyle="1" w:styleId="Bullet4">
    <w:name w:val="Bullet 4"/>
    <w:basedOn w:val="Normal"/>
    <w:rsid w:val="00224697"/>
    <w:pPr>
      <w:numPr>
        <w:numId w:val="49"/>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50"/>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EBF6-2D26-42B6-913C-BF48FB47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57</Pages>
  <Words>13005</Words>
  <Characters>74490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JAMET Sylvie</dc:creator>
  <cp:lastModifiedBy>DQC</cp:lastModifiedBy>
  <cp:revision>2</cp:revision>
  <cp:lastPrinted>2015-09-04T16:25:00Z</cp:lastPrinted>
  <dcterms:created xsi:type="dcterms:W3CDTF">2015-10-02T08:19:00Z</dcterms:created>
  <dcterms:modified xsi:type="dcterms:W3CDTF">2015-10-02T08:19:00Z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ies>
</file>