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B61EB4" w:rsidRDefault="000F6B48" w:rsidP="00B61EB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510a05e-94ae-4926-aaa0-1f3416a61303_0" style="width:569.45pt;height:489.95pt">
            <v:imagedata r:id="rId9" o:title=""/>
          </v:shape>
        </w:pict>
      </w:r>
      <w:bookmarkEnd w:id="0"/>
    </w:p>
    <w:p w:rsidR="001D6B80" w:rsidRPr="002C6DA6" w:rsidRDefault="001D6B80" w:rsidP="001D6B80">
      <w:pPr>
        <w:pStyle w:val="HeadingCentered"/>
      </w:pPr>
      <w:r w:rsidRPr="002C6DA6">
        <w:t>VERSION RÉVIS</w:t>
      </w:r>
      <w:r>
        <w:t xml:space="preserve">ÉE N° 1 DE </w:t>
      </w:r>
      <w:r w:rsidRPr="002C6DA6">
        <w:t>L'ORDRE DU JOUR PROVISOIRE</w:t>
      </w:r>
    </w:p>
    <w:p w:rsidR="001D6B80" w:rsidRDefault="001D6B80" w:rsidP="001D6B80">
      <w:pPr>
        <w:pStyle w:val="PointManual"/>
        <w:spacing w:before="360"/>
      </w:pPr>
      <w:r>
        <w:t>-</w:t>
      </w:r>
      <w:r>
        <w:tab/>
        <w:t>Adoption de l'ordre du jour provisoire</w:t>
      </w:r>
    </w:p>
    <w:p w:rsidR="001D6B80" w:rsidRDefault="00CE005E" w:rsidP="001D6B80">
      <w:pPr>
        <w:pStyle w:val="Text3"/>
      </w:pPr>
      <w:r>
        <w:t>14921/15 OJ/</w:t>
      </w:r>
      <w:r w:rsidR="001D6B80">
        <w:t>CONS 72 ECOFIN 946</w:t>
      </w:r>
    </w:p>
    <w:p w:rsidR="001D6B80" w:rsidRPr="001D6B80" w:rsidRDefault="001D6B80" w:rsidP="001D6B80">
      <w:pPr>
        <w:pStyle w:val="Title"/>
        <w:spacing w:after="0"/>
        <w:rPr>
          <w:i w:val="0"/>
          <w:iCs/>
          <w:lang w:val="fr-BE" w:eastAsia="en-GB"/>
        </w:rPr>
      </w:pPr>
      <w:r w:rsidRPr="001D6B80">
        <w:rPr>
          <w:i w:val="0"/>
          <w:iCs/>
          <w:lang w:val="fr-BE" w:eastAsia="en-GB"/>
        </w:rPr>
        <w:t>Délibérations législatives</w:t>
      </w:r>
    </w:p>
    <w:p w:rsidR="001D6B80" w:rsidRDefault="001D6B80" w:rsidP="001D6B80">
      <w:pPr>
        <w:jc w:val="center"/>
        <w:rPr>
          <w:b/>
          <w:bCs/>
          <w:lang w:val="fr-BE" w:eastAsia="en-GB"/>
        </w:rPr>
      </w:pPr>
      <w:r>
        <w:rPr>
          <w:b/>
          <w:bCs/>
          <w:lang w:val="fr-BE" w:eastAsia="en-GB"/>
        </w:rPr>
        <w:t>(</w:t>
      </w:r>
      <w:r>
        <w:rPr>
          <w:b/>
          <w:bCs/>
          <w:lang w:val="fr-BE"/>
        </w:rPr>
        <w:t>Délibération publique conformément à l'article 16, paragraphe 8, du traité sur l'Union européenne</w:t>
      </w:r>
      <w:r>
        <w:rPr>
          <w:b/>
          <w:bCs/>
          <w:lang w:val="fr-BE" w:eastAsia="en-GB"/>
        </w:rPr>
        <w:t>)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Approbation de la liste des points "A" 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 xml:space="preserve">14922/15 </w:t>
      </w:r>
      <w:r w:rsidRPr="001D6B80">
        <w:t>PTS</w:t>
      </w:r>
      <w:r>
        <w:rPr>
          <w:lang w:val="fr-BE" w:eastAsia="en-GB"/>
        </w:rPr>
        <w:t xml:space="preserve"> A 97</w:t>
      </w:r>
    </w:p>
    <w:p w:rsidR="001D6B80" w:rsidRDefault="0034138C" w:rsidP="001D6B80">
      <w:pPr>
        <w:pStyle w:val="PointManual"/>
        <w:spacing w:before="360"/>
        <w:rPr>
          <w:lang w:val="fr-BE" w:eastAsia="en-GB"/>
        </w:rPr>
      </w:pPr>
      <w:r>
        <w:rPr>
          <w:lang w:val="fr-BE"/>
        </w:rPr>
        <w:br w:type="page"/>
      </w:r>
      <w:r w:rsidR="001D6B80">
        <w:rPr>
          <w:lang w:val="fr-BE"/>
        </w:rPr>
        <w:lastRenderedPageBreak/>
        <w:t>-</w:t>
      </w:r>
      <w:r w:rsidR="001D6B80">
        <w:rPr>
          <w:lang w:val="fr-BE"/>
        </w:rPr>
        <w:tab/>
        <w:t>Coopération renforcée dans le domaine de la taxe sur les transactions financières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 w:eastAsia="en-GB"/>
        </w:rPr>
      </w:pPr>
      <w:r>
        <w:rPr>
          <w:rFonts w:eastAsia="Calibri"/>
          <w:lang w:val="fr-BE" w:eastAsia="en-GB"/>
        </w:rPr>
        <w:t>Proposition</w:t>
      </w:r>
      <w:r>
        <w:rPr>
          <w:lang w:val="fr-BE"/>
        </w:rPr>
        <w:t xml:space="preserve"> de directive du Conseil mettant en œuvre une coopération renforcée dans le domaine de la taxe sur les transactions financières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en-GB"/>
        </w:rPr>
      </w:pPr>
      <w:r>
        <w:rPr>
          <w:lang w:val="fr-BE" w:eastAsia="en-GB"/>
        </w:rPr>
        <w:t>État des lieux</w:t>
      </w:r>
    </w:p>
    <w:p w:rsidR="001D6B80" w:rsidRDefault="005F4DE2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14942/15 FISC 181 ECOFIN 947</w:t>
      </w:r>
    </w:p>
    <w:p w:rsidR="001D6B80" w:rsidRDefault="001D6B80" w:rsidP="001D6B80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>Assiette commune consolidée pour l'impôt sur les sociétés (ACCIS)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/>
        </w:rPr>
      </w:pPr>
      <w:r>
        <w:rPr>
          <w:rFonts w:eastAsia="Calibri"/>
          <w:lang w:val="fr-BE" w:eastAsia="en-GB"/>
        </w:rPr>
        <w:t>Proposition</w:t>
      </w:r>
      <w:r>
        <w:rPr>
          <w:lang w:val="fr-BE"/>
        </w:rPr>
        <w:t xml:space="preserve"> de directive du Conseil concernant une assiette commune consolidée pour l'impôt sur les sociétés (ACCIS)</w:t>
      </w:r>
    </w:p>
    <w:p w:rsidR="001D6B80" w:rsidRDefault="005F4DE2" w:rsidP="001D6B80">
      <w:pPr>
        <w:pStyle w:val="DashEqual2"/>
        <w:numPr>
          <w:ilvl w:val="0"/>
          <w:numId w:val="28"/>
        </w:numPr>
        <w:rPr>
          <w:lang w:val="fr-BE" w:eastAsia="en-GB"/>
        </w:rPr>
      </w:pPr>
      <w:r>
        <w:rPr>
          <w:lang w:val="fr-BE" w:eastAsia="en-GB"/>
        </w:rPr>
        <w:t>État des lieux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14509/15 FISC 169 ECOFIN 916</w:t>
      </w:r>
    </w:p>
    <w:p w:rsidR="001D6B80" w:rsidRDefault="001D6B80" w:rsidP="001D6B80">
      <w:pPr>
        <w:pStyle w:val="PointManual"/>
        <w:spacing w:before="360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t>-</w:t>
      </w:r>
      <w:r>
        <w:rPr>
          <w:rFonts w:eastAsia="Calibri" w:cs="Arial"/>
          <w:szCs w:val="22"/>
          <w:lang w:val="fr-BE" w:eastAsia="en-GB"/>
        </w:rPr>
        <w:tab/>
      </w:r>
      <w:r>
        <w:rPr>
          <w:lang w:val="fr-BE"/>
        </w:rPr>
        <w:t>Compléter l'Union bancaire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rFonts w:eastAsia="Calibri"/>
          <w:lang w:val="fr-BE" w:eastAsia="en-GB"/>
        </w:rPr>
      </w:pPr>
      <w:r>
        <w:rPr>
          <w:rFonts w:eastAsia="Calibri"/>
          <w:lang w:val="fr-BE" w:eastAsia="en-GB"/>
        </w:rPr>
        <w:t xml:space="preserve">Proposition de règlement du Parlement européen et du Conseil établissant un Système européen d'assurance des dépôts (connu comme "EDIS" - European Deposit Insurance Scheme) et modifiant le règlement (UE) 806/2014 </w:t>
      </w:r>
      <w:r>
        <w:rPr>
          <w:lang w:val="fr-BE"/>
        </w:rPr>
        <w:t>et la directive 2014/49/EU</w:t>
      </w:r>
      <w:r>
        <w:rPr>
          <w:rFonts w:eastAsia="Calibri"/>
          <w:lang w:val="fr-BE" w:eastAsia="en-GB"/>
        </w:rPr>
        <w:t xml:space="preserve"> 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rFonts w:eastAsia="Calibri" w:cs="Arial"/>
          <w:szCs w:val="22"/>
          <w:lang w:val="fr-BE"/>
        </w:rPr>
      </w:pPr>
      <w:r>
        <w:rPr>
          <w:rFonts w:eastAsia="Calibri"/>
          <w:lang w:val="fr-BE" w:eastAsia="en-GB"/>
        </w:rPr>
        <w:t>Communication</w:t>
      </w:r>
      <w:r>
        <w:rPr>
          <w:lang w:val="fr-BE"/>
        </w:rPr>
        <w:t xml:space="preserve"> de la Commission "Compléter l'Union bancaire"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rFonts w:eastAsia="Calibri" w:cs="Arial"/>
          <w:szCs w:val="22"/>
          <w:lang w:val="fr-BE" w:eastAsia="en-GB"/>
        </w:rPr>
      </w:pPr>
      <w:r>
        <w:rPr>
          <w:lang w:val="fr-BE" w:eastAsia="en-GB"/>
        </w:rPr>
        <w:t>Présentation</w:t>
      </w:r>
      <w:r>
        <w:rPr>
          <w:rFonts w:eastAsia="Calibri" w:cs="Arial"/>
          <w:szCs w:val="22"/>
          <w:lang w:val="fr-BE" w:eastAsia="en-GB"/>
        </w:rPr>
        <w:t xml:space="preserve"> par la Commission et échange de vues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 w:rsidRPr="001D6B80">
        <w:rPr>
          <w:lang w:val="fr-BE" w:eastAsia="en-GB"/>
        </w:rPr>
        <w:t>14649</w:t>
      </w:r>
      <w:r>
        <w:rPr>
          <w:rFonts w:eastAsia="Calibri" w:cs="Arial"/>
          <w:szCs w:val="22"/>
          <w:lang w:val="fr-BE" w:eastAsia="en-GB"/>
        </w:rPr>
        <w:t>/15 EF 213 ECOFIN 928 CODEC 1604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 w:rsidRPr="001D6B80">
        <w:rPr>
          <w:lang w:val="fr-BE" w:eastAsia="en-GB"/>
        </w:rPr>
        <w:t>14650</w:t>
      </w:r>
      <w:r>
        <w:rPr>
          <w:rFonts w:eastAsia="Calibri" w:cs="Arial"/>
          <w:szCs w:val="22"/>
          <w:lang w:val="fr-BE" w:eastAsia="en-GB"/>
        </w:rPr>
        <w:t>/15 EF 214 ECOFIN 929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Divers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/>
        </w:rPr>
      </w:pPr>
      <w:r>
        <w:rPr>
          <w:rFonts w:eastAsia="Calibri"/>
          <w:lang w:val="fr-BE" w:eastAsia="en-GB"/>
        </w:rPr>
        <w:t>Propositions</w:t>
      </w:r>
      <w:r>
        <w:rPr>
          <w:lang w:val="fr-BE"/>
        </w:rPr>
        <w:t xml:space="preserve"> législatives en cours d'examen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/>
        </w:rPr>
      </w:pPr>
      <w:r>
        <w:rPr>
          <w:lang w:val="fr-BE" w:eastAsia="en-GB"/>
        </w:rPr>
        <w:t>Informations</w:t>
      </w:r>
      <w:r>
        <w:rPr>
          <w:lang w:val="fr-BE"/>
        </w:rPr>
        <w:t xml:space="preserve"> communiquées par la présidence</w:t>
      </w:r>
    </w:p>
    <w:p w:rsidR="001D6B80" w:rsidRPr="001D6B80" w:rsidRDefault="001D6B80" w:rsidP="001D6B80">
      <w:pPr>
        <w:pStyle w:val="Title"/>
        <w:rPr>
          <w:i w:val="0"/>
          <w:iCs/>
          <w:lang w:val="fr-BE" w:eastAsia="en-GB"/>
        </w:rPr>
      </w:pPr>
      <w:r w:rsidRPr="001D6B80">
        <w:rPr>
          <w:i w:val="0"/>
          <w:iCs/>
          <w:lang w:val="fr-BE" w:eastAsia="en-GB"/>
        </w:rPr>
        <w:t>Activités non législatives</w:t>
      </w:r>
    </w:p>
    <w:p w:rsidR="001D6B80" w:rsidRDefault="001D6B80" w:rsidP="001D6B80">
      <w:pPr>
        <w:pStyle w:val="PointManual"/>
        <w:spacing w:before="12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Approbation de la liste des points "A" 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14923/15 PTS A 98</w:t>
      </w:r>
    </w:p>
    <w:p w:rsidR="001D6B80" w:rsidRDefault="001D6B80" w:rsidP="001D6B80">
      <w:pPr>
        <w:pStyle w:val="PointManual"/>
        <w:spacing w:before="360"/>
        <w:rPr>
          <w:lang w:val="fr-BE"/>
        </w:rPr>
      </w:pPr>
      <w:r>
        <w:rPr>
          <w:lang w:val="fr-BE"/>
        </w:rPr>
        <w:t>-</w:t>
      </w:r>
      <w:r>
        <w:rPr>
          <w:lang w:val="fr-BE"/>
        </w:rPr>
        <w:tab/>
        <w:t xml:space="preserve">Mise en </w:t>
      </w:r>
      <w:r>
        <w:rPr>
          <w:lang w:val="fr-BE" w:eastAsia="en-GB"/>
        </w:rPr>
        <w:t>œuvre</w:t>
      </w:r>
      <w:r>
        <w:rPr>
          <w:lang w:val="fr-BE"/>
        </w:rPr>
        <w:t xml:space="preserve"> de l'Union bancaire</w:t>
      </w:r>
    </w:p>
    <w:p w:rsidR="001D6B80" w:rsidRDefault="001D6B80" w:rsidP="001D6B80">
      <w:pPr>
        <w:pStyle w:val="DashEqual1"/>
        <w:rPr>
          <w:lang w:val="fr-BE"/>
        </w:rPr>
      </w:pPr>
      <w:r>
        <w:rPr>
          <w:lang w:val="fr-BE"/>
        </w:rPr>
        <w:t>Information sur l'état des dossiers concernés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Lutte contre le financement du terrorisme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Présentation par la Commission des prochaines étapes pour renforcer le cadre européen dans le domaine de la lutte contre le financement du terrorisme et échange de vues</w:t>
      </w:r>
    </w:p>
    <w:p w:rsidR="001D6B80" w:rsidRDefault="001D6B80" w:rsidP="005F4DE2">
      <w:pPr>
        <w:pStyle w:val="PointManual"/>
        <w:spacing w:before="360"/>
        <w:rPr>
          <w:lang w:val="fr-BE" w:eastAsia="fr-FR" w:bidi="fr-FR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Futur du </w:t>
      </w:r>
      <w:r>
        <w:rPr>
          <w:lang w:val="fr-BE" w:eastAsia="fr-FR" w:bidi="fr-FR"/>
        </w:rPr>
        <w:t>Code de Conduite (Fiscalité des Entreprises)</w:t>
      </w:r>
    </w:p>
    <w:p w:rsidR="001D6B80" w:rsidRDefault="001D6B80" w:rsidP="001D6B80">
      <w:pPr>
        <w:pStyle w:val="Dash1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fr-FR" w:bidi="fr-FR"/>
        </w:rPr>
      </w:pPr>
      <w:r>
        <w:rPr>
          <w:lang w:val="fr-BE" w:eastAsia="fr-FR" w:bidi="fr-FR"/>
        </w:rPr>
        <w:t>Adoption</w:t>
      </w:r>
    </w:p>
    <w:p w:rsidR="001D6B80" w:rsidRDefault="005F4DE2" w:rsidP="001D6B80">
      <w:pPr>
        <w:pStyle w:val="Text3"/>
        <w:rPr>
          <w:lang w:val="fr-BE" w:eastAsia="fr-FR" w:bidi="fr-FR"/>
        </w:rPr>
      </w:pPr>
      <w:r>
        <w:rPr>
          <w:lang w:val="fr-BE" w:eastAsia="fr-FR" w:bidi="fr-FR"/>
        </w:rPr>
        <w:t>14945/15 FISC 182 ECOFIN 949</w:t>
      </w:r>
    </w:p>
    <w:p w:rsidR="001D6B80" w:rsidRDefault="001D6B80" w:rsidP="005F4DE2">
      <w:pPr>
        <w:pStyle w:val="PointManual"/>
        <w:spacing w:before="360"/>
        <w:rPr>
          <w:lang w:val="fr-BE" w:eastAsia="fr-FR" w:bidi="fr-FR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Érosion</w:t>
      </w:r>
      <w:r>
        <w:rPr>
          <w:rFonts w:eastAsia="Calibri" w:cs="Arial"/>
          <w:szCs w:val="22"/>
          <w:lang w:val="fr-BE" w:eastAsia="en-GB"/>
        </w:rPr>
        <w:t xml:space="preserve"> de la base d'imposition et transfert de bénéfices</w:t>
      </w:r>
    </w:p>
    <w:p w:rsidR="001D6B80" w:rsidRDefault="001D6B80" w:rsidP="001D6B80">
      <w:pPr>
        <w:pStyle w:val="Dash1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fr-FR" w:bidi="fr-FR"/>
        </w:rPr>
      </w:pPr>
      <w:r>
        <w:rPr>
          <w:lang w:val="fr-BE" w:eastAsia="fr-FR" w:bidi="fr-FR"/>
        </w:rPr>
        <w:t>Adoption</w:t>
      </w:r>
    </w:p>
    <w:p w:rsidR="001D6B80" w:rsidRDefault="005F4DE2" w:rsidP="001D6B80">
      <w:pPr>
        <w:pStyle w:val="Text3"/>
        <w:rPr>
          <w:lang w:val="fr-BE" w:eastAsia="fr-FR" w:bidi="fr-FR"/>
        </w:rPr>
      </w:pPr>
      <w:r>
        <w:rPr>
          <w:lang w:val="fr-BE" w:eastAsia="fr-FR" w:bidi="fr-FR"/>
        </w:rPr>
        <w:t>14947/15 FISC 183 ECOFIN 950</w:t>
      </w:r>
    </w:p>
    <w:p w:rsidR="001D6B80" w:rsidRDefault="001D6B80" w:rsidP="001D6B80">
      <w:pPr>
        <w:pStyle w:val="PointManual"/>
        <w:spacing w:before="360"/>
        <w:rPr>
          <w:lang w:val="fr-BE" w:eastAsia="fr-FR" w:bidi="fr-FR"/>
        </w:rPr>
      </w:pPr>
      <w:r>
        <w:rPr>
          <w:lang w:val="fr-BE"/>
        </w:rPr>
        <w:br w:type="page"/>
      </w:r>
      <w:bookmarkStart w:id="2" w:name="ControlPages"/>
      <w:bookmarkEnd w:id="2"/>
      <w:r>
        <w:rPr>
          <w:lang w:val="fr-BE"/>
        </w:rPr>
        <w:lastRenderedPageBreak/>
        <w:t>-</w:t>
      </w:r>
      <w:r>
        <w:rPr>
          <w:lang w:val="fr-BE"/>
        </w:rPr>
        <w:tab/>
        <w:t xml:space="preserve">Semestre </w:t>
      </w:r>
      <w:r>
        <w:rPr>
          <w:lang w:val="fr-BE" w:eastAsia="en-GB"/>
        </w:rPr>
        <w:t>européen</w:t>
      </w:r>
    </w:p>
    <w:p w:rsidR="001D6B80" w:rsidRDefault="001D6B80" w:rsidP="001D6B80">
      <w:pPr>
        <w:pStyle w:val="Dash1"/>
        <w:rPr>
          <w:lang w:val="fr-BE" w:eastAsia="en-GB"/>
        </w:rPr>
      </w:pPr>
      <w:r>
        <w:rPr>
          <w:rFonts w:eastAsia="Calibri"/>
          <w:lang w:val="fr-BE" w:eastAsia="en-GB"/>
        </w:rPr>
        <w:t>Examen</w:t>
      </w:r>
      <w:r>
        <w:rPr>
          <w:lang w:val="fr-BE" w:eastAsia="en-GB"/>
        </w:rPr>
        <w:t xml:space="preserve"> annuel de la croissance 2016</w:t>
      </w:r>
    </w:p>
    <w:p w:rsidR="001D6B80" w:rsidRDefault="001D6B80" w:rsidP="001D6B80">
      <w:pPr>
        <w:pStyle w:val="Dash1"/>
        <w:rPr>
          <w:lang w:val="fr-BE" w:eastAsia="en-GB"/>
        </w:rPr>
      </w:pPr>
      <w:r>
        <w:rPr>
          <w:rFonts w:eastAsia="Calibri"/>
          <w:lang w:val="fr-BE" w:eastAsia="en-GB"/>
        </w:rPr>
        <w:t>Procédure</w:t>
      </w:r>
      <w:r>
        <w:rPr>
          <w:lang w:val="fr-BE"/>
        </w:rPr>
        <w:t xml:space="preserve"> concernant les déséquilibres macroéconomiques - Rapport 2016 de la Commission sur le mécanisme d'alerte </w:t>
      </w:r>
    </w:p>
    <w:p w:rsidR="001D6B80" w:rsidRDefault="001D6B80" w:rsidP="001D6B80">
      <w:pPr>
        <w:pStyle w:val="Dash1"/>
        <w:rPr>
          <w:lang w:val="fr-BE"/>
        </w:rPr>
      </w:pPr>
      <w:r>
        <w:rPr>
          <w:lang w:val="fr-BE"/>
        </w:rPr>
        <w:t xml:space="preserve">Projet </w:t>
      </w:r>
      <w:r>
        <w:rPr>
          <w:rFonts w:eastAsia="Calibri"/>
          <w:lang w:val="fr-BE" w:eastAsia="en-GB"/>
        </w:rPr>
        <w:t>de</w:t>
      </w:r>
      <w:r>
        <w:rPr>
          <w:lang w:val="fr-BE"/>
        </w:rPr>
        <w:t xml:space="preserve"> recommandation du Conseil concernant la mise en œuvre des grandes orientations des politiques économiques des États membres dont la monnaie est l'euro</w:t>
      </w:r>
    </w:p>
    <w:p w:rsidR="001D6B80" w:rsidRDefault="001D6B80" w:rsidP="001D6B80">
      <w:pPr>
        <w:pStyle w:val="DashEqual2"/>
        <w:rPr>
          <w:lang w:val="fr-BE"/>
        </w:rPr>
      </w:pPr>
      <w:r>
        <w:rPr>
          <w:lang w:val="fr-BE" w:eastAsia="fr-FR" w:bidi="fr-FR"/>
        </w:rPr>
        <w:t>Présentation</w:t>
      </w:r>
      <w:r>
        <w:rPr>
          <w:lang w:val="fr-BE"/>
        </w:rPr>
        <w:t xml:space="preserve"> par la Commission et échange de vues</w:t>
      </w:r>
    </w:p>
    <w:p w:rsidR="001D6B80" w:rsidRPr="001D6B80" w:rsidRDefault="001D6B80" w:rsidP="001D6B80">
      <w:pPr>
        <w:pStyle w:val="Text3"/>
        <w:rPr>
          <w:lang w:val="pt-PT"/>
        </w:rPr>
      </w:pPr>
      <w:r w:rsidRPr="001D6B80">
        <w:rPr>
          <w:lang w:val="pt-PT"/>
        </w:rPr>
        <w:t>14270/15 ECOFIN 875 UEM 415 SOC 676 EMPL 441 COMPET 519 ENV 705</w:t>
      </w:r>
    </w:p>
    <w:p w:rsidR="001D6B80" w:rsidRPr="001D6B80" w:rsidRDefault="001D6B80" w:rsidP="001D6B80">
      <w:pPr>
        <w:pStyle w:val="Text5"/>
        <w:rPr>
          <w:lang w:val="en-GB"/>
        </w:rPr>
      </w:pPr>
      <w:r w:rsidRPr="001D6B80">
        <w:rPr>
          <w:lang w:val="en-GB"/>
        </w:rPr>
        <w:t xml:space="preserve">EDUC 300 RECH 279 ENER 391 JAI 873 </w:t>
      </w:r>
    </w:p>
    <w:p w:rsidR="001D6B80" w:rsidRPr="005F4DE2" w:rsidRDefault="001D6B80" w:rsidP="001D6B80">
      <w:pPr>
        <w:pStyle w:val="Text3"/>
        <w:rPr>
          <w:lang w:val="en-GB"/>
        </w:rPr>
      </w:pPr>
      <w:r w:rsidRPr="005F4DE2">
        <w:rPr>
          <w:lang w:val="en-GB"/>
        </w:rPr>
        <w:t xml:space="preserve">14272/15 ECOFIN 877 UEM 416 SOC 677 EMPL 442 </w:t>
      </w:r>
    </w:p>
    <w:p w:rsidR="001D6B80" w:rsidRPr="001D6B80" w:rsidRDefault="001D6B80" w:rsidP="001D6B80">
      <w:pPr>
        <w:pStyle w:val="Text3"/>
        <w:rPr>
          <w:lang w:val="pt-PT"/>
        </w:rPr>
      </w:pPr>
      <w:r w:rsidRPr="001D6B80">
        <w:rPr>
          <w:lang w:val="pt-PT"/>
        </w:rPr>
        <w:t>14291/15 ECOFIN 882 UEM 421 SOC 678 EMPL 443 COMPET 520 ENV 709</w:t>
      </w:r>
    </w:p>
    <w:p w:rsidR="001D6B80" w:rsidRPr="005F4DE2" w:rsidRDefault="001D6B80" w:rsidP="001D6B80">
      <w:pPr>
        <w:pStyle w:val="Text5"/>
        <w:rPr>
          <w:lang w:val="fr-BE"/>
        </w:rPr>
      </w:pPr>
      <w:r w:rsidRPr="005F4DE2">
        <w:rPr>
          <w:lang w:val="fr-BE"/>
        </w:rPr>
        <w:t xml:space="preserve">EDUC 301 RECH 280 ENER 394 JAI 883 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Position commune sur la flexibilité dans le Pacte de stabilité et de croissance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Information communiquée par la présidence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14345/15 ECOFIN 888 UEM 422</w:t>
      </w:r>
    </w:p>
    <w:p w:rsidR="001D6B80" w:rsidRDefault="001D6B80" w:rsidP="001D6B80">
      <w:pPr>
        <w:pStyle w:val="PointManual"/>
        <w:spacing w:before="360"/>
        <w:rPr>
          <w:rFonts w:eastAsia="Calibri" w:cs="Arial"/>
          <w:szCs w:val="22"/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Statistiques</w:t>
      </w:r>
    </w:p>
    <w:p w:rsidR="001D6B80" w:rsidRDefault="001D6B80" w:rsidP="001D6B80">
      <w:pPr>
        <w:pStyle w:val="Dash1"/>
        <w:rPr>
          <w:rFonts w:eastAsia="Calibri" w:cs="Arial"/>
          <w:szCs w:val="22"/>
          <w:lang w:val="fr-BE" w:eastAsia="en-GB"/>
        </w:rPr>
      </w:pPr>
      <w:r>
        <w:rPr>
          <w:rFonts w:eastAsia="Calibri"/>
          <w:lang w:val="fr-BE" w:eastAsia="en-GB"/>
        </w:rPr>
        <w:t>Statistiques</w:t>
      </w:r>
      <w:r>
        <w:rPr>
          <w:rFonts w:eastAsia="Calibri" w:cs="Arial"/>
          <w:szCs w:val="22"/>
          <w:lang w:val="fr-BE" w:eastAsia="en-GB"/>
        </w:rPr>
        <w:t xml:space="preserve"> de l'UE</w:t>
      </w:r>
    </w:p>
    <w:p w:rsidR="001D6B80" w:rsidRDefault="001D6B80" w:rsidP="001D6B80">
      <w:pPr>
        <w:pStyle w:val="Dash1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t xml:space="preserve">Mise </w:t>
      </w:r>
      <w:r>
        <w:rPr>
          <w:rFonts w:eastAsia="Calibri"/>
          <w:lang w:val="fr-BE" w:eastAsia="en-GB"/>
        </w:rPr>
        <w:t>en</w:t>
      </w:r>
      <w:r>
        <w:rPr>
          <w:rFonts w:eastAsia="Calibri" w:cs="Arial"/>
          <w:szCs w:val="22"/>
          <w:lang w:val="fr-BE" w:eastAsia="en-GB"/>
        </w:rPr>
        <w:t xml:space="preserve"> œuvre du code de bonnes pratiques</w:t>
      </w:r>
    </w:p>
    <w:p w:rsidR="0034138C" w:rsidRDefault="0034138C" w:rsidP="0034138C">
      <w:pPr>
        <w:pStyle w:val="DashEqual2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t>14597/15 ECOFIN 921 STATIS 87 UEM 426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Rapport annuel de la Cour des comptes européenne relatif à l'exécution du budget de l'Union européenne pour l'exercice 2014 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Présentation et échange de vues</w:t>
      </w:r>
    </w:p>
    <w:p w:rsidR="001D6B80" w:rsidRDefault="001D6B80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Divers</w:t>
      </w:r>
    </w:p>
    <w:p w:rsidR="001D6B80" w:rsidRPr="007A7113" w:rsidRDefault="001D6B80" w:rsidP="001D6B80">
      <w:pPr>
        <w:spacing w:before="360"/>
        <w:jc w:val="center"/>
        <w:rPr>
          <w:snapToGrid w:val="0"/>
          <w:lang w:val="fr-BE"/>
        </w:rPr>
      </w:pPr>
      <w:r w:rsidRPr="007A7113">
        <w:rPr>
          <w:snapToGrid w:val="0"/>
          <w:lang w:val="fr-BE"/>
        </w:rPr>
        <w:t>o</w:t>
      </w:r>
    </w:p>
    <w:p w:rsidR="001D6B80" w:rsidRPr="007A7113" w:rsidRDefault="001D6B80" w:rsidP="001D6B80">
      <w:pPr>
        <w:spacing w:before="120"/>
        <w:jc w:val="center"/>
        <w:rPr>
          <w:snapToGrid w:val="0"/>
          <w:lang w:val="fr-BE"/>
        </w:rPr>
      </w:pPr>
      <w:r w:rsidRPr="007A7113">
        <w:rPr>
          <w:snapToGrid w:val="0"/>
          <w:lang w:val="fr-BE"/>
        </w:rPr>
        <w:t>o</w:t>
      </w:r>
      <w:r w:rsidRPr="007A7113">
        <w:rPr>
          <w:snapToGrid w:val="0"/>
          <w:lang w:val="fr-BE"/>
        </w:rPr>
        <w:tab/>
        <w:t>o</w:t>
      </w:r>
    </w:p>
    <w:p w:rsidR="004819D4" w:rsidRPr="005F4DE2" w:rsidRDefault="004819D4" w:rsidP="005F4DE2">
      <w:pPr>
        <w:pStyle w:val="PointManual"/>
        <w:rPr>
          <w:b/>
          <w:bCs/>
          <w:lang w:val="fr-BE"/>
        </w:rPr>
      </w:pPr>
      <w:r w:rsidRPr="005F4DE2">
        <w:rPr>
          <w:b/>
          <w:bCs/>
          <w:lang w:val="fr-BE"/>
        </w:rPr>
        <w:t>p.m.</w:t>
      </w:r>
      <w:r w:rsidR="00B56DC8">
        <w:rPr>
          <w:b/>
          <w:bCs/>
          <w:lang w:val="fr-BE"/>
        </w:rPr>
        <w:t>:</w:t>
      </w:r>
    </w:p>
    <w:p w:rsidR="004819D4" w:rsidRPr="005F4DE2" w:rsidRDefault="004819D4" w:rsidP="005F4DE2">
      <w:pPr>
        <w:pStyle w:val="PointManual"/>
        <w:spacing w:before="360"/>
        <w:rPr>
          <w:b/>
          <w:bCs/>
          <w:u w:val="single"/>
          <w:lang w:val="fr-BE"/>
        </w:rPr>
      </w:pPr>
      <w:r w:rsidRPr="005F4DE2">
        <w:rPr>
          <w:b/>
          <w:bCs/>
          <w:u w:val="single"/>
          <w:lang w:val="fr-BE"/>
        </w:rPr>
        <w:t>Lundi 7 décembre 2015</w:t>
      </w:r>
    </w:p>
    <w:p w:rsidR="004819D4" w:rsidRPr="0039007A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15h00</w:t>
      </w:r>
      <w:r w:rsidRPr="0039007A">
        <w:rPr>
          <w:lang w:val="fr-BE"/>
        </w:rPr>
        <w:tab/>
        <w:t>Eurogroupe</w:t>
      </w:r>
    </w:p>
    <w:p w:rsidR="004819D4" w:rsidRPr="005F4DE2" w:rsidRDefault="004819D4" w:rsidP="005F4DE2">
      <w:pPr>
        <w:pStyle w:val="PointManual"/>
        <w:spacing w:before="360"/>
        <w:rPr>
          <w:b/>
          <w:bCs/>
          <w:u w:val="single"/>
          <w:lang w:val="fr-BE"/>
        </w:rPr>
      </w:pPr>
      <w:r w:rsidRPr="005F4DE2">
        <w:rPr>
          <w:b/>
          <w:bCs/>
          <w:u w:val="single"/>
          <w:lang w:val="fr-BE"/>
        </w:rPr>
        <w:t>Mardi 8 décembre 2015</w:t>
      </w:r>
    </w:p>
    <w:p w:rsidR="004819D4" w:rsidRPr="0039007A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09h00</w:t>
      </w:r>
      <w:r w:rsidR="00B56DC8">
        <w:rPr>
          <w:lang w:val="fr-BE"/>
        </w:rPr>
        <w:tab/>
        <w:t>Petit-</w:t>
      </w:r>
      <w:r w:rsidRPr="0039007A">
        <w:rPr>
          <w:lang w:val="fr-BE"/>
        </w:rPr>
        <w:t>déjeuner</w:t>
      </w:r>
    </w:p>
    <w:p w:rsidR="004819D4" w:rsidRPr="0039007A" w:rsidRDefault="00FF341F" w:rsidP="005F4DE2">
      <w:pPr>
        <w:pStyle w:val="PointManual"/>
        <w:rPr>
          <w:lang w:val="fr-BE"/>
        </w:rPr>
      </w:pPr>
      <w:r>
        <w:rPr>
          <w:b/>
          <w:bCs/>
          <w:lang w:val="fr-BE"/>
        </w:rPr>
        <w:t>09h45</w:t>
      </w:r>
      <w:r w:rsidR="004819D4" w:rsidRPr="0039007A">
        <w:rPr>
          <w:lang w:val="fr-BE"/>
        </w:rPr>
        <w:tab/>
        <w:t>Session informelle</w:t>
      </w:r>
    </w:p>
    <w:p w:rsidR="004819D4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10h15</w:t>
      </w:r>
      <w:r w:rsidRPr="0039007A">
        <w:rPr>
          <w:lang w:val="fr-BE"/>
        </w:rPr>
        <w:tab/>
        <w:t>Conseil (ECOFIN)</w:t>
      </w:r>
    </w:p>
    <w:p w:rsidR="00AC4218" w:rsidRDefault="00AC4218" w:rsidP="00AC4218">
      <w:pPr>
        <w:pStyle w:val="FinalLine"/>
      </w:pPr>
    </w:p>
    <w:sectPr w:rsidR="00AC4218" w:rsidSect="00B61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8C" w:rsidRPr="00B61EB4" w:rsidRDefault="0034138C" w:rsidP="00B61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61EB4" w:rsidRPr="00D94637" w:rsidTr="00B61E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61EB4" w:rsidRPr="00D94637" w:rsidRDefault="00B61E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B61EB4" w:rsidRPr="00B310DC" w:rsidTr="00B61E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61EB4" w:rsidRPr="00AD7BF2" w:rsidRDefault="00B61EB4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61EB4" w:rsidRPr="00AD7BF2" w:rsidRDefault="00B61E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61EB4" w:rsidRPr="002511D8" w:rsidRDefault="00B61EB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61EB4" w:rsidRPr="00B310DC" w:rsidRDefault="00B61E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F6B48">
            <w:rPr>
              <w:noProof/>
            </w:rPr>
            <w:t>2</w:t>
          </w:r>
          <w:r>
            <w:fldChar w:fldCharType="end"/>
          </w:r>
        </w:p>
      </w:tc>
    </w:tr>
    <w:tr w:rsidR="00B61EB4" w:rsidRPr="00D94637" w:rsidTr="00B61EB4">
      <w:trPr>
        <w:jc w:val="center"/>
      </w:trPr>
      <w:tc>
        <w:tcPr>
          <w:tcW w:w="1774" w:type="pct"/>
          <w:shd w:val="clear" w:color="auto" w:fill="auto"/>
        </w:tcPr>
        <w:p w:rsidR="00B61EB4" w:rsidRPr="00AD7BF2" w:rsidRDefault="00B61E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61EB4" w:rsidRPr="00AD7BF2" w:rsidRDefault="00B61EB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61EB4" w:rsidRPr="00D94637" w:rsidRDefault="00B61E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61EB4" w:rsidRPr="00D94637" w:rsidRDefault="00B61E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BE3C99" w:rsidRPr="00B61EB4" w:rsidRDefault="00BE3C99" w:rsidP="00B61EB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61EB4" w:rsidRPr="00D94637" w:rsidTr="00B61E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61EB4" w:rsidRPr="00D94637" w:rsidRDefault="00B61E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61EB4" w:rsidRPr="00B310DC" w:rsidTr="00B61E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61EB4" w:rsidRPr="00AD7BF2" w:rsidRDefault="00B61EB4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61EB4" w:rsidRPr="00AD7BF2" w:rsidRDefault="00B61E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61EB4" w:rsidRPr="002511D8" w:rsidRDefault="00B61EB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61EB4" w:rsidRPr="00B310DC" w:rsidRDefault="00B61E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F6B48">
            <w:rPr>
              <w:noProof/>
            </w:rPr>
            <w:t>1</w:t>
          </w:r>
          <w:r>
            <w:fldChar w:fldCharType="end"/>
          </w:r>
        </w:p>
      </w:tc>
    </w:tr>
    <w:tr w:rsidR="00B61EB4" w:rsidRPr="00D94637" w:rsidTr="00B61EB4">
      <w:trPr>
        <w:jc w:val="center"/>
      </w:trPr>
      <w:tc>
        <w:tcPr>
          <w:tcW w:w="1774" w:type="pct"/>
          <w:shd w:val="clear" w:color="auto" w:fill="auto"/>
        </w:tcPr>
        <w:p w:rsidR="00B61EB4" w:rsidRPr="00AD7BF2" w:rsidRDefault="00B61E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61EB4" w:rsidRPr="00AD7BF2" w:rsidRDefault="00B61EB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61EB4" w:rsidRPr="00D94637" w:rsidRDefault="00B61E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61EB4" w:rsidRPr="00D94637" w:rsidRDefault="00B61E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E3C99" w:rsidRPr="00B61EB4" w:rsidRDefault="00BE3C99" w:rsidP="00B61EB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8C" w:rsidRPr="00B61EB4" w:rsidRDefault="0034138C" w:rsidP="00B61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8C" w:rsidRPr="00B61EB4" w:rsidRDefault="0034138C" w:rsidP="00B61EB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8C" w:rsidRPr="00B61EB4" w:rsidRDefault="0034138C" w:rsidP="00B61EB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9"/>
  </w:num>
  <w:num w:numId="27">
    <w:abstractNumId w:val="11"/>
  </w:num>
  <w:num w:numId="28">
    <w:abstractNumId w:val="13"/>
  </w:num>
  <w:num w:numId="29">
    <w:abstractNumId w:val="11"/>
  </w:num>
  <w:num w:numId="30">
    <w:abstractNumId w:val="1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1"/>
  </w:num>
  <w:num w:numId="38">
    <w:abstractNumId w:val="19"/>
  </w:num>
  <w:num w:numId="39">
    <w:abstractNumId w:val="19"/>
  </w:num>
  <w:num w:numId="40">
    <w:abstractNumId w:val="13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510a05e-94ae-4926-aaa0-1f3416a6130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64140"/>
    <w:rsid w:val="00073418"/>
    <w:rsid w:val="00075D32"/>
    <w:rsid w:val="0009656C"/>
    <w:rsid w:val="000F6B48"/>
    <w:rsid w:val="001379C3"/>
    <w:rsid w:val="00165755"/>
    <w:rsid w:val="00167D26"/>
    <w:rsid w:val="00182F2F"/>
    <w:rsid w:val="001C1958"/>
    <w:rsid w:val="001D6B80"/>
    <w:rsid w:val="00213F1F"/>
    <w:rsid w:val="002A2AE8"/>
    <w:rsid w:val="002D742D"/>
    <w:rsid w:val="00330BB7"/>
    <w:rsid w:val="0034138C"/>
    <w:rsid w:val="0039007A"/>
    <w:rsid w:val="003C6E8B"/>
    <w:rsid w:val="00416AB6"/>
    <w:rsid w:val="004819D4"/>
    <w:rsid w:val="005157F5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825503"/>
    <w:rsid w:val="008826F8"/>
    <w:rsid w:val="008B4AB1"/>
    <w:rsid w:val="009866E3"/>
    <w:rsid w:val="009A4640"/>
    <w:rsid w:val="00A437F4"/>
    <w:rsid w:val="00A469D7"/>
    <w:rsid w:val="00A66A9A"/>
    <w:rsid w:val="00AC4218"/>
    <w:rsid w:val="00AD43AF"/>
    <w:rsid w:val="00B30201"/>
    <w:rsid w:val="00B3149A"/>
    <w:rsid w:val="00B56DC8"/>
    <w:rsid w:val="00B61EB4"/>
    <w:rsid w:val="00BA29C9"/>
    <w:rsid w:val="00BD3A99"/>
    <w:rsid w:val="00BE1373"/>
    <w:rsid w:val="00BE3C99"/>
    <w:rsid w:val="00CD7438"/>
    <w:rsid w:val="00CE005E"/>
    <w:rsid w:val="00D451E4"/>
    <w:rsid w:val="00DA225D"/>
    <w:rsid w:val="00DE59A3"/>
    <w:rsid w:val="00E24893"/>
    <w:rsid w:val="00EE7800"/>
    <w:rsid w:val="00F23C9A"/>
    <w:rsid w:val="00F30FC1"/>
    <w:rsid w:val="00F321C5"/>
    <w:rsid w:val="00FC4670"/>
    <w:rsid w:val="00FD4B87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61EB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61EB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9F81-93BB-4355-9A00-2D322854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482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DUARTE Antonio</cp:lastModifiedBy>
  <cp:revision>2</cp:revision>
  <cp:lastPrinted>2015-12-04T08:33:00Z</cp:lastPrinted>
  <dcterms:created xsi:type="dcterms:W3CDTF">2015-12-04T09:05:00Z</dcterms:created>
  <dcterms:modified xsi:type="dcterms:W3CDTF">2015-12-04T09:05:00Z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