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BBA" w:rsidRPr="00290BBA" w:rsidRDefault="00290BBA" w:rsidP="00290BBA">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d4afc532-e8b9-43f3-a642-f6ad517513ec_0" style="width:573.75pt;height:425.25pt">
            <v:imagedata r:id="rId8" o:title=""/>
          </v:shape>
        </w:pict>
      </w:r>
      <w:bookmarkEnd w:id="0"/>
    </w:p>
    <w:p w:rsidR="006D04B8" w:rsidRDefault="006D04B8" w:rsidP="006D04B8">
      <w:pPr>
        <w:pStyle w:val="TechnicalBlock"/>
        <w:ind w:left="-1134" w:right="-1134"/>
        <w:sectPr w:rsidR="006D04B8" w:rsidSect="00265BC9">
          <w:footerReference w:type="default" r:id="rId9"/>
          <w:footerReference w:type="first" r:id="rId10"/>
          <w:footnotePr>
            <w:numRestart w:val="eachPage"/>
          </w:footnotePr>
          <w:pgSz w:w="11907" w:h="16840" w:code="9"/>
          <w:pgMar w:top="624" w:right="1134" w:bottom="1134" w:left="1134" w:header="567" w:footer="567" w:gutter="0"/>
          <w:pgNumType w:start="1"/>
          <w:cols w:space="708"/>
          <w:titlePg/>
          <w:docGrid w:linePitch="360"/>
        </w:sectPr>
      </w:pPr>
    </w:p>
    <w:p w:rsidR="002425CA" w:rsidRDefault="002425CA" w:rsidP="002425CA">
      <w:pPr>
        <w:pStyle w:val="TOCHeading"/>
        <w:rPr>
          <w:lang w:val="fr-BE"/>
        </w:rPr>
      </w:pPr>
      <w:r>
        <w:rPr>
          <w:lang w:val="fr-BE"/>
        </w:rPr>
        <w:lastRenderedPageBreak/>
        <w:t>SOMMAIRE</w:t>
      </w:r>
      <w:r w:rsidRPr="002425CA">
        <w:rPr>
          <w:vertAlign w:val="superscript"/>
          <w:lang w:val="fr-BE"/>
        </w:rPr>
        <w:t>1</w:t>
      </w:r>
    </w:p>
    <w:p w:rsidR="002425CA" w:rsidRDefault="002425CA" w:rsidP="002425CA">
      <w:pPr>
        <w:pStyle w:val="TOC5"/>
        <w:rPr>
          <w:lang w:val="fr-BE"/>
        </w:rPr>
      </w:pPr>
      <w:r>
        <w:rPr>
          <w:lang w:val="fr-BE"/>
        </w:rPr>
        <w:t>POINTS AYANT FAIT L'OBJET D'UN DÉBAT</w:t>
      </w:r>
    </w:p>
    <w:p w:rsidR="002425CA" w:rsidRDefault="002425CA" w:rsidP="002425CA">
      <w:pPr>
        <w:pStyle w:val="TOC6"/>
        <w:rPr>
          <w:rFonts w:asciiTheme="minorHAnsi" w:eastAsiaTheme="minorEastAsia" w:hAnsiTheme="minorHAnsi" w:cstheme="minorBidi"/>
          <w:noProof/>
          <w:sz w:val="22"/>
          <w:szCs w:val="22"/>
          <w:lang w:val="en-GB" w:eastAsia="en-GB"/>
        </w:rPr>
      </w:pPr>
      <w:r>
        <w:rPr>
          <w:noProof/>
          <w:lang w:eastAsia="fr-FR" w:bidi="fr-FR"/>
        </w:rPr>
        <w:t>PÊCHE</w:t>
      </w:r>
      <w:r>
        <w:rPr>
          <w:noProof/>
        </w:rPr>
        <w:tab/>
      </w:r>
      <w:r>
        <w:rPr>
          <w:noProof/>
        </w:rPr>
        <w:fldChar w:fldCharType="begin"/>
      </w:r>
      <w:r>
        <w:rPr>
          <w:noProof/>
        </w:rPr>
        <w:instrText xml:space="preserve"> PAGEREF \h _Toc437011184 \* MERGEFORMAT </w:instrText>
      </w:r>
      <w:r>
        <w:rPr>
          <w:noProof/>
        </w:rPr>
      </w:r>
      <w:r>
        <w:rPr>
          <w:noProof/>
        </w:rPr>
        <w:fldChar w:fldCharType="separate"/>
      </w:r>
      <w:r w:rsidR="00265BC9">
        <w:rPr>
          <w:noProof/>
        </w:rPr>
        <w:t>4</w:t>
      </w:r>
      <w:r>
        <w:rPr>
          <w:noProof/>
        </w:rPr>
        <w:fldChar w:fldCharType="end"/>
      </w:r>
    </w:p>
    <w:p w:rsidR="002425CA" w:rsidRPr="002425CA" w:rsidRDefault="002425CA" w:rsidP="002425CA">
      <w:pPr>
        <w:pStyle w:val="TOC9"/>
        <w:rPr>
          <w:rFonts w:asciiTheme="minorHAnsi" w:eastAsiaTheme="minorEastAsia" w:hAnsiTheme="minorHAnsi" w:cstheme="minorBidi"/>
          <w:noProof/>
          <w:sz w:val="22"/>
          <w:szCs w:val="22"/>
          <w:lang w:val="fr-BE" w:eastAsia="en-GB"/>
        </w:rPr>
      </w:pPr>
      <w:r>
        <w:rPr>
          <w:noProof/>
        </w:rPr>
        <w:t>Possibilités de pêche en mer Baltique pour 2016</w:t>
      </w:r>
      <w:r>
        <w:rPr>
          <w:noProof/>
        </w:rPr>
        <w:tab/>
      </w:r>
      <w:r>
        <w:rPr>
          <w:noProof/>
        </w:rPr>
        <w:fldChar w:fldCharType="begin"/>
      </w:r>
      <w:r>
        <w:rPr>
          <w:noProof/>
        </w:rPr>
        <w:instrText xml:space="preserve"> PAGEREF \h _Toc437011185 \* MERGEFORMAT </w:instrText>
      </w:r>
      <w:r>
        <w:rPr>
          <w:noProof/>
        </w:rPr>
      </w:r>
      <w:r>
        <w:rPr>
          <w:noProof/>
        </w:rPr>
        <w:fldChar w:fldCharType="separate"/>
      </w:r>
      <w:r w:rsidR="00265BC9">
        <w:rPr>
          <w:noProof/>
        </w:rPr>
        <w:t>4</w:t>
      </w:r>
      <w:r>
        <w:rPr>
          <w:noProof/>
        </w:rPr>
        <w:fldChar w:fldCharType="end"/>
      </w:r>
    </w:p>
    <w:p w:rsidR="002425CA" w:rsidRPr="002425CA" w:rsidRDefault="002425CA" w:rsidP="002425CA">
      <w:pPr>
        <w:pStyle w:val="TOC9"/>
        <w:rPr>
          <w:rFonts w:asciiTheme="minorHAnsi" w:eastAsiaTheme="minorEastAsia" w:hAnsiTheme="minorHAnsi" w:cstheme="minorBidi"/>
          <w:noProof/>
          <w:sz w:val="22"/>
          <w:szCs w:val="22"/>
          <w:lang w:val="fr-BE" w:eastAsia="en-GB"/>
        </w:rPr>
      </w:pPr>
      <w:r>
        <w:rPr>
          <w:noProof/>
        </w:rPr>
        <w:t>EU/Norvège: consultations annuelles pour 2016</w:t>
      </w:r>
      <w:r>
        <w:rPr>
          <w:noProof/>
        </w:rPr>
        <w:tab/>
      </w:r>
      <w:r>
        <w:rPr>
          <w:noProof/>
        </w:rPr>
        <w:fldChar w:fldCharType="begin"/>
      </w:r>
      <w:r>
        <w:rPr>
          <w:noProof/>
        </w:rPr>
        <w:instrText xml:space="preserve"> PAGEREF \h _Toc437011186 \* MERGEFORMAT </w:instrText>
      </w:r>
      <w:r>
        <w:rPr>
          <w:noProof/>
        </w:rPr>
      </w:r>
      <w:r>
        <w:rPr>
          <w:noProof/>
        </w:rPr>
        <w:fldChar w:fldCharType="separate"/>
      </w:r>
      <w:r w:rsidR="00265BC9">
        <w:rPr>
          <w:noProof/>
        </w:rPr>
        <w:t>6</w:t>
      </w:r>
      <w:r>
        <w:rPr>
          <w:noProof/>
        </w:rPr>
        <w:fldChar w:fldCharType="end"/>
      </w:r>
    </w:p>
    <w:p w:rsidR="002425CA" w:rsidRDefault="002425CA" w:rsidP="002425CA">
      <w:pPr>
        <w:pStyle w:val="TOC6"/>
        <w:rPr>
          <w:rFonts w:asciiTheme="minorHAnsi" w:eastAsiaTheme="minorEastAsia" w:hAnsiTheme="minorHAnsi" w:cstheme="minorBidi"/>
          <w:noProof/>
          <w:sz w:val="22"/>
          <w:szCs w:val="22"/>
          <w:lang w:val="en-GB" w:eastAsia="en-GB"/>
        </w:rPr>
      </w:pPr>
      <w:r>
        <w:rPr>
          <w:noProof/>
          <w:lang w:eastAsia="fr-FR" w:bidi="fr-FR"/>
        </w:rPr>
        <w:t>AGRICULTURE</w:t>
      </w:r>
      <w:r>
        <w:rPr>
          <w:noProof/>
        </w:rPr>
        <w:tab/>
      </w:r>
      <w:r>
        <w:rPr>
          <w:noProof/>
        </w:rPr>
        <w:fldChar w:fldCharType="begin"/>
      </w:r>
      <w:r>
        <w:rPr>
          <w:noProof/>
        </w:rPr>
        <w:instrText xml:space="preserve"> PAGEREF \h _Toc437011187 \* MERGEFORMAT </w:instrText>
      </w:r>
      <w:r>
        <w:rPr>
          <w:noProof/>
        </w:rPr>
      </w:r>
      <w:r>
        <w:rPr>
          <w:noProof/>
        </w:rPr>
        <w:fldChar w:fldCharType="separate"/>
      </w:r>
      <w:r w:rsidR="00265BC9">
        <w:rPr>
          <w:noProof/>
        </w:rPr>
        <w:t>7</w:t>
      </w:r>
      <w:r>
        <w:rPr>
          <w:noProof/>
        </w:rPr>
        <w:fldChar w:fldCharType="end"/>
      </w:r>
    </w:p>
    <w:p w:rsidR="002425CA" w:rsidRDefault="002425CA" w:rsidP="002425CA">
      <w:pPr>
        <w:pStyle w:val="TOC9"/>
        <w:rPr>
          <w:rFonts w:asciiTheme="minorHAnsi" w:eastAsiaTheme="minorEastAsia" w:hAnsiTheme="minorHAnsi" w:cstheme="minorBidi"/>
          <w:noProof/>
          <w:sz w:val="22"/>
          <w:szCs w:val="22"/>
          <w:lang w:val="en-GB" w:eastAsia="en-GB"/>
        </w:rPr>
      </w:pPr>
      <w:r>
        <w:rPr>
          <w:noProof/>
        </w:rPr>
        <w:t>Agriculture respectueuse du climat</w:t>
      </w:r>
      <w:r>
        <w:rPr>
          <w:noProof/>
        </w:rPr>
        <w:tab/>
      </w:r>
      <w:r>
        <w:rPr>
          <w:noProof/>
        </w:rPr>
        <w:fldChar w:fldCharType="begin"/>
      </w:r>
      <w:r>
        <w:rPr>
          <w:noProof/>
        </w:rPr>
        <w:instrText xml:space="preserve"> PAGEREF \h _Toc437011188 \* MERGEFORMAT </w:instrText>
      </w:r>
      <w:r>
        <w:rPr>
          <w:noProof/>
        </w:rPr>
      </w:r>
      <w:r>
        <w:rPr>
          <w:noProof/>
        </w:rPr>
        <w:fldChar w:fldCharType="separate"/>
      </w:r>
      <w:r w:rsidR="00265BC9">
        <w:rPr>
          <w:noProof/>
        </w:rPr>
        <w:t>7</w:t>
      </w:r>
      <w:r>
        <w:rPr>
          <w:noProof/>
        </w:rPr>
        <w:fldChar w:fldCharType="end"/>
      </w:r>
    </w:p>
    <w:p w:rsidR="002425CA" w:rsidRDefault="002425CA" w:rsidP="002425CA">
      <w:pPr>
        <w:pStyle w:val="TOC6"/>
        <w:rPr>
          <w:rFonts w:asciiTheme="minorHAnsi" w:eastAsiaTheme="minorEastAsia" w:hAnsiTheme="minorHAnsi" w:cstheme="minorBidi"/>
          <w:noProof/>
          <w:sz w:val="22"/>
          <w:szCs w:val="22"/>
          <w:lang w:val="en-GB" w:eastAsia="en-GB"/>
        </w:rPr>
      </w:pPr>
      <w:r>
        <w:rPr>
          <w:noProof/>
          <w:lang w:eastAsia="fr-FR" w:bidi="fr-FR"/>
        </w:rPr>
        <w:t>Divers</w:t>
      </w:r>
      <w:r>
        <w:rPr>
          <w:noProof/>
        </w:rPr>
        <w:tab/>
      </w:r>
      <w:r>
        <w:rPr>
          <w:noProof/>
        </w:rPr>
        <w:fldChar w:fldCharType="begin"/>
      </w:r>
      <w:r>
        <w:rPr>
          <w:noProof/>
        </w:rPr>
        <w:instrText xml:space="preserve"> PAGEREF \h _Toc437011189 \* MERGEFORMAT </w:instrText>
      </w:r>
      <w:r>
        <w:rPr>
          <w:noProof/>
        </w:rPr>
      </w:r>
      <w:r>
        <w:rPr>
          <w:noProof/>
        </w:rPr>
        <w:fldChar w:fldCharType="separate"/>
      </w:r>
      <w:r w:rsidR="00265BC9">
        <w:rPr>
          <w:noProof/>
        </w:rPr>
        <w:t>8</w:t>
      </w:r>
      <w:r>
        <w:rPr>
          <w:noProof/>
        </w:rPr>
        <w:fldChar w:fldCharType="end"/>
      </w:r>
    </w:p>
    <w:p w:rsidR="002425CA" w:rsidRPr="002425CA" w:rsidRDefault="002425CA" w:rsidP="002425CA">
      <w:pPr>
        <w:pStyle w:val="TOC9"/>
        <w:rPr>
          <w:rFonts w:asciiTheme="minorHAnsi" w:eastAsiaTheme="minorEastAsia" w:hAnsiTheme="minorHAnsi" w:cstheme="minorBidi"/>
          <w:noProof/>
          <w:sz w:val="22"/>
          <w:szCs w:val="22"/>
          <w:lang w:val="fr-BE" w:eastAsia="en-GB"/>
        </w:rPr>
      </w:pPr>
      <w:r>
        <w:rPr>
          <w:noProof/>
        </w:rPr>
        <w:t>Une protection phytosanitaire compatible avec le développement durable</w:t>
      </w:r>
      <w:r>
        <w:rPr>
          <w:noProof/>
        </w:rPr>
        <w:tab/>
      </w:r>
      <w:r>
        <w:rPr>
          <w:noProof/>
        </w:rPr>
        <w:fldChar w:fldCharType="begin"/>
      </w:r>
      <w:r>
        <w:rPr>
          <w:noProof/>
        </w:rPr>
        <w:instrText xml:space="preserve"> PAGEREF \h _Toc437011190 \* MERGEFORMAT </w:instrText>
      </w:r>
      <w:r>
        <w:rPr>
          <w:noProof/>
        </w:rPr>
      </w:r>
      <w:r>
        <w:rPr>
          <w:noProof/>
        </w:rPr>
        <w:fldChar w:fldCharType="separate"/>
      </w:r>
      <w:r w:rsidR="00265BC9">
        <w:rPr>
          <w:noProof/>
        </w:rPr>
        <w:t>8</w:t>
      </w:r>
      <w:r>
        <w:rPr>
          <w:noProof/>
        </w:rPr>
        <w:fldChar w:fldCharType="end"/>
      </w:r>
    </w:p>
    <w:p w:rsidR="002425CA" w:rsidRDefault="002425CA" w:rsidP="002425CA">
      <w:pPr>
        <w:pStyle w:val="TOC9"/>
        <w:rPr>
          <w:rFonts w:asciiTheme="minorHAnsi" w:eastAsiaTheme="minorEastAsia" w:hAnsiTheme="minorHAnsi" w:cstheme="minorBidi"/>
          <w:noProof/>
          <w:sz w:val="22"/>
          <w:szCs w:val="22"/>
          <w:lang w:val="en-GB" w:eastAsia="en-GB"/>
        </w:rPr>
      </w:pPr>
      <w:r>
        <w:rPr>
          <w:noProof/>
        </w:rPr>
        <w:t>Nutrition spécialisée</w:t>
      </w:r>
      <w:r>
        <w:rPr>
          <w:noProof/>
        </w:rPr>
        <w:tab/>
      </w:r>
      <w:r>
        <w:rPr>
          <w:noProof/>
        </w:rPr>
        <w:fldChar w:fldCharType="begin"/>
      </w:r>
      <w:r>
        <w:rPr>
          <w:noProof/>
        </w:rPr>
        <w:instrText xml:space="preserve"> PAGEREF \h _Toc437011191 \* MERGEFORMAT </w:instrText>
      </w:r>
      <w:r>
        <w:rPr>
          <w:noProof/>
        </w:rPr>
      </w:r>
      <w:r>
        <w:rPr>
          <w:noProof/>
        </w:rPr>
        <w:fldChar w:fldCharType="separate"/>
      </w:r>
      <w:r w:rsidR="00265BC9">
        <w:rPr>
          <w:noProof/>
        </w:rPr>
        <w:t>8</w:t>
      </w:r>
      <w:r>
        <w:rPr>
          <w:noProof/>
        </w:rPr>
        <w:fldChar w:fldCharType="end"/>
      </w:r>
    </w:p>
    <w:p w:rsidR="002425CA" w:rsidRPr="002425CA" w:rsidRDefault="002425CA" w:rsidP="002425CA">
      <w:pPr>
        <w:pStyle w:val="TOC9"/>
        <w:rPr>
          <w:rFonts w:asciiTheme="minorHAnsi" w:eastAsiaTheme="minorEastAsia" w:hAnsiTheme="minorHAnsi" w:cstheme="minorBidi"/>
          <w:noProof/>
          <w:sz w:val="22"/>
          <w:szCs w:val="22"/>
          <w:lang w:val="fr-BE" w:eastAsia="en-GB"/>
        </w:rPr>
      </w:pPr>
      <w:r>
        <w:rPr>
          <w:noProof/>
        </w:rPr>
        <w:t>Conférence ministérielle - Une agriculture sans OGM en Europe</w:t>
      </w:r>
      <w:r>
        <w:rPr>
          <w:noProof/>
        </w:rPr>
        <w:tab/>
      </w:r>
      <w:r>
        <w:rPr>
          <w:noProof/>
        </w:rPr>
        <w:fldChar w:fldCharType="begin"/>
      </w:r>
      <w:r>
        <w:rPr>
          <w:noProof/>
        </w:rPr>
        <w:instrText xml:space="preserve"> PAGEREF \h _Toc437011192 \* MERGEFORMAT </w:instrText>
      </w:r>
      <w:r>
        <w:rPr>
          <w:noProof/>
        </w:rPr>
      </w:r>
      <w:r>
        <w:rPr>
          <w:noProof/>
        </w:rPr>
        <w:fldChar w:fldCharType="separate"/>
      </w:r>
      <w:r w:rsidR="00265BC9">
        <w:rPr>
          <w:noProof/>
        </w:rPr>
        <w:t>9</w:t>
      </w:r>
      <w:r>
        <w:rPr>
          <w:noProof/>
        </w:rPr>
        <w:fldChar w:fldCharType="end"/>
      </w:r>
    </w:p>
    <w:p w:rsidR="002425CA" w:rsidRPr="002425CA" w:rsidRDefault="002425CA" w:rsidP="002425CA">
      <w:pPr>
        <w:pStyle w:val="TOC9"/>
        <w:rPr>
          <w:rFonts w:asciiTheme="minorHAnsi" w:eastAsiaTheme="minorEastAsia" w:hAnsiTheme="minorHAnsi" w:cstheme="minorBidi"/>
          <w:noProof/>
          <w:sz w:val="22"/>
          <w:szCs w:val="22"/>
          <w:lang w:val="fr-BE" w:eastAsia="en-GB"/>
        </w:rPr>
      </w:pPr>
      <w:r>
        <w:rPr>
          <w:noProof/>
        </w:rPr>
        <w:t>Réunion des ministres de la santé du G7 - Résistance aux antibiotiques</w:t>
      </w:r>
      <w:r>
        <w:rPr>
          <w:noProof/>
        </w:rPr>
        <w:tab/>
      </w:r>
      <w:r>
        <w:rPr>
          <w:noProof/>
        </w:rPr>
        <w:fldChar w:fldCharType="begin"/>
      </w:r>
      <w:r>
        <w:rPr>
          <w:noProof/>
        </w:rPr>
        <w:instrText xml:space="preserve"> PAGEREF \h _Toc437011193 \* MERGEFORMAT </w:instrText>
      </w:r>
      <w:r>
        <w:rPr>
          <w:noProof/>
        </w:rPr>
      </w:r>
      <w:r>
        <w:rPr>
          <w:noProof/>
        </w:rPr>
        <w:fldChar w:fldCharType="separate"/>
      </w:r>
      <w:r w:rsidR="00265BC9">
        <w:rPr>
          <w:noProof/>
        </w:rPr>
        <w:t>9</w:t>
      </w:r>
      <w:r>
        <w:rPr>
          <w:noProof/>
        </w:rPr>
        <w:fldChar w:fldCharType="end"/>
      </w:r>
    </w:p>
    <w:p w:rsidR="002425CA" w:rsidRPr="002425CA" w:rsidRDefault="002425CA" w:rsidP="002425CA">
      <w:pPr>
        <w:pStyle w:val="TOC9"/>
        <w:rPr>
          <w:rFonts w:asciiTheme="minorHAnsi" w:eastAsiaTheme="minorEastAsia" w:hAnsiTheme="minorHAnsi" w:cstheme="minorBidi"/>
          <w:noProof/>
          <w:sz w:val="22"/>
          <w:szCs w:val="22"/>
          <w:lang w:val="fr-BE" w:eastAsia="en-GB"/>
        </w:rPr>
      </w:pPr>
      <w:r>
        <w:rPr>
          <w:noProof/>
        </w:rPr>
        <w:t>Nouvelles techniques pour la culture et l'élevage</w:t>
      </w:r>
      <w:r>
        <w:rPr>
          <w:noProof/>
        </w:rPr>
        <w:tab/>
      </w:r>
      <w:r>
        <w:rPr>
          <w:noProof/>
        </w:rPr>
        <w:fldChar w:fldCharType="begin"/>
      </w:r>
      <w:r>
        <w:rPr>
          <w:noProof/>
        </w:rPr>
        <w:instrText xml:space="preserve"> PAGEREF \h _Toc437011194 \* MERGEFORMAT </w:instrText>
      </w:r>
      <w:r>
        <w:rPr>
          <w:noProof/>
        </w:rPr>
      </w:r>
      <w:r>
        <w:rPr>
          <w:noProof/>
        </w:rPr>
        <w:fldChar w:fldCharType="separate"/>
      </w:r>
      <w:r w:rsidR="00265BC9">
        <w:rPr>
          <w:noProof/>
        </w:rPr>
        <w:t>9</w:t>
      </w:r>
      <w:r>
        <w:rPr>
          <w:noProof/>
        </w:rPr>
        <w:fldChar w:fldCharType="end"/>
      </w:r>
    </w:p>
    <w:p w:rsidR="002425CA" w:rsidRPr="002425CA" w:rsidRDefault="002425CA" w:rsidP="002425CA">
      <w:pPr>
        <w:pStyle w:val="TOC9"/>
        <w:rPr>
          <w:lang w:val="fr-BE"/>
        </w:rPr>
      </w:pPr>
      <w:r>
        <w:rPr>
          <w:noProof/>
        </w:rPr>
        <w:t>Réunion du groupe de Visegrad - Marchés agricoles, chaîne alimentaire et aménagement du territoire</w:t>
      </w:r>
      <w:r>
        <w:rPr>
          <w:noProof/>
        </w:rPr>
        <w:tab/>
      </w:r>
      <w:r>
        <w:rPr>
          <w:noProof/>
        </w:rPr>
        <w:fldChar w:fldCharType="begin"/>
      </w:r>
      <w:r>
        <w:rPr>
          <w:noProof/>
        </w:rPr>
        <w:instrText xml:space="preserve"> PAGEREF \h _Toc437011195 \* MERGEFORMAT </w:instrText>
      </w:r>
      <w:r>
        <w:rPr>
          <w:noProof/>
        </w:rPr>
      </w:r>
      <w:r>
        <w:rPr>
          <w:noProof/>
        </w:rPr>
        <w:fldChar w:fldCharType="separate"/>
      </w:r>
      <w:r w:rsidR="00265BC9">
        <w:rPr>
          <w:noProof/>
        </w:rPr>
        <w:t>10</w:t>
      </w:r>
      <w:r>
        <w:rPr>
          <w:noProof/>
        </w:rPr>
        <w:fldChar w:fldCharType="end"/>
      </w:r>
    </w:p>
    <w:p w:rsidR="002425CA" w:rsidRDefault="002425CA" w:rsidP="002425CA">
      <w:pPr>
        <w:pStyle w:val="TOC5"/>
        <w:rPr>
          <w:lang w:val="fr-BE"/>
        </w:rPr>
      </w:pPr>
      <w:r>
        <w:rPr>
          <w:lang w:val="fr-BE"/>
        </w:rPr>
        <w:t>AUTRES POINTS APPROUVÉS</w:t>
      </w:r>
    </w:p>
    <w:p w:rsidR="002425CA" w:rsidRDefault="002425CA" w:rsidP="002425CA">
      <w:pPr>
        <w:pStyle w:val="TOC8"/>
        <w:rPr>
          <w:rFonts w:asciiTheme="minorHAnsi" w:eastAsiaTheme="minorEastAsia" w:hAnsiTheme="minorHAnsi" w:cstheme="minorBidi"/>
          <w:i w:val="0"/>
          <w:noProof/>
          <w:sz w:val="22"/>
          <w:szCs w:val="22"/>
          <w:lang w:val="en-GB" w:eastAsia="en-GB"/>
        </w:rPr>
      </w:pPr>
      <w:r>
        <w:rPr>
          <w:noProof/>
          <w:lang w:eastAsia="fr-FR" w:bidi="fr-FR"/>
        </w:rPr>
        <w:t>AGRICULTURE</w:t>
      </w:r>
    </w:p>
    <w:p w:rsidR="002425CA" w:rsidRPr="002425CA" w:rsidRDefault="002425CA" w:rsidP="002425CA">
      <w:pPr>
        <w:pStyle w:val="TOC9"/>
        <w:keepNext/>
        <w:rPr>
          <w:rFonts w:asciiTheme="minorHAnsi" w:eastAsiaTheme="minorEastAsia" w:hAnsiTheme="minorHAnsi" w:cstheme="minorBidi"/>
          <w:noProof/>
          <w:sz w:val="22"/>
          <w:szCs w:val="22"/>
          <w:lang w:val="fr-BE" w:eastAsia="en-GB"/>
        </w:rPr>
      </w:pPr>
      <w:r>
        <w:rPr>
          <w:noProof/>
        </w:rPr>
        <w:t>Mollusques bivalves vivants - Contrôles et critères microbiologiques</w:t>
      </w:r>
      <w:r>
        <w:rPr>
          <w:noProof/>
        </w:rPr>
        <w:tab/>
      </w:r>
      <w:r>
        <w:rPr>
          <w:noProof/>
        </w:rPr>
        <w:fldChar w:fldCharType="begin"/>
      </w:r>
      <w:r>
        <w:rPr>
          <w:noProof/>
        </w:rPr>
        <w:instrText xml:space="preserve"> PAGEREF \h _Toc437011197 \* MERGEFORMAT </w:instrText>
      </w:r>
      <w:r>
        <w:rPr>
          <w:noProof/>
        </w:rPr>
      </w:r>
      <w:r>
        <w:rPr>
          <w:noProof/>
        </w:rPr>
        <w:fldChar w:fldCharType="separate"/>
      </w:r>
      <w:r w:rsidR="00265BC9">
        <w:rPr>
          <w:noProof/>
        </w:rPr>
        <w:t>11</w:t>
      </w:r>
      <w:r>
        <w:rPr>
          <w:noProof/>
        </w:rPr>
        <w:fldChar w:fldCharType="end"/>
      </w:r>
    </w:p>
    <w:p w:rsidR="002425CA" w:rsidRPr="002425CA" w:rsidRDefault="002425CA" w:rsidP="002425CA">
      <w:pPr>
        <w:pStyle w:val="TOC9"/>
        <w:keepNext/>
        <w:rPr>
          <w:rFonts w:asciiTheme="minorHAnsi" w:eastAsiaTheme="minorEastAsia" w:hAnsiTheme="minorHAnsi" w:cstheme="minorBidi"/>
          <w:noProof/>
          <w:sz w:val="22"/>
          <w:szCs w:val="22"/>
          <w:lang w:val="fr-BE" w:eastAsia="en-GB"/>
        </w:rPr>
      </w:pPr>
      <w:r>
        <w:rPr>
          <w:noProof/>
        </w:rPr>
        <w:t>Pesticides - limites maximales applicables aux résidus</w:t>
      </w:r>
      <w:r>
        <w:rPr>
          <w:noProof/>
        </w:rPr>
        <w:tab/>
      </w:r>
      <w:r>
        <w:rPr>
          <w:noProof/>
        </w:rPr>
        <w:fldChar w:fldCharType="begin"/>
      </w:r>
      <w:r>
        <w:rPr>
          <w:noProof/>
        </w:rPr>
        <w:instrText xml:space="preserve"> PAGEREF \h _Toc437011198 \* MERGEFORMAT </w:instrText>
      </w:r>
      <w:r>
        <w:rPr>
          <w:noProof/>
        </w:rPr>
      </w:r>
      <w:r>
        <w:rPr>
          <w:noProof/>
        </w:rPr>
        <w:fldChar w:fldCharType="separate"/>
      </w:r>
      <w:r w:rsidR="00265BC9">
        <w:rPr>
          <w:noProof/>
        </w:rPr>
        <w:t>11</w:t>
      </w:r>
      <w:r>
        <w:rPr>
          <w:noProof/>
        </w:rPr>
        <w:fldChar w:fldCharType="end"/>
      </w:r>
    </w:p>
    <w:p w:rsidR="002425CA" w:rsidRPr="002425CA" w:rsidRDefault="002425CA" w:rsidP="002425CA">
      <w:pPr>
        <w:pStyle w:val="TOC9"/>
        <w:rPr>
          <w:rFonts w:asciiTheme="minorHAnsi" w:eastAsiaTheme="minorEastAsia" w:hAnsiTheme="minorHAnsi" w:cstheme="minorBidi"/>
          <w:noProof/>
          <w:sz w:val="22"/>
          <w:szCs w:val="22"/>
          <w:lang w:val="fr-BE" w:eastAsia="en-GB"/>
        </w:rPr>
      </w:pPr>
      <w:r>
        <w:rPr>
          <w:noProof/>
        </w:rPr>
        <w:t>Alimentation animale - Nouveau groupe fonctionnel d'additifs</w:t>
      </w:r>
      <w:r>
        <w:rPr>
          <w:noProof/>
        </w:rPr>
        <w:tab/>
      </w:r>
      <w:r>
        <w:rPr>
          <w:noProof/>
        </w:rPr>
        <w:fldChar w:fldCharType="begin"/>
      </w:r>
      <w:r>
        <w:rPr>
          <w:noProof/>
        </w:rPr>
        <w:instrText xml:space="preserve"> PAGEREF \h _Toc437011199 \* MERGEFORMAT </w:instrText>
      </w:r>
      <w:r>
        <w:rPr>
          <w:noProof/>
        </w:rPr>
      </w:r>
      <w:r>
        <w:rPr>
          <w:noProof/>
        </w:rPr>
        <w:fldChar w:fldCharType="separate"/>
      </w:r>
      <w:r w:rsidR="00265BC9">
        <w:rPr>
          <w:noProof/>
        </w:rPr>
        <w:t>12</w:t>
      </w:r>
      <w:r>
        <w:rPr>
          <w:noProof/>
        </w:rPr>
        <w:fldChar w:fldCharType="end"/>
      </w:r>
    </w:p>
    <w:p w:rsidR="002425CA" w:rsidRDefault="002425CA" w:rsidP="002425CA">
      <w:pPr>
        <w:pStyle w:val="TOC8"/>
        <w:rPr>
          <w:rFonts w:asciiTheme="minorHAnsi" w:eastAsiaTheme="minorEastAsia" w:hAnsiTheme="minorHAnsi" w:cstheme="minorBidi"/>
          <w:i w:val="0"/>
          <w:noProof/>
          <w:sz w:val="22"/>
          <w:szCs w:val="22"/>
          <w:lang w:val="en-GB" w:eastAsia="en-GB"/>
        </w:rPr>
      </w:pPr>
      <w:r>
        <w:rPr>
          <w:noProof/>
          <w:lang w:eastAsia="fr-FR" w:bidi="fr-FR"/>
        </w:rPr>
        <w:t>PÊCHE</w:t>
      </w:r>
    </w:p>
    <w:p w:rsidR="002425CA" w:rsidRPr="002425CA" w:rsidRDefault="002425CA" w:rsidP="002425CA">
      <w:pPr>
        <w:pStyle w:val="TOC9"/>
        <w:rPr>
          <w:rFonts w:asciiTheme="minorHAnsi" w:eastAsiaTheme="minorEastAsia" w:hAnsiTheme="minorHAnsi" w:cstheme="minorBidi"/>
          <w:noProof/>
          <w:sz w:val="22"/>
          <w:szCs w:val="22"/>
          <w:lang w:val="fr-BE" w:eastAsia="en-GB"/>
        </w:rPr>
      </w:pPr>
      <w:r>
        <w:rPr>
          <w:noProof/>
        </w:rPr>
        <w:t>UE - Gabon - Négociations en vue du renouvellement du protocole à l'accord</w:t>
      </w:r>
      <w:r>
        <w:rPr>
          <w:noProof/>
        </w:rPr>
        <w:tab/>
      </w:r>
      <w:r>
        <w:rPr>
          <w:noProof/>
        </w:rPr>
        <w:fldChar w:fldCharType="begin"/>
      </w:r>
      <w:r>
        <w:rPr>
          <w:noProof/>
        </w:rPr>
        <w:instrText xml:space="preserve"> PAGEREF \h _Toc437011201 \* MERGEFORMAT </w:instrText>
      </w:r>
      <w:r>
        <w:rPr>
          <w:noProof/>
        </w:rPr>
      </w:r>
      <w:r>
        <w:rPr>
          <w:noProof/>
        </w:rPr>
        <w:fldChar w:fldCharType="separate"/>
      </w:r>
      <w:r w:rsidR="00265BC9">
        <w:rPr>
          <w:noProof/>
        </w:rPr>
        <w:t>13</w:t>
      </w:r>
      <w:r>
        <w:rPr>
          <w:noProof/>
        </w:rPr>
        <w:fldChar w:fldCharType="end"/>
      </w:r>
    </w:p>
    <w:p w:rsidR="002425CA" w:rsidRDefault="002425CA" w:rsidP="002425CA">
      <w:pPr>
        <w:pStyle w:val="TOC8"/>
        <w:rPr>
          <w:rFonts w:asciiTheme="minorHAnsi" w:eastAsiaTheme="minorEastAsia" w:hAnsiTheme="minorHAnsi" w:cstheme="minorBidi"/>
          <w:i w:val="0"/>
          <w:noProof/>
          <w:sz w:val="22"/>
          <w:szCs w:val="22"/>
          <w:lang w:val="en-GB" w:eastAsia="en-GB"/>
        </w:rPr>
      </w:pPr>
      <w:r>
        <w:rPr>
          <w:noProof/>
          <w:lang w:eastAsia="fr-FR" w:bidi="fr-FR"/>
        </w:rPr>
        <w:t>PROCESSUS DE STABILISATION ET D'ASSOCIATION</w:t>
      </w:r>
    </w:p>
    <w:p w:rsidR="002425CA" w:rsidRPr="002425CA" w:rsidRDefault="002425CA" w:rsidP="002425CA">
      <w:pPr>
        <w:pStyle w:val="TOC9"/>
        <w:rPr>
          <w:rFonts w:asciiTheme="minorHAnsi" w:eastAsiaTheme="minorEastAsia" w:hAnsiTheme="minorHAnsi" w:cstheme="minorBidi"/>
          <w:noProof/>
          <w:sz w:val="22"/>
          <w:szCs w:val="22"/>
          <w:lang w:val="fr-BE" w:eastAsia="en-GB"/>
        </w:rPr>
      </w:pPr>
      <w:r>
        <w:rPr>
          <w:noProof/>
        </w:rPr>
        <w:t>Accord de stabilisation et d'association avec le Kosovo*</w:t>
      </w:r>
      <w:r>
        <w:rPr>
          <w:noProof/>
        </w:rPr>
        <w:tab/>
      </w:r>
      <w:r>
        <w:rPr>
          <w:noProof/>
        </w:rPr>
        <w:fldChar w:fldCharType="begin"/>
      </w:r>
      <w:r>
        <w:rPr>
          <w:noProof/>
        </w:rPr>
        <w:instrText xml:space="preserve"> PAGEREF \h _Toc437011203 \* MERGEFORMAT </w:instrText>
      </w:r>
      <w:r>
        <w:rPr>
          <w:noProof/>
        </w:rPr>
      </w:r>
      <w:r>
        <w:rPr>
          <w:noProof/>
        </w:rPr>
        <w:fldChar w:fldCharType="separate"/>
      </w:r>
      <w:r w:rsidR="00265BC9">
        <w:rPr>
          <w:noProof/>
        </w:rPr>
        <w:t>13</w:t>
      </w:r>
      <w:r>
        <w:rPr>
          <w:noProof/>
        </w:rPr>
        <w:fldChar w:fldCharType="end"/>
      </w:r>
    </w:p>
    <w:p w:rsidR="002425CA" w:rsidRDefault="002425CA" w:rsidP="002425CA">
      <w:pPr>
        <w:pStyle w:val="TOC8"/>
        <w:rPr>
          <w:rFonts w:asciiTheme="minorHAnsi" w:eastAsiaTheme="minorEastAsia" w:hAnsiTheme="minorHAnsi" w:cstheme="minorBidi"/>
          <w:i w:val="0"/>
          <w:noProof/>
          <w:sz w:val="22"/>
          <w:szCs w:val="22"/>
          <w:lang w:val="en-GB" w:eastAsia="en-GB"/>
        </w:rPr>
      </w:pPr>
      <w:r>
        <w:rPr>
          <w:noProof/>
          <w:lang w:eastAsia="fr-FR" w:bidi="fr-FR"/>
        </w:rPr>
        <w:t>QUESTIONS BUDGÉTAIRES</w:t>
      </w:r>
    </w:p>
    <w:p w:rsidR="002425CA" w:rsidRPr="002425CA" w:rsidRDefault="002425CA" w:rsidP="002425CA">
      <w:pPr>
        <w:pStyle w:val="TOC9"/>
        <w:rPr>
          <w:rFonts w:asciiTheme="minorHAnsi" w:eastAsiaTheme="minorEastAsia" w:hAnsiTheme="minorHAnsi" w:cstheme="minorBidi"/>
          <w:noProof/>
          <w:sz w:val="22"/>
          <w:szCs w:val="22"/>
          <w:lang w:val="fr-BE" w:eastAsia="en-GB"/>
        </w:rPr>
      </w:pPr>
      <w:r>
        <w:rPr>
          <w:noProof/>
        </w:rPr>
        <w:t>Règlement financier révisé de l'UE - Alignement sur les nouvelles règles de passation de marchés</w:t>
      </w:r>
      <w:r>
        <w:rPr>
          <w:noProof/>
        </w:rPr>
        <w:tab/>
      </w:r>
      <w:r>
        <w:rPr>
          <w:noProof/>
        </w:rPr>
        <w:fldChar w:fldCharType="begin"/>
      </w:r>
      <w:r>
        <w:rPr>
          <w:noProof/>
        </w:rPr>
        <w:instrText xml:space="preserve"> PAGEREF \h _Toc437011205 \* MERGEFORMAT </w:instrText>
      </w:r>
      <w:r>
        <w:rPr>
          <w:noProof/>
        </w:rPr>
      </w:r>
      <w:r>
        <w:rPr>
          <w:noProof/>
        </w:rPr>
        <w:fldChar w:fldCharType="separate"/>
      </w:r>
      <w:r w:rsidR="00265BC9">
        <w:rPr>
          <w:noProof/>
        </w:rPr>
        <w:t>13</w:t>
      </w:r>
      <w:r>
        <w:rPr>
          <w:noProof/>
        </w:rPr>
        <w:fldChar w:fldCharType="end"/>
      </w:r>
    </w:p>
    <w:p w:rsidR="002425CA" w:rsidRDefault="002425CA" w:rsidP="002425CA">
      <w:pPr>
        <w:pStyle w:val="TOC8"/>
        <w:rPr>
          <w:rFonts w:asciiTheme="minorHAnsi" w:eastAsiaTheme="minorEastAsia" w:hAnsiTheme="minorHAnsi" w:cstheme="minorBidi"/>
          <w:i w:val="0"/>
          <w:noProof/>
          <w:sz w:val="22"/>
          <w:szCs w:val="22"/>
          <w:lang w:val="en-GB" w:eastAsia="en-GB"/>
        </w:rPr>
      </w:pPr>
      <w:r>
        <w:rPr>
          <w:noProof/>
          <w:lang w:eastAsia="fr-FR" w:bidi="fr-FR"/>
        </w:rPr>
        <w:t>POLITIQUE COMMERCIALE</w:t>
      </w:r>
    </w:p>
    <w:p w:rsidR="002425CA" w:rsidRPr="002425CA" w:rsidRDefault="002425CA" w:rsidP="002425CA">
      <w:pPr>
        <w:pStyle w:val="TOC9"/>
        <w:rPr>
          <w:rFonts w:asciiTheme="minorHAnsi" w:eastAsiaTheme="minorEastAsia" w:hAnsiTheme="minorHAnsi" w:cstheme="minorBidi"/>
          <w:noProof/>
          <w:sz w:val="22"/>
          <w:szCs w:val="22"/>
          <w:lang w:val="fr-BE" w:eastAsia="en-GB"/>
        </w:rPr>
      </w:pPr>
      <w:r>
        <w:rPr>
          <w:noProof/>
        </w:rPr>
        <w:t>Marchés publics dans le cadre de l'OMC: Ukraine</w:t>
      </w:r>
      <w:r>
        <w:rPr>
          <w:noProof/>
        </w:rPr>
        <w:tab/>
      </w:r>
      <w:r>
        <w:rPr>
          <w:noProof/>
        </w:rPr>
        <w:fldChar w:fldCharType="begin"/>
      </w:r>
      <w:r>
        <w:rPr>
          <w:noProof/>
        </w:rPr>
        <w:instrText xml:space="preserve"> PAGEREF \h _Toc437011207 \* MERGEFORMAT </w:instrText>
      </w:r>
      <w:r>
        <w:rPr>
          <w:noProof/>
        </w:rPr>
      </w:r>
      <w:r>
        <w:rPr>
          <w:noProof/>
        </w:rPr>
        <w:fldChar w:fldCharType="separate"/>
      </w:r>
      <w:r w:rsidR="00265BC9">
        <w:rPr>
          <w:noProof/>
        </w:rPr>
        <w:t>14</w:t>
      </w:r>
      <w:r>
        <w:rPr>
          <w:noProof/>
        </w:rPr>
        <w:fldChar w:fldCharType="end"/>
      </w:r>
    </w:p>
    <w:p w:rsidR="002425CA" w:rsidRDefault="002425CA" w:rsidP="002425CA">
      <w:pPr>
        <w:pStyle w:val="TOC8"/>
        <w:rPr>
          <w:rFonts w:asciiTheme="minorHAnsi" w:eastAsiaTheme="minorEastAsia" w:hAnsiTheme="minorHAnsi" w:cstheme="minorBidi"/>
          <w:i w:val="0"/>
          <w:noProof/>
          <w:sz w:val="22"/>
          <w:szCs w:val="22"/>
          <w:lang w:val="en-GB" w:eastAsia="en-GB"/>
        </w:rPr>
      </w:pPr>
      <w:r>
        <w:rPr>
          <w:noProof/>
          <w:lang w:eastAsia="fr-FR" w:bidi="fr-FR"/>
        </w:rPr>
        <w:t>POLITIQUE ÉTRANGÈRE</w:t>
      </w:r>
    </w:p>
    <w:p w:rsidR="002425CA" w:rsidRPr="002425CA" w:rsidRDefault="002425CA" w:rsidP="002425CA">
      <w:pPr>
        <w:pStyle w:val="TOC9"/>
        <w:rPr>
          <w:rFonts w:asciiTheme="minorHAnsi" w:eastAsiaTheme="minorEastAsia" w:hAnsiTheme="minorHAnsi" w:cstheme="minorBidi"/>
          <w:noProof/>
          <w:sz w:val="22"/>
          <w:szCs w:val="22"/>
          <w:lang w:val="fr-BE" w:eastAsia="en-GB"/>
        </w:rPr>
      </w:pPr>
      <w:r>
        <w:rPr>
          <w:noProof/>
        </w:rPr>
        <w:t>Mécanisme de signalement mondial des armes de petit calibre et des armes légères</w:t>
      </w:r>
      <w:r>
        <w:rPr>
          <w:noProof/>
        </w:rPr>
        <w:tab/>
      </w:r>
      <w:r>
        <w:rPr>
          <w:noProof/>
        </w:rPr>
        <w:fldChar w:fldCharType="begin"/>
      </w:r>
      <w:r>
        <w:rPr>
          <w:noProof/>
        </w:rPr>
        <w:instrText xml:space="preserve"> PAGEREF \h _Toc437011209 \* MERGEFORMAT </w:instrText>
      </w:r>
      <w:r>
        <w:rPr>
          <w:noProof/>
        </w:rPr>
      </w:r>
      <w:r>
        <w:rPr>
          <w:noProof/>
        </w:rPr>
        <w:fldChar w:fldCharType="separate"/>
      </w:r>
      <w:r w:rsidR="00265BC9">
        <w:rPr>
          <w:noProof/>
        </w:rPr>
        <w:t>14</w:t>
      </w:r>
      <w:r>
        <w:rPr>
          <w:noProof/>
        </w:rPr>
        <w:fldChar w:fldCharType="end"/>
      </w:r>
    </w:p>
    <w:p w:rsidR="002425CA" w:rsidRDefault="002425CA" w:rsidP="002425CA">
      <w:pPr>
        <w:pStyle w:val="TOC8"/>
        <w:rPr>
          <w:rFonts w:asciiTheme="minorHAnsi" w:eastAsiaTheme="minorEastAsia" w:hAnsiTheme="minorHAnsi" w:cstheme="minorBidi"/>
          <w:i w:val="0"/>
          <w:noProof/>
          <w:sz w:val="22"/>
          <w:szCs w:val="22"/>
          <w:lang w:val="en-GB" w:eastAsia="en-GB"/>
        </w:rPr>
      </w:pPr>
      <w:r>
        <w:rPr>
          <w:noProof/>
          <w:lang w:eastAsia="fr-FR" w:bidi="fr-FR"/>
        </w:rPr>
        <w:t>LÉGISLATION ALIMENTAIRE</w:t>
      </w:r>
    </w:p>
    <w:p w:rsidR="002425CA" w:rsidRPr="002425CA" w:rsidRDefault="002425CA" w:rsidP="002425CA">
      <w:pPr>
        <w:pStyle w:val="TOC9"/>
        <w:rPr>
          <w:lang w:val="fr-BE"/>
        </w:rPr>
      </w:pPr>
      <w:r>
        <w:rPr>
          <w:noProof/>
        </w:rPr>
        <w:t>Retrait d'une substance aromatisante de la liste des substances autorisées</w:t>
      </w:r>
      <w:r>
        <w:rPr>
          <w:noProof/>
        </w:rPr>
        <w:tab/>
      </w:r>
      <w:r>
        <w:rPr>
          <w:noProof/>
        </w:rPr>
        <w:fldChar w:fldCharType="begin"/>
      </w:r>
      <w:r>
        <w:rPr>
          <w:noProof/>
        </w:rPr>
        <w:instrText xml:space="preserve"> PAGEREF \h _Toc437011211 \* MERGEFORMAT </w:instrText>
      </w:r>
      <w:r>
        <w:rPr>
          <w:noProof/>
        </w:rPr>
      </w:r>
      <w:r>
        <w:rPr>
          <w:noProof/>
        </w:rPr>
        <w:fldChar w:fldCharType="separate"/>
      </w:r>
      <w:r w:rsidR="00265BC9">
        <w:rPr>
          <w:noProof/>
        </w:rPr>
        <w:t>14</w:t>
      </w:r>
      <w:r>
        <w:rPr>
          <w:noProof/>
        </w:rPr>
        <w:fldChar w:fldCharType="end"/>
      </w:r>
    </w:p>
    <w:p w:rsidR="002425CA" w:rsidRPr="002425CA" w:rsidRDefault="002425CA" w:rsidP="006D04B8">
      <w:pPr>
        <w:rPr>
          <w:lang w:val="fr-BE"/>
        </w:rPr>
        <w:sectPr w:rsidR="002425CA" w:rsidRPr="002425CA" w:rsidSect="00265BC9">
          <w:headerReference w:type="default" r:id="rId11"/>
          <w:headerReference w:type="first" r:id="rId12"/>
          <w:footerReference w:type="first" r:id="rId13"/>
          <w:footnotePr>
            <w:numRestart w:val="eachPage"/>
          </w:footnotePr>
          <w:pgSz w:w="11907" w:h="16840" w:code="9"/>
          <w:pgMar w:top="1134" w:right="1134" w:bottom="1134" w:left="1134" w:header="567" w:footer="567" w:gutter="0"/>
          <w:cols w:space="708"/>
          <w:titlePg/>
          <w:docGrid w:linePitch="360"/>
        </w:sectPr>
      </w:pPr>
    </w:p>
    <w:p w:rsidR="006D04B8" w:rsidRDefault="006D04B8" w:rsidP="006D04B8">
      <w:pPr>
        <w:pStyle w:val="ItemsDebatedHeading"/>
      </w:pPr>
      <w:r w:rsidRPr="006D04B8">
        <w:lastRenderedPageBreak/>
        <w:t>POINTS AYANT FAIT L'OBJET D'UN DÉBAT</w:t>
      </w:r>
    </w:p>
    <w:p w:rsidR="00290BBA" w:rsidRPr="00097AF5" w:rsidRDefault="00290BBA" w:rsidP="00290BBA">
      <w:pPr>
        <w:pStyle w:val="ItemDebated"/>
        <w:rPr>
          <w:lang w:eastAsia="fr-FR" w:bidi="fr-FR"/>
        </w:rPr>
      </w:pPr>
      <w:bookmarkStart w:id="5" w:name="_Toc437011184"/>
      <w:r w:rsidRPr="00097AF5">
        <w:rPr>
          <w:lang w:eastAsia="fr-FR" w:bidi="fr-FR"/>
        </w:rPr>
        <w:t>PÊCHE</w:t>
      </w:r>
      <w:bookmarkEnd w:id="5"/>
    </w:p>
    <w:p w:rsidR="00290BBA" w:rsidRPr="00097AF5" w:rsidRDefault="00290BBA" w:rsidP="00290BBA">
      <w:pPr>
        <w:pStyle w:val="Sub-sub-itemDebated"/>
      </w:pPr>
      <w:bookmarkStart w:id="6" w:name="_Toc437011185"/>
      <w:r w:rsidRPr="00097AF5">
        <w:t>Possibilités de pêche en mer Baltique pour 2016</w:t>
      </w:r>
      <w:bookmarkEnd w:id="6"/>
    </w:p>
    <w:p w:rsidR="00290BBA" w:rsidRPr="00097AF5" w:rsidRDefault="00290BBA" w:rsidP="00290BBA">
      <w:pPr>
        <w:rPr>
          <w:lang w:eastAsia="fr-FR" w:bidi="fr-FR"/>
        </w:rPr>
      </w:pPr>
      <w:r w:rsidRPr="00097AF5">
        <w:rPr>
          <w:lang w:eastAsia="fr-FR" w:bidi="fr-FR"/>
        </w:rPr>
        <w:t>Les ministres sont parvenus à un accord politique sur les possibilités de pêche applicables à certains stocks halieutiques de la mer Baltique en 2016.</w:t>
      </w:r>
    </w:p>
    <w:p w:rsidR="00290BBA" w:rsidRPr="00097AF5" w:rsidRDefault="00290BBA" w:rsidP="00290BBA">
      <w:pPr>
        <w:rPr>
          <w:lang w:eastAsia="fr-FR" w:bidi="fr-FR"/>
        </w:rPr>
      </w:pPr>
      <w:r w:rsidRPr="00097AF5">
        <w:rPr>
          <w:lang w:eastAsia="fr-FR" w:bidi="fr-FR"/>
        </w:rPr>
        <w:t xml:space="preserve">La présidence et plusieurs États membres ont souligné que l'accord final avait été </w:t>
      </w:r>
      <w:r>
        <w:rPr>
          <w:lang w:eastAsia="fr-FR" w:bidi="fr-FR"/>
        </w:rPr>
        <w:t xml:space="preserve">facilité </w:t>
      </w:r>
      <w:r w:rsidRPr="00097AF5">
        <w:rPr>
          <w:lang w:eastAsia="fr-FR" w:bidi="fr-FR"/>
        </w:rPr>
        <w:t>par les travaux préparatoires effectués au niveau régional au sein du forum BaltFish.</w:t>
      </w:r>
    </w:p>
    <w:p w:rsidR="00290BBA" w:rsidRPr="00097AF5" w:rsidRDefault="00290BBA" w:rsidP="00290BBA">
      <w:pPr>
        <w:rPr>
          <w:lang w:eastAsia="fr-FR" w:bidi="fr-FR"/>
        </w:rPr>
      </w:pPr>
      <w:r w:rsidRPr="00097AF5">
        <w:rPr>
          <w:lang w:eastAsia="fr-FR" w:bidi="fr-FR"/>
        </w:rPr>
        <w:t>Ce point sera ajouté, après mise au point du texte par les juristes-linguistes, à la liste des points "A" de l'ordre du jour d'une prochaine session du Conseil.</w:t>
      </w:r>
    </w:p>
    <w:p w:rsidR="00290BBA" w:rsidRPr="00097AF5" w:rsidRDefault="00290BBA" w:rsidP="00290BBA">
      <w:pPr>
        <w:rPr>
          <w:lang w:eastAsia="fr-FR" w:bidi="fr-FR"/>
        </w:rPr>
      </w:pPr>
      <w:r w:rsidRPr="00097AF5">
        <w:rPr>
          <w:lang w:eastAsia="fr-FR" w:bidi="fr-FR"/>
        </w:rPr>
        <w:t>L'accord fixe, pour 2016, les quantités maximales de poissons de certains stocks qui peuvent être pêchées en mer Baltique (totaux admissibles des captures (TAC) et quotas). Les mesures proposées ont été établies compte tenu des avis scientifiques disponibles et, en particulier, des rapports établis par le Conseil international pour l'exploration de la mer (CIEM).</w:t>
      </w:r>
    </w:p>
    <w:p w:rsidR="00290BBA" w:rsidRPr="00097AF5" w:rsidRDefault="00290BBA" w:rsidP="00290BBA">
      <w:pPr>
        <w:rPr>
          <w:lang w:eastAsia="fr-FR" w:bidi="fr-FR"/>
        </w:rPr>
      </w:pPr>
      <w:r w:rsidRPr="00097AF5">
        <w:rPr>
          <w:lang w:eastAsia="fr-FR" w:bidi="fr-FR"/>
        </w:rPr>
        <w:t>Dans le cadre de la réforme récente de la politique commune de la pêche (PCP), le règlement (UE) n° 1380/2013 a introduit une obligation de débarquement pour les stocks capturés dans certaines pêcheries. Cette obligation est applicable depuis le 1</w:t>
      </w:r>
      <w:r w:rsidRPr="00097AF5">
        <w:rPr>
          <w:vertAlign w:val="superscript"/>
          <w:lang w:eastAsia="fr-FR" w:bidi="fr-FR"/>
        </w:rPr>
        <w:t>er</w:t>
      </w:r>
      <w:r w:rsidRPr="00097AF5">
        <w:rPr>
          <w:lang w:eastAsia="fr-FR" w:bidi="fr-FR"/>
        </w:rPr>
        <w:t> janvier 2015</w:t>
      </w:r>
      <w:r>
        <w:rPr>
          <w:lang w:eastAsia="fr-FR" w:bidi="fr-FR"/>
        </w:rPr>
        <w:t xml:space="preserve"> pour certains stocks de la mer </w:t>
      </w:r>
      <w:r w:rsidRPr="00097AF5">
        <w:rPr>
          <w:lang w:eastAsia="fr-FR" w:bidi="fr-FR"/>
        </w:rPr>
        <w:t>Baltique, à savoir les petites pêcheries pélagiques (stocks de hareng et de sprat), les pêcheries de saumon (stocks de saumon), ainsi que celles de cabillaud (stocks de cabillaud), l'espèce définissant la pêcherie. Avec l'introduction de l'obligation de dé</w:t>
      </w:r>
      <w:r>
        <w:rPr>
          <w:lang w:eastAsia="fr-FR" w:bidi="fr-FR"/>
        </w:rPr>
        <w:t>barquement, les possibilités de </w:t>
      </w:r>
      <w:r w:rsidRPr="00097AF5">
        <w:rPr>
          <w:lang w:eastAsia="fr-FR" w:bidi="fr-FR"/>
        </w:rPr>
        <w:t>pêche proposées doivent refléter le passage de la quantité débarquée à la quantité capturée.</w:t>
      </w:r>
    </w:p>
    <w:p w:rsidR="00290BBA" w:rsidRPr="00097AF5" w:rsidRDefault="00290BBA" w:rsidP="00290BBA">
      <w:pPr>
        <w:rPr>
          <w:lang w:eastAsia="fr-FR" w:bidi="fr-FR"/>
        </w:rPr>
      </w:pPr>
      <w:r w:rsidRPr="00097AF5">
        <w:rPr>
          <w:lang w:eastAsia="fr-FR" w:bidi="fr-FR"/>
        </w:rPr>
        <w:t>En 2015, compte tenu de l'embargo imposé par la Fédération de Russie sur l'importation de certains produits agricoles et de la pêche provenant de l'UE, une certaine souplesse</w:t>
      </w:r>
      <w:r>
        <w:rPr>
          <w:lang w:eastAsia="fr-FR" w:bidi="fr-FR"/>
        </w:rPr>
        <w:t xml:space="preserve"> permettant </w:t>
      </w:r>
      <w:r w:rsidRPr="00097AF5">
        <w:rPr>
          <w:lang w:eastAsia="fr-FR" w:bidi="fr-FR"/>
        </w:rPr>
        <w:t>de reporter les possibilités de pêche non utilisées pour les stocks le plus gravement ou le plus directement touchés par l'embargo</w:t>
      </w:r>
      <w:r>
        <w:rPr>
          <w:lang w:eastAsia="fr-FR" w:bidi="fr-FR"/>
        </w:rPr>
        <w:t xml:space="preserve"> a été instaurée</w:t>
      </w:r>
      <w:r w:rsidRPr="00097AF5">
        <w:rPr>
          <w:lang w:eastAsia="fr-FR" w:bidi="fr-FR"/>
        </w:rPr>
        <w:t>.</w:t>
      </w:r>
      <w:r>
        <w:rPr>
          <w:lang w:eastAsia="fr-FR" w:bidi="fr-FR"/>
        </w:rPr>
        <w:t xml:space="preserve"> </w:t>
      </w:r>
      <w:r w:rsidRPr="00097AF5">
        <w:rPr>
          <w:lang w:eastAsia="fr-FR" w:bidi="fr-FR"/>
        </w:rPr>
        <w:t>L'embargo russe ayant été prolongé, une mesure similaire sera appliquée et des possibilités de pêche pour certains stocks qui n'ont pas été utilisées en 2015 seront reportées à 2016.</w:t>
      </w:r>
    </w:p>
    <w:p w:rsidR="00290BBA" w:rsidRPr="00097AF5" w:rsidRDefault="00290BBA" w:rsidP="00290BBA">
      <w:pPr>
        <w:rPr>
          <w:lang w:eastAsia="fr-FR" w:bidi="fr-FR"/>
        </w:rPr>
      </w:pPr>
      <w:r w:rsidRPr="00097AF5">
        <w:rPr>
          <w:lang w:eastAsia="fr-FR" w:bidi="fr-FR"/>
        </w:rPr>
        <w:t xml:space="preserve">L'accord porte principalement sur les totaux admissibles des captures (TAC) et les quotas de pêche pour les États membres dans les eaux </w:t>
      </w:r>
      <w:r>
        <w:rPr>
          <w:lang w:eastAsia="fr-FR" w:bidi="fr-FR"/>
        </w:rPr>
        <w:t xml:space="preserve">de l'Union de </w:t>
      </w:r>
      <w:r w:rsidRPr="00097AF5">
        <w:rPr>
          <w:lang w:eastAsia="fr-FR" w:bidi="fr-FR"/>
        </w:rPr>
        <w:t xml:space="preserve">la </w:t>
      </w:r>
      <w:r>
        <w:rPr>
          <w:lang w:eastAsia="fr-FR" w:bidi="fr-FR"/>
        </w:rPr>
        <w:t xml:space="preserve">mer </w:t>
      </w:r>
      <w:r w:rsidRPr="00097AF5">
        <w:rPr>
          <w:lang w:eastAsia="fr-FR" w:bidi="fr-FR"/>
        </w:rPr>
        <w:t>Baltique; le tableau ci-après résume les principaux changements apportés (réduction, augmentation ou reconduction des TAC par rapport à 2015).</w:t>
      </w:r>
    </w:p>
    <w:p w:rsidR="00290BBA" w:rsidRPr="00097AF5" w:rsidRDefault="00290BBA" w:rsidP="00290BBA">
      <w:pPr>
        <w:spacing w:before="0" w:after="0"/>
        <w:rPr>
          <w:lang w:eastAsia="fr-FR" w:bidi="fr-FR"/>
        </w:rPr>
      </w:pPr>
      <w:r w:rsidRPr="00097AF5">
        <w:rPr>
          <w:lang w:eastAsia="fr-FR" w:bidi="fr-FR"/>
        </w:rPr>
        <w:br w:type="page"/>
      </w:r>
    </w:p>
    <w:tbl>
      <w:tblPr>
        <w:tblW w:w="10116" w:type="dxa"/>
        <w:tblInd w:w="108" w:type="dxa"/>
        <w:tblLook w:val="0000" w:firstRow="0" w:lastRow="0" w:firstColumn="0" w:lastColumn="0" w:noHBand="0" w:noVBand="0"/>
      </w:tblPr>
      <w:tblGrid>
        <w:gridCol w:w="1475"/>
        <w:gridCol w:w="2520"/>
        <w:gridCol w:w="1151"/>
        <w:gridCol w:w="1080"/>
        <w:gridCol w:w="1622"/>
        <w:gridCol w:w="1255"/>
        <w:gridCol w:w="1243"/>
      </w:tblGrid>
      <w:tr w:rsidR="00290BBA" w:rsidRPr="00097AF5" w:rsidTr="00AD1DAB">
        <w:trPr>
          <w:trHeight w:val="485"/>
        </w:trPr>
        <w:tc>
          <w:tcPr>
            <w:tcW w:w="1011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rsidR="00290BBA" w:rsidRPr="00097AF5" w:rsidRDefault="00290BBA" w:rsidP="00AD1DAB">
            <w:pPr>
              <w:spacing w:before="0" w:after="0"/>
              <w:jc w:val="center"/>
              <w:rPr>
                <w:b/>
                <w:bCs/>
                <w:lang w:eastAsia="fr-FR" w:bidi="fr-FR"/>
              </w:rPr>
            </w:pPr>
            <w:r w:rsidRPr="00097AF5">
              <w:rPr>
                <w:lang w:eastAsia="fr-FR" w:bidi="fr-FR"/>
              </w:rPr>
              <w:br w:type="page"/>
            </w:r>
            <w:r w:rsidRPr="00097AF5">
              <w:rPr>
                <w:lang w:eastAsia="fr-FR" w:bidi="fr-FR"/>
              </w:rPr>
              <w:br w:type="page"/>
            </w:r>
            <w:r w:rsidRPr="00097AF5">
              <w:rPr>
                <w:lang w:eastAsia="fr-FR" w:bidi="fr-FR"/>
              </w:rPr>
              <w:br w:type="page"/>
            </w:r>
            <w:r w:rsidRPr="00097AF5">
              <w:rPr>
                <w:lang w:eastAsia="fr-FR" w:bidi="fr-FR"/>
              </w:rPr>
              <w:br w:type="page"/>
            </w:r>
            <w:r w:rsidRPr="00097AF5">
              <w:rPr>
                <w:lang w:eastAsia="fr-FR" w:bidi="fr-FR"/>
              </w:rPr>
              <w:br w:type="page"/>
            </w:r>
            <w:r w:rsidRPr="00097AF5">
              <w:rPr>
                <w:b/>
                <w:lang w:eastAsia="fr-FR" w:bidi="fr-FR"/>
              </w:rPr>
              <w:t>TOTAUX ADMISSIBLES DES CAPTURES (TAC) COMMUNAUTAIRES EN MER BALTIQUE POUR 2016</w:t>
            </w:r>
          </w:p>
        </w:tc>
      </w:tr>
      <w:tr w:rsidR="00290BBA" w:rsidRPr="00097AF5" w:rsidTr="00AD1DAB">
        <w:trPr>
          <w:trHeight w:val="76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290BBA" w:rsidRPr="00097AF5" w:rsidRDefault="00290BBA" w:rsidP="00AD1DAB">
            <w:pPr>
              <w:spacing w:before="0" w:after="0"/>
              <w:rPr>
                <w:sz w:val="22"/>
                <w:szCs w:val="22"/>
                <w:lang w:eastAsia="fr-FR" w:bidi="fr-FR"/>
              </w:rPr>
            </w:pPr>
            <w:r w:rsidRPr="00097AF5">
              <w:rPr>
                <w:sz w:val="22"/>
                <w:lang w:eastAsia="fr-FR" w:bidi="fr-FR"/>
              </w:rPr>
              <w:t> </w:t>
            </w:r>
          </w:p>
        </w:tc>
        <w:tc>
          <w:tcPr>
            <w:tcW w:w="2520" w:type="dxa"/>
            <w:tcBorders>
              <w:top w:val="nil"/>
              <w:left w:val="nil"/>
              <w:bottom w:val="single" w:sz="8" w:space="0" w:color="auto"/>
              <w:right w:val="single" w:sz="8" w:space="0" w:color="auto"/>
            </w:tcBorders>
            <w:shd w:val="clear" w:color="auto" w:fill="auto"/>
            <w:noWrap/>
            <w:vAlign w:val="bottom"/>
          </w:tcPr>
          <w:p w:rsidR="00290BBA" w:rsidRPr="00097AF5" w:rsidRDefault="00290BBA" w:rsidP="00AD1DAB">
            <w:pPr>
              <w:spacing w:before="0" w:after="0"/>
              <w:rPr>
                <w:sz w:val="22"/>
                <w:szCs w:val="22"/>
                <w:lang w:eastAsia="fr-FR" w:bidi="fr-FR"/>
              </w:rPr>
            </w:pPr>
            <w:r w:rsidRPr="00097AF5">
              <w:rPr>
                <w:sz w:val="22"/>
                <w:lang w:eastAsia="fr-FR" w:bidi="fr-FR"/>
              </w:rPr>
              <w:t> </w:t>
            </w:r>
          </w:p>
        </w:tc>
        <w:tc>
          <w:tcPr>
            <w:tcW w:w="2160" w:type="dxa"/>
            <w:gridSpan w:val="2"/>
            <w:tcBorders>
              <w:top w:val="single" w:sz="8" w:space="0" w:color="auto"/>
              <w:left w:val="nil"/>
              <w:bottom w:val="single" w:sz="8" w:space="0" w:color="auto"/>
              <w:right w:val="single" w:sz="8" w:space="0" w:color="000000"/>
            </w:tcBorders>
            <w:shd w:val="clear" w:color="auto" w:fill="auto"/>
            <w:noWrap/>
            <w:vAlign w:val="center"/>
          </w:tcPr>
          <w:p w:rsidR="00290BBA" w:rsidRPr="00097AF5" w:rsidRDefault="00290BBA" w:rsidP="00AD1DAB">
            <w:pPr>
              <w:spacing w:before="0" w:after="0"/>
              <w:jc w:val="center"/>
              <w:rPr>
                <w:sz w:val="22"/>
                <w:szCs w:val="22"/>
                <w:lang w:eastAsia="fr-FR" w:bidi="fr-FR"/>
              </w:rPr>
            </w:pPr>
            <w:r w:rsidRPr="00097AF5">
              <w:rPr>
                <w:sz w:val="22"/>
                <w:lang w:eastAsia="fr-FR" w:bidi="fr-FR"/>
              </w:rPr>
              <w:t>Proposition de la COMMISSION</w:t>
            </w:r>
          </w:p>
        </w:tc>
        <w:tc>
          <w:tcPr>
            <w:tcW w:w="1622" w:type="dxa"/>
            <w:tcBorders>
              <w:top w:val="nil"/>
              <w:left w:val="nil"/>
              <w:bottom w:val="single" w:sz="8" w:space="0" w:color="auto"/>
              <w:right w:val="single" w:sz="8" w:space="0" w:color="auto"/>
            </w:tcBorders>
            <w:shd w:val="clear" w:color="auto" w:fill="auto"/>
            <w:vAlign w:val="center"/>
          </w:tcPr>
          <w:p w:rsidR="00290BBA" w:rsidRPr="00097AF5" w:rsidRDefault="00290BBA" w:rsidP="00AD1DAB">
            <w:pPr>
              <w:spacing w:before="0" w:after="0"/>
              <w:jc w:val="center"/>
              <w:rPr>
                <w:sz w:val="22"/>
                <w:szCs w:val="22"/>
                <w:lang w:eastAsia="fr-FR" w:bidi="fr-FR"/>
              </w:rPr>
            </w:pPr>
            <w:r w:rsidRPr="00097AF5">
              <w:rPr>
                <w:sz w:val="22"/>
                <w:lang w:eastAsia="fr-FR" w:bidi="fr-FR"/>
              </w:rPr>
              <w:t>Objectifs de la COMMISSION</w:t>
            </w:r>
          </w:p>
        </w:tc>
        <w:tc>
          <w:tcPr>
            <w:tcW w:w="1255" w:type="dxa"/>
            <w:tcBorders>
              <w:top w:val="nil"/>
              <w:left w:val="nil"/>
              <w:bottom w:val="single" w:sz="8" w:space="0" w:color="auto"/>
              <w:right w:val="single" w:sz="8" w:space="0" w:color="auto"/>
            </w:tcBorders>
            <w:shd w:val="clear" w:color="auto" w:fill="auto"/>
            <w:vAlign w:val="center"/>
          </w:tcPr>
          <w:p w:rsidR="00290BBA" w:rsidRPr="00097AF5" w:rsidRDefault="00290BBA" w:rsidP="00AD1DAB">
            <w:pPr>
              <w:spacing w:before="0" w:after="0"/>
              <w:jc w:val="center"/>
              <w:rPr>
                <w:b/>
                <w:bCs/>
                <w:sz w:val="22"/>
                <w:szCs w:val="22"/>
                <w:lang w:eastAsia="fr-FR" w:bidi="fr-FR"/>
              </w:rPr>
            </w:pPr>
            <w:r w:rsidRPr="00097AF5">
              <w:rPr>
                <w:b/>
                <w:sz w:val="22"/>
                <w:lang w:eastAsia="fr-FR" w:bidi="fr-FR"/>
              </w:rPr>
              <w:t>Accord CONSEIL</w:t>
            </w:r>
          </w:p>
        </w:tc>
        <w:tc>
          <w:tcPr>
            <w:tcW w:w="1194" w:type="dxa"/>
            <w:vMerge w:val="restart"/>
            <w:tcBorders>
              <w:top w:val="nil"/>
              <w:left w:val="nil"/>
              <w:right w:val="single" w:sz="8" w:space="0" w:color="auto"/>
            </w:tcBorders>
            <w:shd w:val="clear" w:color="auto" w:fill="auto"/>
            <w:vAlign w:val="center"/>
          </w:tcPr>
          <w:p w:rsidR="00290BBA" w:rsidRPr="00097AF5" w:rsidRDefault="00290BBA" w:rsidP="00AD1DAB">
            <w:pPr>
              <w:spacing w:before="0" w:after="0"/>
              <w:jc w:val="center"/>
              <w:rPr>
                <w:b/>
                <w:bCs/>
                <w:sz w:val="22"/>
                <w:szCs w:val="22"/>
                <w:lang w:eastAsia="fr-FR" w:bidi="fr-FR"/>
              </w:rPr>
            </w:pPr>
            <w:r w:rsidRPr="00097AF5">
              <w:rPr>
                <w:b/>
                <w:sz w:val="22"/>
                <w:lang w:eastAsia="fr-FR" w:bidi="fr-FR"/>
              </w:rPr>
              <w:t>Différence par rapport à l'année précédente</w:t>
            </w:r>
          </w:p>
        </w:tc>
      </w:tr>
      <w:tr w:rsidR="00290BBA" w:rsidRPr="00097AF5" w:rsidTr="00AD1DAB">
        <w:trPr>
          <w:trHeight w:val="255"/>
        </w:trPr>
        <w:tc>
          <w:tcPr>
            <w:tcW w:w="1365" w:type="dxa"/>
            <w:vMerge w:val="restart"/>
            <w:tcBorders>
              <w:top w:val="nil"/>
              <w:left w:val="single" w:sz="8" w:space="0" w:color="auto"/>
              <w:bottom w:val="single" w:sz="8" w:space="0" w:color="000000"/>
              <w:right w:val="single" w:sz="8" w:space="0" w:color="auto"/>
            </w:tcBorders>
            <w:shd w:val="clear" w:color="auto" w:fill="auto"/>
            <w:noWrap/>
            <w:vAlign w:val="center"/>
          </w:tcPr>
          <w:p w:rsidR="00290BBA" w:rsidRPr="00097AF5" w:rsidRDefault="00290BBA" w:rsidP="00AD1DAB">
            <w:pPr>
              <w:spacing w:before="0" w:after="0"/>
              <w:jc w:val="center"/>
              <w:rPr>
                <w:i/>
                <w:iCs/>
                <w:sz w:val="22"/>
                <w:szCs w:val="22"/>
                <w:lang w:eastAsia="fr-FR" w:bidi="fr-FR"/>
              </w:rPr>
            </w:pPr>
            <w:r w:rsidRPr="00097AF5">
              <w:rPr>
                <w:i/>
                <w:sz w:val="22"/>
                <w:lang w:eastAsia="fr-FR" w:bidi="fr-FR"/>
              </w:rPr>
              <w:t>Dénomination latine</w:t>
            </w:r>
          </w:p>
        </w:tc>
        <w:tc>
          <w:tcPr>
            <w:tcW w:w="2520" w:type="dxa"/>
            <w:vMerge w:val="restart"/>
            <w:tcBorders>
              <w:top w:val="nil"/>
              <w:left w:val="single" w:sz="8" w:space="0" w:color="auto"/>
              <w:bottom w:val="single" w:sz="8" w:space="0" w:color="000000"/>
              <w:right w:val="single" w:sz="8" w:space="0" w:color="auto"/>
            </w:tcBorders>
            <w:shd w:val="clear" w:color="auto" w:fill="auto"/>
            <w:noWrap/>
            <w:vAlign w:val="center"/>
          </w:tcPr>
          <w:p w:rsidR="00290BBA" w:rsidRPr="00097AF5" w:rsidRDefault="00290BBA" w:rsidP="00AD1DAB">
            <w:pPr>
              <w:spacing w:before="0" w:after="0"/>
              <w:jc w:val="center"/>
              <w:rPr>
                <w:sz w:val="22"/>
                <w:szCs w:val="22"/>
                <w:lang w:eastAsia="fr-FR" w:bidi="fr-FR"/>
              </w:rPr>
            </w:pPr>
            <w:r w:rsidRPr="00097AF5">
              <w:rPr>
                <w:sz w:val="22"/>
                <w:lang w:eastAsia="fr-FR" w:bidi="fr-FR"/>
              </w:rPr>
              <w:t>ZONES DE PÊCHE CIEM</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tcPr>
          <w:p w:rsidR="00290BBA" w:rsidRPr="00097AF5" w:rsidRDefault="00290BBA" w:rsidP="00AD1DAB">
            <w:pPr>
              <w:spacing w:before="0" w:after="0"/>
              <w:jc w:val="center"/>
              <w:rPr>
                <w:sz w:val="22"/>
                <w:szCs w:val="22"/>
                <w:lang w:eastAsia="fr-FR" w:bidi="fr-FR"/>
              </w:rPr>
            </w:pPr>
            <w:r w:rsidRPr="00097AF5">
              <w:rPr>
                <w:sz w:val="22"/>
                <w:lang w:eastAsia="fr-FR" w:bidi="fr-FR"/>
              </w:rPr>
              <w:t>TAC 2015</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tcPr>
          <w:p w:rsidR="00290BBA" w:rsidRPr="00097AF5" w:rsidRDefault="00290BBA" w:rsidP="00AD1DAB">
            <w:pPr>
              <w:spacing w:before="0" w:after="0"/>
              <w:jc w:val="center"/>
              <w:rPr>
                <w:sz w:val="22"/>
                <w:szCs w:val="22"/>
                <w:lang w:eastAsia="fr-FR" w:bidi="fr-FR"/>
              </w:rPr>
            </w:pPr>
            <w:r w:rsidRPr="00097AF5">
              <w:rPr>
                <w:sz w:val="22"/>
                <w:lang w:eastAsia="fr-FR" w:bidi="fr-FR"/>
              </w:rPr>
              <w:t>pour 2016</w:t>
            </w:r>
          </w:p>
        </w:tc>
        <w:tc>
          <w:tcPr>
            <w:tcW w:w="1622" w:type="dxa"/>
            <w:vMerge w:val="restart"/>
            <w:tcBorders>
              <w:top w:val="nil"/>
              <w:left w:val="single" w:sz="8" w:space="0" w:color="auto"/>
              <w:bottom w:val="single" w:sz="8" w:space="0" w:color="000000"/>
              <w:right w:val="single" w:sz="8" w:space="0" w:color="auto"/>
            </w:tcBorders>
            <w:shd w:val="clear" w:color="auto" w:fill="auto"/>
            <w:noWrap/>
            <w:vAlign w:val="center"/>
          </w:tcPr>
          <w:p w:rsidR="00290BBA" w:rsidRPr="00097AF5" w:rsidRDefault="00290BBA" w:rsidP="00AD1DAB">
            <w:pPr>
              <w:spacing w:before="0" w:after="0"/>
              <w:jc w:val="center"/>
              <w:rPr>
                <w:sz w:val="22"/>
                <w:szCs w:val="22"/>
                <w:lang w:eastAsia="fr-FR" w:bidi="fr-FR"/>
              </w:rPr>
            </w:pPr>
            <w:r w:rsidRPr="00097AF5">
              <w:rPr>
                <w:sz w:val="22"/>
                <w:lang w:eastAsia="fr-FR" w:bidi="fr-FR"/>
              </w:rPr>
              <w:t>2016</w:t>
            </w:r>
          </w:p>
        </w:tc>
        <w:tc>
          <w:tcPr>
            <w:tcW w:w="1255" w:type="dxa"/>
            <w:tcBorders>
              <w:top w:val="nil"/>
              <w:left w:val="nil"/>
              <w:bottom w:val="nil"/>
              <w:right w:val="single" w:sz="8" w:space="0" w:color="auto"/>
            </w:tcBorders>
            <w:shd w:val="clear" w:color="auto" w:fill="auto"/>
            <w:noWrap/>
            <w:vAlign w:val="center"/>
          </w:tcPr>
          <w:p w:rsidR="00290BBA" w:rsidRPr="00097AF5" w:rsidRDefault="00290BBA" w:rsidP="00AD1DAB">
            <w:pPr>
              <w:spacing w:before="0" w:after="0"/>
              <w:jc w:val="center"/>
              <w:rPr>
                <w:b/>
                <w:bCs/>
                <w:sz w:val="22"/>
                <w:szCs w:val="22"/>
                <w:lang w:eastAsia="fr-FR" w:bidi="fr-FR"/>
              </w:rPr>
            </w:pPr>
            <w:r w:rsidRPr="00097AF5">
              <w:rPr>
                <w:b/>
                <w:sz w:val="22"/>
                <w:lang w:eastAsia="fr-FR" w:bidi="fr-FR"/>
              </w:rPr>
              <w:t>TAC</w:t>
            </w:r>
          </w:p>
        </w:tc>
        <w:tc>
          <w:tcPr>
            <w:tcW w:w="1194" w:type="dxa"/>
            <w:vMerge/>
            <w:tcBorders>
              <w:left w:val="nil"/>
              <w:right w:val="single" w:sz="8" w:space="0" w:color="auto"/>
            </w:tcBorders>
            <w:shd w:val="clear" w:color="auto" w:fill="auto"/>
            <w:noWrap/>
          </w:tcPr>
          <w:p w:rsidR="00290BBA" w:rsidRPr="00097AF5" w:rsidRDefault="00290BBA" w:rsidP="00AD1DAB">
            <w:pPr>
              <w:spacing w:before="0" w:after="0"/>
              <w:rPr>
                <w:b/>
                <w:bCs/>
                <w:sz w:val="22"/>
                <w:szCs w:val="22"/>
                <w:lang w:eastAsia="fr-FR" w:bidi="fr-FR"/>
              </w:rPr>
            </w:pPr>
          </w:p>
        </w:tc>
      </w:tr>
      <w:tr w:rsidR="00290BBA" w:rsidRPr="00097AF5" w:rsidTr="00AD1DAB">
        <w:trPr>
          <w:trHeight w:val="255"/>
        </w:trPr>
        <w:tc>
          <w:tcPr>
            <w:tcW w:w="1365" w:type="dxa"/>
            <w:vMerge/>
            <w:tcBorders>
              <w:top w:val="nil"/>
              <w:left w:val="single" w:sz="8" w:space="0" w:color="auto"/>
              <w:bottom w:val="single" w:sz="8" w:space="0" w:color="000000"/>
              <w:right w:val="single" w:sz="8" w:space="0" w:color="auto"/>
            </w:tcBorders>
            <w:shd w:val="clear" w:color="auto" w:fill="auto"/>
            <w:vAlign w:val="center"/>
          </w:tcPr>
          <w:p w:rsidR="00290BBA" w:rsidRPr="00097AF5" w:rsidRDefault="00290BBA" w:rsidP="00AD1DAB">
            <w:pPr>
              <w:spacing w:before="0" w:after="0"/>
              <w:jc w:val="center"/>
              <w:rPr>
                <w:i/>
                <w:iCs/>
                <w:sz w:val="22"/>
                <w:szCs w:val="22"/>
                <w:lang w:eastAsia="fr-FR" w:bidi="fr-FR"/>
              </w:rPr>
            </w:pPr>
          </w:p>
        </w:tc>
        <w:tc>
          <w:tcPr>
            <w:tcW w:w="2520" w:type="dxa"/>
            <w:vMerge/>
            <w:tcBorders>
              <w:top w:val="nil"/>
              <w:left w:val="single" w:sz="8" w:space="0" w:color="auto"/>
              <w:bottom w:val="single" w:sz="8" w:space="0" w:color="000000"/>
              <w:right w:val="single" w:sz="8" w:space="0" w:color="auto"/>
            </w:tcBorders>
            <w:shd w:val="clear" w:color="auto" w:fill="auto"/>
            <w:vAlign w:val="center"/>
          </w:tcPr>
          <w:p w:rsidR="00290BBA" w:rsidRPr="00097AF5" w:rsidRDefault="00290BBA" w:rsidP="00AD1DAB">
            <w:pPr>
              <w:spacing w:before="0" w:after="0"/>
              <w:jc w:val="center"/>
              <w:rPr>
                <w:sz w:val="22"/>
                <w:szCs w:val="22"/>
                <w:lang w:eastAsia="fr-FR" w:bidi="fr-FR"/>
              </w:rPr>
            </w:pPr>
          </w:p>
        </w:tc>
        <w:tc>
          <w:tcPr>
            <w:tcW w:w="1080" w:type="dxa"/>
            <w:vMerge/>
            <w:tcBorders>
              <w:top w:val="nil"/>
              <w:left w:val="single" w:sz="8" w:space="0" w:color="auto"/>
              <w:bottom w:val="single" w:sz="8" w:space="0" w:color="000000"/>
              <w:right w:val="single" w:sz="8" w:space="0" w:color="auto"/>
            </w:tcBorders>
            <w:shd w:val="clear" w:color="auto" w:fill="auto"/>
            <w:vAlign w:val="center"/>
          </w:tcPr>
          <w:p w:rsidR="00290BBA" w:rsidRPr="00097AF5" w:rsidRDefault="00290BBA" w:rsidP="00AD1DAB">
            <w:pPr>
              <w:spacing w:before="0" w:after="0"/>
              <w:jc w:val="center"/>
              <w:rPr>
                <w:sz w:val="22"/>
                <w:szCs w:val="22"/>
                <w:lang w:eastAsia="fr-FR" w:bidi="fr-FR"/>
              </w:rPr>
            </w:pPr>
          </w:p>
        </w:tc>
        <w:tc>
          <w:tcPr>
            <w:tcW w:w="1080" w:type="dxa"/>
            <w:vMerge/>
            <w:tcBorders>
              <w:top w:val="nil"/>
              <w:left w:val="single" w:sz="8" w:space="0" w:color="auto"/>
              <w:bottom w:val="single" w:sz="8" w:space="0" w:color="000000"/>
              <w:right w:val="single" w:sz="8" w:space="0" w:color="auto"/>
            </w:tcBorders>
            <w:shd w:val="clear" w:color="auto" w:fill="auto"/>
            <w:vAlign w:val="center"/>
          </w:tcPr>
          <w:p w:rsidR="00290BBA" w:rsidRPr="00097AF5" w:rsidRDefault="00290BBA" w:rsidP="00AD1DAB">
            <w:pPr>
              <w:spacing w:before="0" w:after="0"/>
              <w:jc w:val="center"/>
              <w:rPr>
                <w:sz w:val="22"/>
                <w:szCs w:val="22"/>
                <w:lang w:eastAsia="fr-FR" w:bidi="fr-FR"/>
              </w:rPr>
            </w:pPr>
          </w:p>
        </w:tc>
        <w:tc>
          <w:tcPr>
            <w:tcW w:w="1622" w:type="dxa"/>
            <w:vMerge/>
            <w:tcBorders>
              <w:top w:val="nil"/>
              <w:left w:val="single" w:sz="8" w:space="0" w:color="auto"/>
              <w:bottom w:val="single" w:sz="8" w:space="0" w:color="000000"/>
              <w:right w:val="single" w:sz="8" w:space="0" w:color="auto"/>
            </w:tcBorders>
            <w:shd w:val="clear" w:color="auto" w:fill="auto"/>
            <w:vAlign w:val="center"/>
          </w:tcPr>
          <w:p w:rsidR="00290BBA" w:rsidRPr="00097AF5" w:rsidRDefault="00290BBA" w:rsidP="00AD1DAB">
            <w:pPr>
              <w:spacing w:before="0" w:after="0"/>
              <w:jc w:val="center"/>
              <w:rPr>
                <w:sz w:val="22"/>
                <w:szCs w:val="22"/>
                <w:lang w:eastAsia="fr-FR" w:bidi="fr-FR"/>
              </w:rPr>
            </w:pPr>
          </w:p>
        </w:tc>
        <w:tc>
          <w:tcPr>
            <w:tcW w:w="1255" w:type="dxa"/>
            <w:tcBorders>
              <w:top w:val="nil"/>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b/>
                <w:bCs/>
                <w:sz w:val="22"/>
                <w:szCs w:val="22"/>
                <w:lang w:eastAsia="fr-FR" w:bidi="fr-FR"/>
              </w:rPr>
            </w:pPr>
            <w:r w:rsidRPr="00097AF5">
              <w:rPr>
                <w:b/>
                <w:sz w:val="22"/>
                <w:lang w:eastAsia="fr-FR" w:bidi="fr-FR"/>
              </w:rPr>
              <w:t>2016</w:t>
            </w:r>
          </w:p>
        </w:tc>
        <w:tc>
          <w:tcPr>
            <w:tcW w:w="1194" w:type="dxa"/>
            <w:vMerge/>
            <w:tcBorders>
              <w:left w:val="nil"/>
              <w:bottom w:val="single" w:sz="8" w:space="0" w:color="auto"/>
              <w:right w:val="single" w:sz="8" w:space="0" w:color="auto"/>
            </w:tcBorders>
            <w:shd w:val="clear" w:color="auto" w:fill="auto"/>
            <w:noWrap/>
          </w:tcPr>
          <w:p w:rsidR="00290BBA" w:rsidRPr="00097AF5" w:rsidRDefault="00290BBA" w:rsidP="00AD1DAB">
            <w:pPr>
              <w:spacing w:before="0" w:after="0"/>
              <w:rPr>
                <w:sz w:val="22"/>
                <w:szCs w:val="22"/>
                <w:lang w:eastAsia="fr-FR" w:bidi="fr-FR"/>
              </w:rPr>
            </w:pPr>
          </w:p>
        </w:tc>
      </w:tr>
      <w:tr w:rsidR="00290BBA" w:rsidRPr="00097AF5" w:rsidTr="00AD1DAB">
        <w:trPr>
          <w:trHeight w:val="25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290BBA" w:rsidRPr="00097AF5" w:rsidRDefault="00290BBA" w:rsidP="00AD1DAB">
            <w:pPr>
              <w:spacing w:before="0" w:after="0"/>
              <w:rPr>
                <w:sz w:val="22"/>
                <w:szCs w:val="22"/>
                <w:lang w:eastAsia="fr-FR" w:bidi="fr-FR"/>
              </w:rPr>
            </w:pPr>
            <w:r w:rsidRPr="00097AF5">
              <w:rPr>
                <w:sz w:val="22"/>
                <w:lang w:eastAsia="fr-FR" w:bidi="fr-FR"/>
              </w:rPr>
              <w:t> </w:t>
            </w:r>
          </w:p>
        </w:tc>
        <w:tc>
          <w:tcPr>
            <w:tcW w:w="2520" w:type="dxa"/>
            <w:tcBorders>
              <w:top w:val="nil"/>
              <w:left w:val="nil"/>
              <w:bottom w:val="single" w:sz="8" w:space="0" w:color="auto"/>
              <w:right w:val="single" w:sz="8" w:space="0" w:color="auto"/>
            </w:tcBorders>
            <w:shd w:val="clear" w:color="auto" w:fill="auto"/>
            <w:noWrap/>
            <w:vAlign w:val="bottom"/>
          </w:tcPr>
          <w:p w:rsidR="00290BBA" w:rsidRPr="00097AF5" w:rsidRDefault="00290BBA" w:rsidP="00AD1DAB">
            <w:pPr>
              <w:spacing w:before="0" w:after="0"/>
              <w:rPr>
                <w:sz w:val="22"/>
                <w:szCs w:val="22"/>
                <w:lang w:eastAsia="fr-FR" w:bidi="fr-FR"/>
              </w:rPr>
            </w:pPr>
            <w:r w:rsidRPr="00097AF5">
              <w:rPr>
                <w:sz w:val="22"/>
                <w:lang w:eastAsia="fr-FR" w:bidi="fr-FR"/>
              </w:rPr>
              <w:t> </w:t>
            </w:r>
          </w:p>
        </w:tc>
        <w:tc>
          <w:tcPr>
            <w:tcW w:w="1080" w:type="dxa"/>
            <w:tcBorders>
              <w:top w:val="nil"/>
              <w:left w:val="nil"/>
              <w:bottom w:val="single" w:sz="8" w:space="0" w:color="auto"/>
              <w:right w:val="single" w:sz="8" w:space="0" w:color="auto"/>
            </w:tcBorders>
            <w:shd w:val="clear" w:color="auto" w:fill="auto"/>
            <w:noWrap/>
            <w:vAlign w:val="bottom"/>
          </w:tcPr>
          <w:p w:rsidR="00290BBA" w:rsidRPr="00097AF5" w:rsidRDefault="00290BBA" w:rsidP="00AD1DAB">
            <w:pPr>
              <w:spacing w:before="0" w:after="0"/>
              <w:jc w:val="center"/>
              <w:rPr>
                <w:sz w:val="22"/>
                <w:szCs w:val="22"/>
                <w:lang w:eastAsia="fr-FR" w:bidi="fr-FR"/>
              </w:rPr>
            </w:pPr>
            <w:r w:rsidRPr="00097AF5">
              <w:rPr>
                <w:sz w:val="22"/>
                <w:lang w:eastAsia="fr-FR" w:bidi="fr-FR"/>
              </w:rPr>
              <w:t>en tonnes</w:t>
            </w:r>
          </w:p>
        </w:tc>
        <w:tc>
          <w:tcPr>
            <w:tcW w:w="1080" w:type="dxa"/>
            <w:tcBorders>
              <w:top w:val="nil"/>
              <w:left w:val="nil"/>
              <w:bottom w:val="single" w:sz="8" w:space="0" w:color="auto"/>
              <w:right w:val="single" w:sz="8" w:space="0" w:color="auto"/>
            </w:tcBorders>
            <w:shd w:val="clear" w:color="auto" w:fill="auto"/>
            <w:noWrap/>
            <w:vAlign w:val="bottom"/>
          </w:tcPr>
          <w:p w:rsidR="00290BBA" w:rsidRPr="00097AF5" w:rsidRDefault="00290BBA" w:rsidP="00AD1DAB">
            <w:pPr>
              <w:spacing w:before="0" w:after="0"/>
              <w:jc w:val="center"/>
              <w:rPr>
                <w:sz w:val="22"/>
                <w:szCs w:val="22"/>
                <w:lang w:eastAsia="fr-FR" w:bidi="fr-FR"/>
              </w:rPr>
            </w:pPr>
            <w:r w:rsidRPr="00097AF5">
              <w:rPr>
                <w:sz w:val="22"/>
                <w:lang w:eastAsia="fr-FR" w:bidi="fr-FR"/>
              </w:rPr>
              <w:t>en tonnes</w:t>
            </w:r>
          </w:p>
        </w:tc>
        <w:tc>
          <w:tcPr>
            <w:tcW w:w="1622" w:type="dxa"/>
            <w:tcBorders>
              <w:top w:val="nil"/>
              <w:left w:val="nil"/>
              <w:bottom w:val="single" w:sz="8" w:space="0" w:color="auto"/>
              <w:right w:val="single" w:sz="8" w:space="0" w:color="auto"/>
            </w:tcBorders>
            <w:shd w:val="clear" w:color="auto" w:fill="auto"/>
            <w:noWrap/>
            <w:vAlign w:val="bottom"/>
          </w:tcPr>
          <w:p w:rsidR="00290BBA" w:rsidRPr="00097AF5" w:rsidRDefault="00290BBA" w:rsidP="00AD1DAB">
            <w:pPr>
              <w:spacing w:before="0" w:after="0"/>
              <w:jc w:val="center"/>
              <w:rPr>
                <w:sz w:val="22"/>
                <w:szCs w:val="22"/>
                <w:lang w:eastAsia="fr-FR" w:bidi="fr-FR"/>
              </w:rPr>
            </w:pPr>
            <w:r w:rsidRPr="00097AF5">
              <w:rPr>
                <w:sz w:val="22"/>
                <w:lang w:eastAsia="fr-FR" w:bidi="fr-FR"/>
              </w:rPr>
              <w:t>en %</w:t>
            </w:r>
          </w:p>
        </w:tc>
        <w:tc>
          <w:tcPr>
            <w:tcW w:w="1255" w:type="dxa"/>
            <w:tcBorders>
              <w:top w:val="nil"/>
              <w:left w:val="nil"/>
              <w:bottom w:val="single" w:sz="8" w:space="0" w:color="auto"/>
              <w:right w:val="single" w:sz="8" w:space="0" w:color="auto"/>
            </w:tcBorders>
            <w:shd w:val="clear" w:color="auto" w:fill="auto"/>
            <w:noWrap/>
            <w:vAlign w:val="bottom"/>
          </w:tcPr>
          <w:p w:rsidR="00290BBA" w:rsidRPr="00097AF5" w:rsidRDefault="00290BBA" w:rsidP="00AD1DAB">
            <w:pPr>
              <w:spacing w:before="0" w:after="0"/>
              <w:jc w:val="center"/>
              <w:rPr>
                <w:b/>
                <w:bCs/>
                <w:sz w:val="22"/>
                <w:szCs w:val="22"/>
                <w:lang w:eastAsia="fr-FR" w:bidi="fr-FR"/>
              </w:rPr>
            </w:pPr>
            <w:r w:rsidRPr="00097AF5">
              <w:rPr>
                <w:b/>
                <w:sz w:val="22"/>
                <w:lang w:eastAsia="fr-FR" w:bidi="fr-FR"/>
              </w:rPr>
              <w:t>en tonnes</w:t>
            </w:r>
          </w:p>
        </w:tc>
        <w:tc>
          <w:tcPr>
            <w:tcW w:w="1194" w:type="dxa"/>
            <w:tcBorders>
              <w:top w:val="nil"/>
              <w:left w:val="nil"/>
              <w:bottom w:val="single" w:sz="8" w:space="0" w:color="auto"/>
              <w:right w:val="single" w:sz="8" w:space="0" w:color="auto"/>
            </w:tcBorders>
            <w:shd w:val="clear" w:color="auto" w:fill="auto"/>
            <w:noWrap/>
            <w:vAlign w:val="bottom"/>
          </w:tcPr>
          <w:p w:rsidR="00290BBA" w:rsidRPr="00097AF5" w:rsidRDefault="00290BBA" w:rsidP="00AD1DAB">
            <w:pPr>
              <w:spacing w:before="0" w:after="0"/>
              <w:jc w:val="center"/>
              <w:rPr>
                <w:b/>
                <w:bCs/>
                <w:sz w:val="22"/>
                <w:szCs w:val="22"/>
                <w:lang w:eastAsia="fr-FR" w:bidi="fr-FR"/>
              </w:rPr>
            </w:pPr>
            <w:r w:rsidRPr="00097AF5">
              <w:rPr>
                <w:b/>
                <w:sz w:val="22"/>
                <w:lang w:eastAsia="fr-FR" w:bidi="fr-FR"/>
              </w:rPr>
              <w:t>en %</w:t>
            </w:r>
          </w:p>
        </w:tc>
      </w:tr>
      <w:tr w:rsidR="00290BBA" w:rsidRPr="00097AF5" w:rsidTr="00AD1DAB">
        <w:trPr>
          <w:trHeight w:val="25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290BBA" w:rsidRPr="00097AF5" w:rsidRDefault="00290BBA" w:rsidP="00AD1DAB">
            <w:pPr>
              <w:spacing w:before="0" w:after="0"/>
              <w:rPr>
                <w:sz w:val="22"/>
                <w:szCs w:val="22"/>
                <w:lang w:eastAsia="fr-FR" w:bidi="fr-FR"/>
              </w:rPr>
            </w:pPr>
            <w:r w:rsidRPr="00097AF5">
              <w:rPr>
                <w:sz w:val="22"/>
                <w:lang w:eastAsia="fr-FR" w:bidi="fr-FR"/>
              </w:rPr>
              <w:t> </w:t>
            </w:r>
          </w:p>
        </w:tc>
        <w:tc>
          <w:tcPr>
            <w:tcW w:w="2520" w:type="dxa"/>
            <w:tcBorders>
              <w:top w:val="nil"/>
              <w:left w:val="nil"/>
              <w:bottom w:val="single" w:sz="8" w:space="0" w:color="auto"/>
              <w:right w:val="single" w:sz="8" w:space="0" w:color="auto"/>
            </w:tcBorders>
            <w:shd w:val="clear" w:color="auto" w:fill="auto"/>
            <w:noWrap/>
            <w:vAlign w:val="bottom"/>
          </w:tcPr>
          <w:p w:rsidR="00290BBA" w:rsidRPr="00097AF5" w:rsidRDefault="00290BBA" w:rsidP="00AD1DAB">
            <w:pPr>
              <w:spacing w:before="0" w:after="0"/>
              <w:rPr>
                <w:sz w:val="22"/>
                <w:szCs w:val="22"/>
                <w:lang w:eastAsia="fr-FR" w:bidi="fr-FR"/>
              </w:rPr>
            </w:pPr>
            <w:r w:rsidRPr="00097AF5">
              <w:rPr>
                <w:sz w:val="22"/>
                <w:lang w:eastAsia="fr-FR" w:bidi="fr-FR"/>
              </w:rPr>
              <w:t> </w:t>
            </w:r>
          </w:p>
        </w:tc>
        <w:tc>
          <w:tcPr>
            <w:tcW w:w="1080" w:type="dxa"/>
            <w:tcBorders>
              <w:top w:val="nil"/>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b/>
                <w:bCs/>
                <w:sz w:val="22"/>
                <w:szCs w:val="22"/>
                <w:lang w:eastAsia="fr-FR" w:bidi="fr-FR"/>
              </w:rPr>
            </w:pPr>
            <w:r w:rsidRPr="00097AF5">
              <w:rPr>
                <w:b/>
                <w:sz w:val="22"/>
                <w:lang w:eastAsia="fr-FR" w:bidi="fr-FR"/>
              </w:rPr>
              <w:t>1</w:t>
            </w:r>
          </w:p>
        </w:tc>
        <w:tc>
          <w:tcPr>
            <w:tcW w:w="1080" w:type="dxa"/>
            <w:tcBorders>
              <w:top w:val="nil"/>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b/>
                <w:bCs/>
                <w:sz w:val="22"/>
                <w:szCs w:val="22"/>
                <w:lang w:eastAsia="fr-FR" w:bidi="fr-FR"/>
              </w:rPr>
            </w:pPr>
            <w:r w:rsidRPr="00097AF5">
              <w:rPr>
                <w:b/>
                <w:sz w:val="22"/>
                <w:lang w:eastAsia="fr-FR" w:bidi="fr-FR"/>
              </w:rPr>
              <w:t>2</w:t>
            </w:r>
          </w:p>
        </w:tc>
        <w:tc>
          <w:tcPr>
            <w:tcW w:w="1622" w:type="dxa"/>
            <w:tcBorders>
              <w:top w:val="nil"/>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b/>
                <w:bCs/>
                <w:sz w:val="22"/>
                <w:szCs w:val="22"/>
                <w:lang w:eastAsia="fr-FR" w:bidi="fr-FR"/>
              </w:rPr>
            </w:pPr>
            <w:r w:rsidRPr="00097AF5">
              <w:rPr>
                <w:b/>
                <w:sz w:val="22"/>
                <w:lang w:eastAsia="fr-FR" w:bidi="fr-FR"/>
              </w:rPr>
              <w:t>3</w:t>
            </w:r>
          </w:p>
        </w:tc>
        <w:tc>
          <w:tcPr>
            <w:tcW w:w="1255" w:type="dxa"/>
            <w:tcBorders>
              <w:top w:val="nil"/>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b/>
                <w:bCs/>
                <w:sz w:val="22"/>
                <w:szCs w:val="22"/>
                <w:lang w:eastAsia="fr-FR" w:bidi="fr-FR"/>
              </w:rPr>
            </w:pPr>
            <w:r w:rsidRPr="00097AF5">
              <w:rPr>
                <w:b/>
                <w:sz w:val="22"/>
                <w:lang w:eastAsia="fr-FR" w:bidi="fr-FR"/>
              </w:rPr>
              <w:t>4</w:t>
            </w:r>
          </w:p>
        </w:tc>
        <w:tc>
          <w:tcPr>
            <w:tcW w:w="1194" w:type="dxa"/>
            <w:tcBorders>
              <w:top w:val="nil"/>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b/>
                <w:bCs/>
                <w:sz w:val="22"/>
                <w:szCs w:val="22"/>
                <w:lang w:eastAsia="fr-FR" w:bidi="fr-FR"/>
              </w:rPr>
            </w:pPr>
            <w:r w:rsidRPr="00097AF5">
              <w:rPr>
                <w:b/>
                <w:sz w:val="22"/>
                <w:lang w:eastAsia="fr-FR" w:bidi="fr-FR"/>
              </w:rPr>
              <w:t>5</w:t>
            </w:r>
            <w:r w:rsidRPr="00097AF5">
              <w:rPr>
                <w:sz w:val="22"/>
                <w:vertAlign w:val="superscript"/>
                <w:lang w:eastAsia="fr-FR" w:bidi="fr-FR"/>
              </w:rPr>
              <w:footnoteReference w:customMarkFollows="1" w:id="1"/>
              <w:t>*</w:t>
            </w:r>
          </w:p>
        </w:tc>
      </w:tr>
      <w:tr w:rsidR="00290BBA" w:rsidRPr="00097AF5" w:rsidTr="00AD1DAB">
        <w:trPr>
          <w:trHeight w:val="25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290BBA" w:rsidRPr="00097AF5" w:rsidRDefault="00290BBA" w:rsidP="00AD1DAB">
            <w:pPr>
              <w:spacing w:before="0" w:after="0"/>
              <w:rPr>
                <w:i/>
                <w:iCs/>
                <w:sz w:val="22"/>
                <w:szCs w:val="22"/>
                <w:lang w:eastAsia="fr-FR" w:bidi="fr-FR"/>
              </w:rPr>
            </w:pPr>
            <w:r w:rsidRPr="00097AF5">
              <w:rPr>
                <w:i/>
                <w:sz w:val="22"/>
                <w:lang w:eastAsia="fr-FR" w:bidi="fr-FR"/>
              </w:rPr>
              <w:t>Clupea harengus</w:t>
            </w:r>
          </w:p>
        </w:tc>
        <w:tc>
          <w:tcPr>
            <w:tcW w:w="2520" w:type="dxa"/>
            <w:tcBorders>
              <w:top w:val="nil"/>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rPr>
                <w:rFonts w:asciiTheme="majorBidi" w:hAnsiTheme="majorBidi" w:cstheme="majorBidi"/>
                <w:sz w:val="22"/>
                <w:szCs w:val="22"/>
                <w:lang w:eastAsia="fr-FR" w:bidi="fr-FR"/>
              </w:rPr>
            </w:pPr>
            <w:r w:rsidRPr="00097AF5">
              <w:rPr>
                <w:rFonts w:asciiTheme="majorBidi" w:hAnsiTheme="majorBidi" w:cstheme="majorBidi"/>
                <w:sz w:val="22"/>
                <w:lang w:eastAsia="fr-FR" w:bidi="fr-FR"/>
              </w:rPr>
              <w:t>Mer Baltique sous</w:t>
            </w:r>
            <w:r w:rsidRPr="00097AF5">
              <w:rPr>
                <w:lang w:eastAsia="fr-FR" w:bidi="fr-FR"/>
              </w:rPr>
              <w:noBreakHyphen/>
            </w:r>
            <w:r w:rsidRPr="00097AF5">
              <w:rPr>
                <w:rFonts w:asciiTheme="majorBidi" w:hAnsiTheme="majorBidi" w:cstheme="majorBidi"/>
                <w:sz w:val="22"/>
                <w:lang w:eastAsia="fr-FR" w:bidi="fr-FR"/>
              </w:rPr>
              <w:t>divisions 30-31 (Golfe de Botnie)</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158 470</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103 254</w:t>
            </w:r>
          </w:p>
        </w:tc>
        <w:tc>
          <w:tcPr>
            <w:tcW w:w="1622"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- 35 %</w:t>
            </w:r>
          </w:p>
        </w:tc>
        <w:tc>
          <w:tcPr>
            <w:tcW w:w="1255"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120 872</w:t>
            </w:r>
          </w:p>
        </w:tc>
        <w:tc>
          <w:tcPr>
            <w:tcW w:w="1194"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b/>
                <w:bCs/>
                <w:sz w:val="22"/>
                <w:szCs w:val="22"/>
                <w:lang w:eastAsia="fr-FR" w:bidi="fr-FR"/>
              </w:rPr>
            </w:pPr>
            <w:r w:rsidRPr="00097AF5">
              <w:rPr>
                <w:rFonts w:asciiTheme="majorBidi" w:hAnsiTheme="majorBidi" w:cstheme="majorBidi"/>
                <w:b/>
                <w:sz w:val="22"/>
                <w:lang w:eastAsia="fr-FR" w:bidi="fr-FR"/>
              </w:rPr>
              <w:t>- 24 %</w:t>
            </w:r>
          </w:p>
        </w:tc>
      </w:tr>
      <w:tr w:rsidR="00290BBA" w:rsidRPr="00097AF5" w:rsidTr="00AD1DAB">
        <w:trPr>
          <w:trHeight w:val="25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290BBA" w:rsidRPr="00097AF5" w:rsidRDefault="00290BBA" w:rsidP="00AD1DAB">
            <w:pPr>
              <w:spacing w:before="0" w:after="0"/>
              <w:rPr>
                <w:i/>
                <w:iCs/>
                <w:sz w:val="22"/>
                <w:szCs w:val="22"/>
                <w:lang w:eastAsia="fr-FR" w:bidi="fr-FR"/>
              </w:rPr>
            </w:pPr>
            <w:r w:rsidRPr="00097AF5">
              <w:rPr>
                <w:i/>
                <w:sz w:val="22"/>
                <w:lang w:eastAsia="fr-FR" w:bidi="fr-FR"/>
              </w:rPr>
              <w:t>Clupea harengus</w:t>
            </w:r>
          </w:p>
        </w:tc>
        <w:tc>
          <w:tcPr>
            <w:tcW w:w="2520" w:type="dxa"/>
            <w:tcBorders>
              <w:top w:val="nil"/>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rPr>
                <w:rFonts w:asciiTheme="majorBidi" w:hAnsiTheme="majorBidi" w:cstheme="majorBidi"/>
                <w:sz w:val="22"/>
                <w:szCs w:val="22"/>
                <w:lang w:eastAsia="fr-FR" w:bidi="fr-FR"/>
              </w:rPr>
            </w:pPr>
            <w:r w:rsidRPr="00097AF5">
              <w:rPr>
                <w:rFonts w:asciiTheme="majorBidi" w:hAnsiTheme="majorBidi" w:cstheme="majorBidi"/>
                <w:sz w:val="22"/>
                <w:lang w:eastAsia="fr-FR" w:bidi="fr-FR"/>
              </w:rPr>
              <w:t>Mer Baltique sous</w:t>
            </w:r>
            <w:r w:rsidRPr="00097AF5">
              <w:rPr>
                <w:lang w:eastAsia="fr-FR" w:bidi="fr-FR"/>
              </w:rPr>
              <w:noBreakHyphen/>
            </w:r>
            <w:r w:rsidRPr="00097AF5">
              <w:rPr>
                <w:rFonts w:asciiTheme="majorBidi" w:hAnsiTheme="majorBidi" w:cstheme="majorBidi"/>
                <w:sz w:val="22"/>
                <w:lang w:eastAsia="fr-FR" w:bidi="fr-FR"/>
              </w:rPr>
              <w:t>divisions 22-24</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22 220</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24 797</w:t>
            </w:r>
          </w:p>
        </w:tc>
        <w:tc>
          <w:tcPr>
            <w:tcW w:w="1622"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12 %</w:t>
            </w:r>
          </w:p>
        </w:tc>
        <w:tc>
          <w:tcPr>
            <w:tcW w:w="1255"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26 274</w:t>
            </w:r>
          </w:p>
        </w:tc>
        <w:tc>
          <w:tcPr>
            <w:tcW w:w="1194"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b/>
                <w:bCs/>
                <w:sz w:val="22"/>
                <w:szCs w:val="22"/>
                <w:lang w:eastAsia="fr-FR" w:bidi="fr-FR"/>
              </w:rPr>
            </w:pPr>
            <w:r w:rsidRPr="00097AF5">
              <w:rPr>
                <w:rFonts w:asciiTheme="majorBidi" w:hAnsiTheme="majorBidi" w:cstheme="majorBidi"/>
                <w:b/>
                <w:sz w:val="22"/>
                <w:lang w:eastAsia="fr-FR" w:bidi="fr-FR"/>
              </w:rPr>
              <w:t>18 %</w:t>
            </w:r>
          </w:p>
        </w:tc>
      </w:tr>
      <w:tr w:rsidR="00290BBA" w:rsidRPr="00097AF5" w:rsidTr="00AD1DAB">
        <w:trPr>
          <w:trHeight w:val="25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290BBA" w:rsidRPr="00097AF5" w:rsidRDefault="00290BBA" w:rsidP="00AD1DAB">
            <w:pPr>
              <w:spacing w:before="0" w:after="0"/>
              <w:rPr>
                <w:i/>
                <w:iCs/>
                <w:sz w:val="22"/>
                <w:szCs w:val="22"/>
                <w:lang w:eastAsia="fr-FR" w:bidi="fr-FR"/>
              </w:rPr>
            </w:pPr>
            <w:r w:rsidRPr="00097AF5">
              <w:rPr>
                <w:i/>
                <w:sz w:val="22"/>
                <w:lang w:eastAsia="fr-FR" w:bidi="fr-FR"/>
              </w:rPr>
              <w:t>Clupea harengus</w:t>
            </w:r>
          </w:p>
        </w:tc>
        <w:tc>
          <w:tcPr>
            <w:tcW w:w="2520" w:type="dxa"/>
            <w:tcBorders>
              <w:top w:val="nil"/>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rPr>
                <w:rFonts w:asciiTheme="majorBidi" w:hAnsiTheme="majorBidi" w:cstheme="majorBidi"/>
                <w:sz w:val="22"/>
                <w:szCs w:val="22"/>
                <w:lang w:eastAsia="fr-FR" w:bidi="fr-FR"/>
              </w:rPr>
            </w:pPr>
            <w:r w:rsidRPr="00097AF5">
              <w:rPr>
                <w:rFonts w:asciiTheme="majorBidi" w:hAnsiTheme="majorBidi" w:cstheme="majorBidi"/>
                <w:sz w:val="22"/>
                <w:lang w:eastAsia="fr-FR" w:bidi="fr-FR"/>
              </w:rPr>
              <w:t>Mer Baltique sous</w:t>
            </w:r>
            <w:r w:rsidRPr="00097AF5">
              <w:rPr>
                <w:lang w:eastAsia="fr-FR" w:bidi="fr-FR"/>
              </w:rPr>
              <w:noBreakHyphen/>
            </w:r>
            <w:r w:rsidRPr="00097AF5">
              <w:rPr>
                <w:rFonts w:asciiTheme="majorBidi" w:hAnsiTheme="majorBidi" w:cstheme="majorBidi"/>
                <w:sz w:val="22"/>
                <w:lang w:eastAsia="fr-FR" w:bidi="fr-FR"/>
              </w:rPr>
              <w:t>divisions 25-27, 28.2, 29, 32</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163 461</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177 505</w:t>
            </w:r>
          </w:p>
        </w:tc>
        <w:tc>
          <w:tcPr>
            <w:tcW w:w="1622"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9 %</w:t>
            </w:r>
          </w:p>
        </w:tc>
        <w:tc>
          <w:tcPr>
            <w:tcW w:w="1255"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177 505</w:t>
            </w:r>
          </w:p>
        </w:tc>
        <w:tc>
          <w:tcPr>
            <w:tcW w:w="1194"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b/>
                <w:bCs/>
                <w:sz w:val="22"/>
                <w:szCs w:val="22"/>
                <w:lang w:eastAsia="fr-FR" w:bidi="fr-FR"/>
              </w:rPr>
            </w:pPr>
            <w:r w:rsidRPr="00097AF5">
              <w:rPr>
                <w:rFonts w:asciiTheme="majorBidi" w:hAnsiTheme="majorBidi" w:cstheme="majorBidi"/>
                <w:b/>
                <w:sz w:val="22"/>
                <w:lang w:eastAsia="fr-FR" w:bidi="fr-FR"/>
              </w:rPr>
              <w:t>9 %</w:t>
            </w:r>
          </w:p>
        </w:tc>
      </w:tr>
      <w:tr w:rsidR="00290BBA" w:rsidRPr="00097AF5" w:rsidTr="00AD1DAB">
        <w:trPr>
          <w:trHeight w:val="25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290BBA" w:rsidRPr="00097AF5" w:rsidRDefault="00290BBA" w:rsidP="00AD1DAB">
            <w:pPr>
              <w:spacing w:before="0" w:after="0"/>
              <w:rPr>
                <w:i/>
                <w:iCs/>
                <w:sz w:val="22"/>
                <w:szCs w:val="22"/>
                <w:lang w:eastAsia="fr-FR" w:bidi="fr-FR"/>
              </w:rPr>
            </w:pPr>
            <w:r w:rsidRPr="00097AF5">
              <w:rPr>
                <w:i/>
                <w:sz w:val="22"/>
                <w:lang w:eastAsia="fr-FR" w:bidi="fr-FR"/>
              </w:rPr>
              <w:t>Clupea harengus</w:t>
            </w:r>
          </w:p>
        </w:tc>
        <w:tc>
          <w:tcPr>
            <w:tcW w:w="2520" w:type="dxa"/>
            <w:tcBorders>
              <w:top w:val="nil"/>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rPr>
                <w:rFonts w:asciiTheme="majorBidi" w:hAnsiTheme="majorBidi" w:cstheme="majorBidi"/>
                <w:sz w:val="22"/>
                <w:szCs w:val="22"/>
                <w:lang w:eastAsia="fr-FR" w:bidi="fr-FR"/>
              </w:rPr>
            </w:pPr>
            <w:r w:rsidRPr="00097AF5">
              <w:rPr>
                <w:rFonts w:asciiTheme="majorBidi" w:hAnsiTheme="majorBidi" w:cstheme="majorBidi"/>
                <w:sz w:val="22"/>
                <w:lang w:eastAsia="fr-FR" w:bidi="fr-FR"/>
              </w:rPr>
              <w:t>Mer Baltique sous-division 28-1 (Golfe de Riga)</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38 780</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30 623</w:t>
            </w:r>
          </w:p>
        </w:tc>
        <w:tc>
          <w:tcPr>
            <w:tcW w:w="1622"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- 21 %</w:t>
            </w:r>
          </w:p>
        </w:tc>
        <w:tc>
          <w:tcPr>
            <w:tcW w:w="1255"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34 915</w:t>
            </w:r>
          </w:p>
        </w:tc>
        <w:tc>
          <w:tcPr>
            <w:tcW w:w="1194"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b/>
                <w:bCs/>
                <w:sz w:val="22"/>
                <w:szCs w:val="22"/>
                <w:lang w:eastAsia="fr-FR" w:bidi="fr-FR"/>
              </w:rPr>
            </w:pPr>
            <w:r w:rsidRPr="00097AF5">
              <w:rPr>
                <w:rFonts w:asciiTheme="majorBidi" w:hAnsiTheme="majorBidi" w:cstheme="majorBidi"/>
                <w:b/>
                <w:sz w:val="22"/>
                <w:lang w:eastAsia="fr-FR" w:bidi="fr-FR"/>
              </w:rPr>
              <w:t>- 10 %</w:t>
            </w:r>
          </w:p>
        </w:tc>
      </w:tr>
      <w:tr w:rsidR="00290BBA" w:rsidRPr="00097AF5" w:rsidTr="00AD1DAB">
        <w:trPr>
          <w:trHeight w:val="25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290BBA" w:rsidRPr="00097AF5" w:rsidRDefault="00290BBA" w:rsidP="00AD1DAB">
            <w:pPr>
              <w:spacing w:before="0" w:after="0"/>
              <w:rPr>
                <w:i/>
                <w:iCs/>
                <w:sz w:val="22"/>
                <w:szCs w:val="22"/>
                <w:lang w:eastAsia="fr-FR" w:bidi="fr-FR"/>
              </w:rPr>
            </w:pPr>
            <w:r w:rsidRPr="00097AF5">
              <w:rPr>
                <w:i/>
                <w:sz w:val="22"/>
                <w:lang w:eastAsia="fr-FR" w:bidi="fr-FR"/>
              </w:rPr>
              <w:t>Gadus morhua</w:t>
            </w:r>
          </w:p>
        </w:tc>
        <w:tc>
          <w:tcPr>
            <w:tcW w:w="2520" w:type="dxa"/>
            <w:tcBorders>
              <w:top w:val="nil"/>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rPr>
                <w:rFonts w:asciiTheme="majorBidi" w:hAnsiTheme="majorBidi" w:cstheme="majorBidi"/>
                <w:sz w:val="22"/>
                <w:szCs w:val="22"/>
                <w:lang w:eastAsia="fr-FR" w:bidi="fr-FR"/>
              </w:rPr>
            </w:pPr>
            <w:r w:rsidRPr="00097AF5">
              <w:rPr>
                <w:rFonts w:asciiTheme="majorBidi" w:hAnsiTheme="majorBidi" w:cstheme="majorBidi"/>
                <w:sz w:val="22"/>
                <w:lang w:eastAsia="fr-FR" w:bidi="fr-FR"/>
              </w:rPr>
              <w:t>Mer Baltique sous</w:t>
            </w:r>
            <w:r w:rsidRPr="00097AF5">
              <w:rPr>
                <w:lang w:eastAsia="fr-FR" w:bidi="fr-FR"/>
              </w:rPr>
              <w:noBreakHyphen/>
            </w:r>
            <w:r w:rsidRPr="00097AF5">
              <w:rPr>
                <w:rFonts w:asciiTheme="majorBidi" w:hAnsiTheme="majorBidi" w:cstheme="majorBidi"/>
                <w:sz w:val="22"/>
                <w:lang w:eastAsia="fr-FR" w:bidi="fr-FR"/>
              </w:rPr>
              <w:t>divisions 25-32 (Orientale)</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51 429</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41 143</w:t>
            </w:r>
          </w:p>
        </w:tc>
        <w:tc>
          <w:tcPr>
            <w:tcW w:w="1622"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- 20 %</w:t>
            </w:r>
          </w:p>
        </w:tc>
        <w:tc>
          <w:tcPr>
            <w:tcW w:w="1255"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41 143</w:t>
            </w:r>
          </w:p>
        </w:tc>
        <w:tc>
          <w:tcPr>
            <w:tcW w:w="1194"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b/>
                <w:bCs/>
                <w:sz w:val="22"/>
                <w:szCs w:val="22"/>
                <w:lang w:eastAsia="fr-FR" w:bidi="fr-FR"/>
              </w:rPr>
            </w:pPr>
            <w:r w:rsidRPr="00097AF5">
              <w:rPr>
                <w:rFonts w:asciiTheme="majorBidi" w:hAnsiTheme="majorBidi" w:cstheme="majorBidi"/>
                <w:b/>
                <w:sz w:val="22"/>
                <w:lang w:eastAsia="fr-FR" w:bidi="fr-FR"/>
              </w:rPr>
              <w:t>- 20 %</w:t>
            </w:r>
          </w:p>
        </w:tc>
      </w:tr>
      <w:tr w:rsidR="00290BBA" w:rsidRPr="00097AF5" w:rsidTr="00AD1DAB">
        <w:trPr>
          <w:trHeight w:val="25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290BBA" w:rsidRPr="00097AF5" w:rsidRDefault="00290BBA" w:rsidP="00AD1DAB">
            <w:pPr>
              <w:spacing w:before="0" w:after="0"/>
              <w:rPr>
                <w:i/>
                <w:iCs/>
                <w:sz w:val="22"/>
                <w:szCs w:val="22"/>
                <w:lang w:eastAsia="fr-FR" w:bidi="fr-FR"/>
              </w:rPr>
            </w:pPr>
            <w:r w:rsidRPr="00097AF5">
              <w:rPr>
                <w:i/>
                <w:sz w:val="22"/>
                <w:lang w:eastAsia="fr-FR" w:bidi="fr-FR"/>
              </w:rPr>
              <w:t>Gadus morhua</w:t>
            </w:r>
          </w:p>
        </w:tc>
        <w:tc>
          <w:tcPr>
            <w:tcW w:w="2520" w:type="dxa"/>
            <w:tcBorders>
              <w:top w:val="nil"/>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rPr>
                <w:rFonts w:asciiTheme="majorBidi" w:hAnsiTheme="majorBidi" w:cstheme="majorBidi"/>
                <w:sz w:val="22"/>
                <w:szCs w:val="22"/>
                <w:lang w:eastAsia="fr-FR" w:bidi="fr-FR"/>
              </w:rPr>
            </w:pPr>
            <w:r w:rsidRPr="00097AF5">
              <w:rPr>
                <w:rFonts w:asciiTheme="majorBidi" w:hAnsiTheme="majorBidi" w:cstheme="majorBidi"/>
                <w:sz w:val="22"/>
                <w:lang w:eastAsia="fr-FR" w:bidi="fr-FR"/>
              </w:rPr>
              <w:t>Mer Baltique sous</w:t>
            </w:r>
            <w:r w:rsidRPr="00097AF5">
              <w:rPr>
                <w:lang w:eastAsia="fr-FR" w:bidi="fr-FR"/>
              </w:rPr>
              <w:noBreakHyphen/>
            </w:r>
            <w:r w:rsidRPr="00097AF5">
              <w:rPr>
                <w:rFonts w:asciiTheme="majorBidi" w:hAnsiTheme="majorBidi" w:cstheme="majorBidi"/>
                <w:sz w:val="22"/>
                <w:lang w:eastAsia="fr-FR" w:bidi="fr-FR"/>
              </w:rPr>
              <w:t>divisions 22-24 (Occidentale)</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15 900</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10 363</w:t>
            </w:r>
          </w:p>
        </w:tc>
        <w:tc>
          <w:tcPr>
            <w:tcW w:w="1622"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- 35 %</w:t>
            </w:r>
          </w:p>
        </w:tc>
        <w:tc>
          <w:tcPr>
            <w:tcW w:w="1255"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12 720</w:t>
            </w:r>
          </w:p>
        </w:tc>
        <w:tc>
          <w:tcPr>
            <w:tcW w:w="1194"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b/>
                <w:bCs/>
                <w:sz w:val="22"/>
                <w:szCs w:val="22"/>
                <w:lang w:eastAsia="fr-FR" w:bidi="fr-FR"/>
              </w:rPr>
            </w:pPr>
            <w:r w:rsidRPr="00097AF5">
              <w:rPr>
                <w:rFonts w:asciiTheme="majorBidi" w:hAnsiTheme="majorBidi" w:cstheme="majorBidi"/>
                <w:b/>
                <w:sz w:val="22"/>
                <w:lang w:eastAsia="fr-FR" w:bidi="fr-FR"/>
              </w:rPr>
              <w:t>- 20 %</w:t>
            </w:r>
          </w:p>
        </w:tc>
      </w:tr>
      <w:tr w:rsidR="00290BBA" w:rsidRPr="00097AF5" w:rsidTr="00AD1DAB">
        <w:trPr>
          <w:trHeight w:val="25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290BBA" w:rsidRPr="00097AF5" w:rsidRDefault="00290BBA" w:rsidP="00AD1DAB">
            <w:pPr>
              <w:spacing w:before="0" w:after="0"/>
              <w:rPr>
                <w:i/>
                <w:iCs/>
                <w:sz w:val="22"/>
                <w:szCs w:val="22"/>
                <w:lang w:eastAsia="fr-FR" w:bidi="fr-FR"/>
              </w:rPr>
            </w:pPr>
            <w:r w:rsidRPr="00097AF5">
              <w:rPr>
                <w:i/>
                <w:sz w:val="22"/>
                <w:lang w:eastAsia="fr-FR" w:bidi="fr-FR"/>
              </w:rPr>
              <w:t>Pleuronectes platessa</w:t>
            </w:r>
          </w:p>
        </w:tc>
        <w:tc>
          <w:tcPr>
            <w:tcW w:w="2520" w:type="dxa"/>
            <w:tcBorders>
              <w:top w:val="nil"/>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rPr>
                <w:rFonts w:asciiTheme="majorBidi" w:hAnsiTheme="majorBidi" w:cstheme="majorBidi"/>
                <w:sz w:val="22"/>
                <w:szCs w:val="22"/>
                <w:lang w:eastAsia="fr-FR" w:bidi="fr-FR"/>
              </w:rPr>
            </w:pPr>
            <w:r w:rsidRPr="00097AF5">
              <w:rPr>
                <w:rFonts w:asciiTheme="majorBidi" w:hAnsiTheme="majorBidi" w:cstheme="majorBidi"/>
                <w:sz w:val="22"/>
                <w:lang w:eastAsia="fr-FR" w:bidi="fr-FR"/>
              </w:rPr>
              <w:t>Mer Baltique sous</w:t>
            </w:r>
            <w:r w:rsidRPr="00097AF5">
              <w:rPr>
                <w:lang w:eastAsia="fr-FR" w:bidi="fr-FR"/>
              </w:rPr>
              <w:noBreakHyphen/>
            </w:r>
            <w:r w:rsidRPr="00097AF5">
              <w:rPr>
                <w:rFonts w:asciiTheme="majorBidi" w:hAnsiTheme="majorBidi" w:cstheme="majorBidi"/>
                <w:sz w:val="22"/>
                <w:lang w:eastAsia="fr-FR" w:bidi="fr-FR"/>
              </w:rPr>
              <w:t>divisions 22-32</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3 409</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4 034</w:t>
            </w:r>
          </w:p>
        </w:tc>
        <w:tc>
          <w:tcPr>
            <w:tcW w:w="1622"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18 %</w:t>
            </w:r>
          </w:p>
        </w:tc>
        <w:tc>
          <w:tcPr>
            <w:tcW w:w="1255"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4 034</w:t>
            </w:r>
          </w:p>
        </w:tc>
        <w:tc>
          <w:tcPr>
            <w:tcW w:w="1194"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b/>
                <w:bCs/>
                <w:sz w:val="22"/>
                <w:szCs w:val="22"/>
                <w:lang w:eastAsia="fr-FR" w:bidi="fr-FR"/>
              </w:rPr>
            </w:pPr>
            <w:r w:rsidRPr="00097AF5">
              <w:rPr>
                <w:rFonts w:asciiTheme="majorBidi" w:hAnsiTheme="majorBidi" w:cstheme="majorBidi"/>
                <w:b/>
                <w:sz w:val="22"/>
                <w:lang w:eastAsia="fr-FR" w:bidi="fr-FR"/>
              </w:rPr>
              <w:t>18 %</w:t>
            </w:r>
          </w:p>
        </w:tc>
      </w:tr>
      <w:tr w:rsidR="00290BBA" w:rsidRPr="00097AF5" w:rsidTr="00AD1DAB">
        <w:trPr>
          <w:trHeight w:val="25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290BBA" w:rsidRPr="00097AF5" w:rsidRDefault="00290BBA" w:rsidP="00AD1DAB">
            <w:pPr>
              <w:spacing w:before="0" w:after="0"/>
              <w:rPr>
                <w:i/>
                <w:iCs/>
                <w:sz w:val="22"/>
                <w:szCs w:val="22"/>
                <w:lang w:eastAsia="fr-FR" w:bidi="fr-FR"/>
              </w:rPr>
            </w:pPr>
            <w:r w:rsidRPr="00097AF5">
              <w:rPr>
                <w:i/>
                <w:sz w:val="22"/>
                <w:lang w:eastAsia="fr-FR" w:bidi="fr-FR"/>
              </w:rPr>
              <w:t>Salmo</w:t>
            </w:r>
            <w:r w:rsidRPr="00097AF5">
              <w:rPr>
                <w:i/>
                <w:iCs/>
                <w:sz w:val="22"/>
                <w:szCs w:val="22"/>
                <w:lang w:eastAsia="fr-FR" w:bidi="fr-FR"/>
              </w:rPr>
              <w:br/>
            </w:r>
            <w:r w:rsidRPr="00097AF5">
              <w:rPr>
                <w:i/>
                <w:sz w:val="22"/>
                <w:lang w:eastAsia="fr-FR" w:bidi="fr-FR"/>
              </w:rPr>
              <w:t>salar</w:t>
            </w:r>
            <w:r w:rsidRPr="00097AF5">
              <w:rPr>
                <w:b/>
                <w:i/>
                <w:sz w:val="22"/>
                <w:vertAlign w:val="superscript"/>
                <w:lang w:eastAsia="fr-FR" w:bidi="fr-FR"/>
              </w:rPr>
              <w:footnoteReference w:customMarkFollows="1" w:id="2"/>
              <w:t>**</w:t>
            </w:r>
          </w:p>
        </w:tc>
        <w:tc>
          <w:tcPr>
            <w:tcW w:w="2520" w:type="dxa"/>
            <w:tcBorders>
              <w:top w:val="nil"/>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rPr>
                <w:rFonts w:asciiTheme="majorBidi" w:hAnsiTheme="majorBidi" w:cstheme="majorBidi"/>
                <w:sz w:val="22"/>
                <w:szCs w:val="22"/>
                <w:lang w:eastAsia="fr-FR" w:bidi="fr-FR"/>
              </w:rPr>
            </w:pPr>
            <w:r w:rsidRPr="00097AF5">
              <w:rPr>
                <w:rFonts w:asciiTheme="majorBidi" w:hAnsiTheme="majorBidi" w:cstheme="majorBidi"/>
                <w:sz w:val="22"/>
                <w:lang w:eastAsia="fr-FR" w:bidi="fr-FR"/>
              </w:rPr>
              <w:t>Mer Baltique sous</w:t>
            </w:r>
            <w:r w:rsidRPr="00097AF5">
              <w:rPr>
                <w:lang w:eastAsia="fr-FR" w:bidi="fr-FR"/>
              </w:rPr>
              <w:noBreakHyphen/>
            </w:r>
            <w:r w:rsidRPr="00097AF5">
              <w:rPr>
                <w:rFonts w:asciiTheme="majorBidi" w:hAnsiTheme="majorBidi" w:cstheme="majorBidi"/>
                <w:sz w:val="22"/>
                <w:lang w:eastAsia="fr-FR" w:bidi="fr-FR"/>
              </w:rPr>
              <w:t>divisions 22-31</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95 928</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105 850</w:t>
            </w:r>
          </w:p>
        </w:tc>
        <w:tc>
          <w:tcPr>
            <w:tcW w:w="1622"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10 %</w:t>
            </w:r>
          </w:p>
        </w:tc>
        <w:tc>
          <w:tcPr>
            <w:tcW w:w="1255"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95 928</w:t>
            </w:r>
          </w:p>
        </w:tc>
        <w:tc>
          <w:tcPr>
            <w:tcW w:w="1194"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b/>
                <w:bCs/>
                <w:sz w:val="22"/>
                <w:szCs w:val="22"/>
                <w:lang w:eastAsia="fr-FR" w:bidi="fr-FR"/>
              </w:rPr>
            </w:pPr>
            <w:r w:rsidRPr="00097AF5">
              <w:rPr>
                <w:rFonts w:asciiTheme="majorBidi" w:hAnsiTheme="majorBidi" w:cstheme="majorBidi"/>
                <w:b/>
                <w:sz w:val="22"/>
                <w:lang w:eastAsia="fr-FR" w:bidi="fr-FR"/>
              </w:rPr>
              <w:t>0 %</w:t>
            </w:r>
          </w:p>
        </w:tc>
      </w:tr>
      <w:tr w:rsidR="00290BBA" w:rsidRPr="00097AF5" w:rsidTr="00AD1DAB">
        <w:trPr>
          <w:trHeight w:val="25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290BBA" w:rsidRPr="00097AF5" w:rsidRDefault="00290BBA" w:rsidP="00AD1DAB">
            <w:pPr>
              <w:spacing w:before="0" w:after="0"/>
              <w:rPr>
                <w:i/>
                <w:iCs/>
                <w:sz w:val="22"/>
                <w:szCs w:val="22"/>
                <w:lang w:eastAsia="fr-FR" w:bidi="fr-FR"/>
              </w:rPr>
            </w:pPr>
            <w:r w:rsidRPr="00097AF5">
              <w:rPr>
                <w:i/>
                <w:sz w:val="22"/>
                <w:lang w:eastAsia="fr-FR" w:bidi="fr-FR"/>
              </w:rPr>
              <w:t>Salmo</w:t>
            </w:r>
            <w:r w:rsidRPr="00097AF5">
              <w:rPr>
                <w:i/>
                <w:iCs/>
                <w:sz w:val="22"/>
                <w:szCs w:val="22"/>
                <w:lang w:eastAsia="fr-FR" w:bidi="fr-FR"/>
              </w:rPr>
              <w:br/>
            </w:r>
            <w:r w:rsidRPr="00097AF5">
              <w:rPr>
                <w:i/>
                <w:sz w:val="22"/>
                <w:lang w:eastAsia="fr-FR" w:bidi="fr-FR"/>
              </w:rPr>
              <w:t>salar</w:t>
            </w:r>
            <w:r w:rsidRPr="00097AF5">
              <w:rPr>
                <w:i/>
                <w:sz w:val="22"/>
                <w:vertAlign w:val="superscript"/>
                <w:lang w:eastAsia="fr-FR" w:bidi="fr-FR"/>
              </w:rPr>
              <w:t>**</w:t>
            </w:r>
          </w:p>
        </w:tc>
        <w:tc>
          <w:tcPr>
            <w:tcW w:w="2520" w:type="dxa"/>
            <w:tcBorders>
              <w:top w:val="nil"/>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rPr>
                <w:rFonts w:asciiTheme="majorBidi" w:hAnsiTheme="majorBidi" w:cstheme="majorBidi"/>
                <w:sz w:val="22"/>
                <w:szCs w:val="22"/>
                <w:lang w:eastAsia="fr-FR" w:bidi="fr-FR"/>
              </w:rPr>
            </w:pPr>
            <w:r w:rsidRPr="00097AF5">
              <w:rPr>
                <w:rFonts w:asciiTheme="majorBidi" w:hAnsiTheme="majorBidi" w:cstheme="majorBidi"/>
                <w:sz w:val="22"/>
                <w:lang w:eastAsia="fr-FR" w:bidi="fr-FR"/>
              </w:rPr>
              <w:t>Mer Baltique sous</w:t>
            </w:r>
            <w:r w:rsidRPr="00097AF5">
              <w:rPr>
                <w:lang w:eastAsia="fr-FR" w:bidi="fr-FR"/>
              </w:rPr>
              <w:noBreakHyphen/>
            </w:r>
            <w:r w:rsidRPr="00097AF5">
              <w:rPr>
                <w:rFonts w:asciiTheme="majorBidi" w:hAnsiTheme="majorBidi" w:cstheme="majorBidi"/>
                <w:sz w:val="22"/>
                <w:lang w:eastAsia="fr-FR" w:bidi="fr-FR"/>
              </w:rPr>
              <w:t>division 32</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13 106</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10 024</w:t>
            </w:r>
          </w:p>
        </w:tc>
        <w:tc>
          <w:tcPr>
            <w:tcW w:w="1622"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- 24 %</w:t>
            </w:r>
          </w:p>
        </w:tc>
        <w:tc>
          <w:tcPr>
            <w:tcW w:w="1255"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13 106</w:t>
            </w:r>
          </w:p>
        </w:tc>
        <w:tc>
          <w:tcPr>
            <w:tcW w:w="1194"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b/>
                <w:bCs/>
                <w:sz w:val="22"/>
                <w:szCs w:val="22"/>
                <w:lang w:eastAsia="fr-FR" w:bidi="fr-FR"/>
              </w:rPr>
            </w:pPr>
            <w:r w:rsidRPr="00097AF5">
              <w:rPr>
                <w:rFonts w:asciiTheme="majorBidi" w:hAnsiTheme="majorBidi" w:cstheme="majorBidi"/>
                <w:b/>
                <w:sz w:val="22"/>
                <w:lang w:eastAsia="fr-FR" w:bidi="fr-FR"/>
              </w:rPr>
              <w:t>0 %</w:t>
            </w:r>
          </w:p>
        </w:tc>
      </w:tr>
      <w:tr w:rsidR="00290BBA" w:rsidRPr="00097AF5" w:rsidTr="00AD1DAB">
        <w:trPr>
          <w:trHeight w:val="255"/>
        </w:trPr>
        <w:tc>
          <w:tcPr>
            <w:tcW w:w="1365" w:type="dxa"/>
            <w:tcBorders>
              <w:top w:val="nil"/>
              <w:left w:val="single" w:sz="8" w:space="0" w:color="auto"/>
              <w:bottom w:val="single" w:sz="8" w:space="0" w:color="auto"/>
              <w:right w:val="single" w:sz="8" w:space="0" w:color="auto"/>
            </w:tcBorders>
            <w:shd w:val="clear" w:color="auto" w:fill="auto"/>
            <w:noWrap/>
            <w:vAlign w:val="bottom"/>
          </w:tcPr>
          <w:p w:rsidR="00290BBA" w:rsidRPr="00097AF5" w:rsidRDefault="00290BBA" w:rsidP="00AD1DAB">
            <w:pPr>
              <w:spacing w:before="0" w:after="0"/>
              <w:rPr>
                <w:i/>
                <w:iCs/>
                <w:sz w:val="22"/>
                <w:szCs w:val="22"/>
                <w:lang w:eastAsia="fr-FR" w:bidi="fr-FR"/>
              </w:rPr>
            </w:pPr>
            <w:r w:rsidRPr="00097AF5">
              <w:rPr>
                <w:i/>
                <w:sz w:val="22"/>
                <w:lang w:eastAsia="fr-FR" w:bidi="fr-FR"/>
              </w:rPr>
              <w:t>Sprattus sprattus</w:t>
            </w:r>
          </w:p>
        </w:tc>
        <w:tc>
          <w:tcPr>
            <w:tcW w:w="2520" w:type="dxa"/>
            <w:tcBorders>
              <w:top w:val="nil"/>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rPr>
                <w:rFonts w:asciiTheme="majorBidi" w:hAnsiTheme="majorBidi" w:cstheme="majorBidi"/>
                <w:sz w:val="22"/>
                <w:szCs w:val="22"/>
                <w:lang w:eastAsia="fr-FR" w:bidi="fr-FR"/>
              </w:rPr>
            </w:pPr>
            <w:r w:rsidRPr="00097AF5">
              <w:rPr>
                <w:rFonts w:asciiTheme="majorBidi" w:hAnsiTheme="majorBidi" w:cstheme="majorBidi"/>
                <w:sz w:val="22"/>
                <w:lang w:eastAsia="fr-FR" w:bidi="fr-FR"/>
              </w:rPr>
              <w:t>Mer Baltique sous</w:t>
            </w:r>
            <w:r w:rsidRPr="00097AF5">
              <w:rPr>
                <w:lang w:eastAsia="fr-FR" w:bidi="fr-FR"/>
              </w:rPr>
              <w:noBreakHyphen/>
            </w:r>
            <w:r w:rsidRPr="00097AF5">
              <w:rPr>
                <w:rFonts w:asciiTheme="majorBidi" w:hAnsiTheme="majorBidi" w:cstheme="majorBidi"/>
                <w:sz w:val="22"/>
                <w:lang w:eastAsia="fr-FR" w:bidi="fr-FR"/>
              </w:rPr>
              <w:t>divisions 22-32</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213 581</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184 336</w:t>
            </w:r>
          </w:p>
        </w:tc>
        <w:tc>
          <w:tcPr>
            <w:tcW w:w="1622"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- 14 %</w:t>
            </w:r>
          </w:p>
        </w:tc>
        <w:tc>
          <w:tcPr>
            <w:tcW w:w="1255"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sz w:val="22"/>
                <w:szCs w:val="22"/>
                <w:lang w:eastAsia="fr-FR" w:bidi="fr-FR"/>
              </w:rPr>
            </w:pPr>
            <w:r w:rsidRPr="00097AF5">
              <w:rPr>
                <w:rFonts w:asciiTheme="majorBidi" w:hAnsiTheme="majorBidi" w:cstheme="majorBidi"/>
                <w:sz w:val="22"/>
                <w:lang w:eastAsia="fr-FR" w:bidi="fr-FR"/>
              </w:rPr>
              <w:t>202 320</w:t>
            </w:r>
          </w:p>
        </w:tc>
        <w:tc>
          <w:tcPr>
            <w:tcW w:w="1194" w:type="dxa"/>
            <w:tcBorders>
              <w:top w:val="single" w:sz="8" w:space="0" w:color="auto"/>
              <w:left w:val="nil"/>
              <w:bottom w:val="single" w:sz="8" w:space="0" w:color="auto"/>
              <w:right w:val="single" w:sz="8" w:space="0" w:color="auto"/>
            </w:tcBorders>
            <w:shd w:val="clear" w:color="auto" w:fill="auto"/>
            <w:noWrap/>
            <w:vAlign w:val="center"/>
          </w:tcPr>
          <w:p w:rsidR="00290BBA" w:rsidRPr="00097AF5" w:rsidRDefault="00290BBA" w:rsidP="00AD1DAB">
            <w:pPr>
              <w:spacing w:before="0" w:after="0"/>
              <w:jc w:val="center"/>
              <w:rPr>
                <w:rFonts w:asciiTheme="majorBidi" w:hAnsiTheme="majorBidi" w:cstheme="majorBidi"/>
                <w:b/>
                <w:bCs/>
                <w:sz w:val="22"/>
                <w:szCs w:val="22"/>
                <w:lang w:eastAsia="fr-FR" w:bidi="fr-FR"/>
              </w:rPr>
            </w:pPr>
            <w:r w:rsidRPr="00097AF5">
              <w:rPr>
                <w:rFonts w:asciiTheme="majorBidi" w:hAnsiTheme="majorBidi" w:cstheme="majorBidi"/>
                <w:b/>
                <w:sz w:val="22"/>
                <w:lang w:eastAsia="fr-FR" w:bidi="fr-FR"/>
              </w:rPr>
              <w:t>- 5 %</w:t>
            </w:r>
          </w:p>
        </w:tc>
      </w:tr>
      <w:tr w:rsidR="00290BBA" w:rsidRPr="00097AF5" w:rsidTr="00AD1DAB">
        <w:trPr>
          <w:trHeight w:val="255"/>
        </w:trPr>
        <w:tc>
          <w:tcPr>
            <w:tcW w:w="1365" w:type="dxa"/>
            <w:tcBorders>
              <w:top w:val="nil"/>
              <w:left w:val="nil"/>
              <w:bottom w:val="nil"/>
              <w:right w:val="nil"/>
            </w:tcBorders>
            <w:shd w:val="clear" w:color="auto" w:fill="auto"/>
            <w:noWrap/>
            <w:vAlign w:val="bottom"/>
          </w:tcPr>
          <w:p w:rsidR="00290BBA" w:rsidRPr="00097AF5" w:rsidRDefault="00290BBA" w:rsidP="00AD1DAB">
            <w:pPr>
              <w:spacing w:before="0" w:after="0"/>
              <w:rPr>
                <w:i/>
                <w:iCs/>
                <w:sz w:val="22"/>
                <w:szCs w:val="22"/>
                <w:lang w:eastAsia="fr-FR" w:bidi="fr-FR"/>
              </w:rPr>
            </w:pPr>
          </w:p>
        </w:tc>
        <w:tc>
          <w:tcPr>
            <w:tcW w:w="2520" w:type="dxa"/>
            <w:tcBorders>
              <w:top w:val="nil"/>
              <w:left w:val="nil"/>
              <w:bottom w:val="nil"/>
              <w:right w:val="nil"/>
            </w:tcBorders>
            <w:shd w:val="clear" w:color="auto" w:fill="auto"/>
            <w:noWrap/>
            <w:vAlign w:val="bottom"/>
          </w:tcPr>
          <w:p w:rsidR="00290BBA" w:rsidRPr="00097AF5" w:rsidRDefault="00290BBA" w:rsidP="00AD1DAB">
            <w:pPr>
              <w:spacing w:before="0" w:after="0"/>
              <w:rPr>
                <w:sz w:val="22"/>
                <w:szCs w:val="22"/>
                <w:lang w:eastAsia="fr-FR" w:bidi="fr-FR"/>
              </w:rPr>
            </w:pPr>
          </w:p>
        </w:tc>
        <w:tc>
          <w:tcPr>
            <w:tcW w:w="1080" w:type="dxa"/>
            <w:tcBorders>
              <w:top w:val="nil"/>
              <w:left w:val="nil"/>
              <w:bottom w:val="nil"/>
              <w:right w:val="nil"/>
            </w:tcBorders>
            <w:shd w:val="clear" w:color="auto" w:fill="auto"/>
            <w:noWrap/>
            <w:vAlign w:val="bottom"/>
          </w:tcPr>
          <w:p w:rsidR="00290BBA" w:rsidRPr="00097AF5" w:rsidRDefault="00290BBA" w:rsidP="00AD1DAB">
            <w:pPr>
              <w:spacing w:before="0" w:after="0"/>
              <w:jc w:val="right"/>
              <w:rPr>
                <w:sz w:val="22"/>
                <w:szCs w:val="22"/>
                <w:lang w:eastAsia="fr-FR" w:bidi="fr-FR"/>
              </w:rPr>
            </w:pPr>
          </w:p>
        </w:tc>
        <w:tc>
          <w:tcPr>
            <w:tcW w:w="1080" w:type="dxa"/>
            <w:tcBorders>
              <w:top w:val="nil"/>
              <w:left w:val="nil"/>
              <w:bottom w:val="nil"/>
              <w:right w:val="nil"/>
            </w:tcBorders>
            <w:shd w:val="clear" w:color="auto" w:fill="auto"/>
            <w:noWrap/>
            <w:vAlign w:val="bottom"/>
          </w:tcPr>
          <w:p w:rsidR="00290BBA" w:rsidRPr="00097AF5" w:rsidRDefault="00290BBA" w:rsidP="00AD1DAB">
            <w:pPr>
              <w:spacing w:before="0" w:after="0"/>
              <w:jc w:val="right"/>
              <w:rPr>
                <w:sz w:val="22"/>
                <w:szCs w:val="22"/>
                <w:lang w:eastAsia="fr-FR" w:bidi="fr-FR"/>
              </w:rPr>
            </w:pPr>
          </w:p>
        </w:tc>
        <w:tc>
          <w:tcPr>
            <w:tcW w:w="1622" w:type="dxa"/>
            <w:tcBorders>
              <w:top w:val="nil"/>
              <w:left w:val="nil"/>
              <w:bottom w:val="nil"/>
              <w:right w:val="nil"/>
            </w:tcBorders>
            <w:shd w:val="clear" w:color="auto" w:fill="auto"/>
            <w:noWrap/>
            <w:vAlign w:val="bottom"/>
          </w:tcPr>
          <w:p w:rsidR="00290BBA" w:rsidRPr="00097AF5" w:rsidRDefault="00290BBA" w:rsidP="00AD1DAB">
            <w:pPr>
              <w:spacing w:before="0" w:after="0"/>
              <w:jc w:val="right"/>
              <w:rPr>
                <w:sz w:val="22"/>
                <w:szCs w:val="22"/>
                <w:lang w:eastAsia="fr-FR" w:bidi="fr-FR"/>
              </w:rPr>
            </w:pPr>
          </w:p>
        </w:tc>
        <w:tc>
          <w:tcPr>
            <w:tcW w:w="1255" w:type="dxa"/>
            <w:tcBorders>
              <w:top w:val="nil"/>
              <w:left w:val="nil"/>
              <w:bottom w:val="nil"/>
              <w:right w:val="nil"/>
            </w:tcBorders>
            <w:shd w:val="clear" w:color="auto" w:fill="auto"/>
            <w:noWrap/>
            <w:vAlign w:val="bottom"/>
          </w:tcPr>
          <w:p w:rsidR="00290BBA" w:rsidRPr="00097AF5" w:rsidRDefault="00290BBA" w:rsidP="00AD1DAB">
            <w:pPr>
              <w:spacing w:before="0" w:after="0"/>
              <w:jc w:val="right"/>
              <w:rPr>
                <w:sz w:val="22"/>
                <w:szCs w:val="22"/>
                <w:lang w:eastAsia="fr-FR" w:bidi="fr-FR"/>
              </w:rPr>
            </w:pPr>
          </w:p>
        </w:tc>
        <w:tc>
          <w:tcPr>
            <w:tcW w:w="1194" w:type="dxa"/>
            <w:tcBorders>
              <w:top w:val="nil"/>
              <w:left w:val="nil"/>
              <w:bottom w:val="nil"/>
              <w:right w:val="nil"/>
            </w:tcBorders>
            <w:shd w:val="clear" w:color="auto" w:fill="auto"/>
            <w:noWrap/>
            <w:vAlign w:val="bottom"/>
          </w:tcPr>
          <w:p w:rsidR="00290BBA" w:rsidRPr="00097AF5" w:rsidRDefault="00290BBA" w:rsidP="00AD1DAB">
            <w:pPr>
              <w:spacing w:before="0" w:after="0"/>
              <w:jc w:val="right"/>
              <w:rPr>
                <w:sz w:val="22"/>
                <w:szCs w:val="22"/>
                <w:lang w:eastAsia="fr-FR" w:bidi="fr-FR"/>
              </w:rPr>
            </w:pPr>
          </w:p>
        </w:tc>
      </w:tr>
      <w:tr w:rsidR="00290BBA" w:rsidRPr="00097AF5" w:rsidTr="00AD1DAB">
        <w:trPr>
          <w:trHeight w:val="255"/>
        </w:trPr>
        <w:tc>
          <w:tcPr>
            <w:tcW w:w="10116" w:type="dxa"/>
            <w:gridSpan w:val="7"/>
            <w:tcBorders>
              <w:top w:val="nil"/>
              <w:left w:val="nil"/>
              <w:bottom w:val="nil"/>
              <w:right w:val="nil"/>
            </w:tcBorders>
            <w:shd w:val="clear" w:color="auto" w:fill="auto"/>
            <w:noWrap/>
            <w:vAlign w:val="bottom"/>
          </w:tcPr>
          <w:p w:rsidR="00290BBA" w:rsidRPr="00097AF5" w:rsidRDefault="00290BBA" w:rsidP="00AD1DAB">
            <w:pPr>
              <w:spacing w:after="120" w:line="216" w:lineRule="auto"/>
              <w:rPr>
                <w:b/>
                <w:bCs/>
                <w:u w:val="single"/>
                <w:lang w:eastAsia="fr-FR" w:bidi="fr-FR"/>
              </w:rPr>
            </w:pPr>
            <w:r w:rsidRPr="00097AF5">
              <w:rPr>
                <w:b/>
                <w:u w:val="single"/>
                <w:lang w:eastAsia="fr-FR" w:bidi="fr-FR"/>
              </w:rPr>
              <w:t>Légende: Dénomination latine - Dénomination anglaise/ Dénomination française/ Dénomination allemande</w:t>
            </w:r>
          </w:p>
        </w:tc>
      </w:tr>
      <w:tr w:rsidR="00290BBA" w:rsidRPr="00097AF5" w:rsidTr="00AD1DAB">
        <w:trPr>
          <w:trHeight w:val="255"/>
        </w:trPr>
        <w:tc>
          <w:tcPr>
            <w:tcW w:w="10116" w:type="dxa"/>
            <w:gridSpan w:val="7"/>
            <w:tcBorders>
              <w:top w:val="nil"/>
              <w:left w:val="nil"/>
              <w:bottom w:val="nil"/>
              <w:right w:val="nil"/>
            </w:tcBorders>
            <w:shd w:val="clear" w:color="auto" w:fill="auto"/>
            <w:noWrap/>
            <w:vAlign w:val="bottom"/>
          </w:tcPr>
          <w:p w:rsidR="00290BBA" w:rsidRPr="00097AF5" w:rsidRDefault="00290BBA" w:rsidP="00AD1DAB">
            <w:pPr>
              <w:spacing w:after="120" w:line="216" w:lineRule="auto"/>
              <w:rPr>
                <w:i/>
                <w:iCs/>
                <w:lang w:eastAsia="fr-FR" w:bidi="fr-FR"/>
              </w:rPr>
            </w:pPr>
            <w:r w:rsidRPr="00097AF5">
              <w:rPr>
                <w:i/>
                <w:lang w:eastAsia="fr-FR" w:bidi="fr-FR"/>
              </w:rPr>
              <w:t xml:space="preserve">Clupea harengus - herring/ hareng/ Hering </w:t>
            </w:r>
          </w:p>
        </w:tc>
      </w:tr>
      <w:tr w:rsidR="00290BBA" w:rsidRPr="00097AF5" w:rsidTr="00AD1DAB">
        <w:trPr>
          <w:trHeight w:val="255"/>
        </w:trPr>
        <w:tc>
          <w:tcPr>
            <w:tcW w:w="10116" w:type="dxa"/>
            <w:gridSpan w:val="7"/>
            <w:tcBorders>
              <w:top w:val="nil"/>
              <w:left w:val="nil"/>
              <w:bottom w:val="nil"/>
              <w:right w:val="nil"/>
            </w:tcBorders>
            <w:shd w:val="clear" w:color="auto" w:fill="auto"/>
            <w:noWrap/>
            <w:vAlign w:val="bottom"/>
          </w:tcPr>
          <w:p w:rsidR="00290BBA" w:rsidRPr="00097AF5" w:rsidRDefault="00290BBA" w:rsidP="00AD1DAB">
            <w:pPr>
              <w:spacing w:after="120" w:line="216" w:lineRule="auto"/>
              <w:rPr>
                <w:i/>
                <w:iCs/>
                <w:lang w:eastAsia="fr-FR" w:bidi="fr-FR"/>
              </w:rPr>
            </w:pPr>
            <w:r w:rsidRPr="00097AF5">
              <w:rPr>
                <w:i/>
                <w:lang w:eastAsia="fr-FR" w:bidi="fr-FR"/>
              </w:rPr>
              <w:t>Gadus morhua - cod/ morue/ Dorsch</w:t>
            </w:r>
          </w:p>
        </w:tc>
      </w:tr>
      <w:tr w:rsidR="00290BBA" w:rsidRPr="00097AF5" w:rsidTr="00AD1DAB">
        <w:trPr>
          <w:trHeight w:val="255"/>
        </w:trPr>
        <w:tc>
          <w:tcPr>
            <w:tcW w:w="10116" w:type="dxa"/>
            <w:gridSpan w:val="7"/>
            <w:tcBorders>
              <w:top w:val="nil"/>
              <w:left w:val="nil"/>
              <w:bottom w:val="nil"/>
              <w:right w:val="nil"/>
            </w:tcBorders>
            <w:shd w:val="clear" w:color="auto" w:fill="auto"/>
            <w:noWrap/>
            <w:vAlign w:val="bottom"/>
          </w:tcPr>
          <w:p w:rsidR="00290BBA" w:rsidRPr="00097AF5" w:rsidRDefault="00290BBA" w:rsidP="00AD1DAB">
            <w:pPr>
              <w:spacing w:after="120" w:line="216" w:lineRule="auto"/>
              <w:rPr>
                <w:i/>
                <w:iCs/>
                <w:lang w:eastAsia="fr-FR" w:bidi="fr-FR"/>
              </w:rPr>
            </w:pPr>
            <w:r w:rsidRPr="00097AF5">
              <w:rPr>
                <w:i/>
                <w:lang w:eastAsia="fr-FR" w:bidi="fr-FR"/>
              </w:rPr>
              <w:t>Pleuronectes platessa - plaice/ plie/ Scholle</w:t>
            </w:r>
          </w:p>
        </w:tc>
      </w:tr>
      <w:tr w:rsidR="00290BBA" w:rsidRPr="00290BBA" w:rsidTr="00AD1DAB">
        <w:trPr>
          <w:trHeight w:val="255"/>
        </w:trPr>
        <w:tc>
          <w:tcPr>
            <w:tcW w:w="10116" w:type="dxa"/>
            <w:gridSpan w:val="7"/>
            <w:tcBorders>
              <w:top w:val="nil"/>
              <w:left w:val="nil"/>
              <w:bottom w:val="nil"/>
              <w:right w:val="nil"/>
            </w:tcBorders>
            <w:shd w:val="clear" w:color="auto" w:fill="auto"/>
            <w:noWrap/>
            <w:vAlign w:val="bottom"/>
          </w:tcPr>
          <w:p w:rsidR="00290BBA" w:rsidRPr="00097AF5" w:rsidRDefault="00290BBA" w:rsidP="00AD1DAB">
            <w:pPr>
              <w:spacing w:after="120" w:line="216" w:lineRule="auto"/>
              <w:rPr>
                <w:i/>
                <w:iCs/>
                <w:lang w:val="en-US" w:eastAsia="fr-FR" w:bidi="fr-FR"/>
              </w:rPr>
            </w:pPr>
            <w:r w:rsidRPr="00097AF5">
              <w:rPr>
                <w:i/>
                <w:lang w:val="en-US" w:eastAsia="fr-FR" w:bidi="fr-FR"/>
              </w:rPr>
              <w:t>Salmo salar - Atlantic salmon/ saumon atlantique/ Lachs</w:t>
            </w:r>
          </w:p>
        </w:tc>
      </w:tr>
      <w:tr w:rsidR="00290BBA" w:rsidRPr="00290BBA" w:rsidTr="00AD1DAB">
        <w:trPr>
          <w:trHeight w:val="255"/>
        </w:trPr>
        <w:tc>
          <w:tcPr>
            <w:tcW w:w="10116" w:type="dxa"/>
            <w:gridSpan w:val="7"/>
            <w:tcBorders>
              <w:top w:val="nil"/>
              <w:left w:val="nil"/>
              <w:bottom w:val="nil"/>
              <w:right w:val="nil"/>
            </w:tcBorders>
            <w:shd w:val="clear" w:color="auto" w:fill="auto"/>
            <w:noWrap/>
            <w:vAlign w:val="bottom"/>
          </w:tcPr>
          <w:p w:rsidR="00290BBA" w:rsidRPr="00097AF5" w:rsidRDefault="00290BBA" w:rsidP="00AD1DAB">
            <w:pPr>
              <w:spacing w:after="120" w:line="216" w:lineRule="auto"/>
              <w:rPr>
                <w:i/>
                <w:iCs/>
                <w:lang w:val="sv-SE" w:eastAsia="fr-FR" w:bidi="fr-FR"/>
              </w:rPr>
            </w:pPr>
            <w:r w:rsidRPr="00097AF5">
              <w:rPr>
                <w:i/>
                <w:lang w:val="sv-SE" w:eastAsia="fr-FR" w:bidi="fr-FR"/>
              </w:rPr>
              <w:t>Sprattus sprattus - sprat/ sprat (esprot)/ Sprotte</w:t>
            </w:r>
          </w:p>
        </w:tc>
      </w:tr>
    </w:tbl>
    <w:p w:rsidR="00290BBA" w:rsidRPr="00097AF5" w:rsidRDefault="00290BBA" w:rsidP="00290BBA">
      <w:pPr>
        <w:spacing w:after="120"/>
        <w:rPr>
          <w:lang w:eastAsia="fr-FR" w:bidi="fr-FR"/>
        </w:rPr>
      </w:pPr>
      <w:r w:rsidRPr="002425CA">
        <w:rPr>
          <w:lang w:val="fr-BE" w:eastAsia="fr-FR" w:bidi="fr-FR"/>
        </w:rPr>
        <w:br w:type="page"/>
      </w:r>
      <w:r w:rsidRPr="00097AF5">
        <w:rPr>
          <w:lang w:eastAsia="fr-FR" w:bidi="fr-FR"/>
        </w:rPr>
        <w:t>Pour simplifier et clarifier la détermination annuelle des TAC et des quotas, les possibilités de</w:t>
      </w:r>
      <w:r w:rsidRPr="00097AF5">
        <w:rPr>
          <w:lang w:val="fr-BE" w:eastAsia="fr-FR" w:bidi="fr-FR"/>
        </w:rPr>
        <w:t> </w:t>
      </w:r>
      <w:r w:rsidRPr="00097AF5">
        <w:rPr>
          <w:lang w:eastAsia="fr-FR" w:bidi="fr-FR"/>
        </w:rPr>
        <w:t>pêche relatives à la mer Baltique sont établies par un règlement distinct depuis 2006.</w:t>
      </w:r>
    </w:p>
    <w:p w:rsidR="00290BBA" w:rsidRPr="00097AF5" w:rsidRDefault="00290BBA" w:rsidP="00290BBA">
      <w:pPr>
        <w:spacing w:after="120"/>
        <w:rPr>
          <w:lang w:eastAsia="fr-FR" w:bidi="fr-FR"/>
        </w:rPr>
      </w:pPr>
      <w:r w:rsidRPr="00097AF5">
        <w:rPr>
          <w:lang w:eastAsia="fr-FR" w:bidi="fr-FR"/>
        </w:rPr>
        <w:t>Ces pêcheries devraient être ouvertes à compter du 1</w:t>
      </w:r>
      <w:r w:rsidRPr="00097AF5">
        <w:rPr>
          <w:vertAlign w:val="superscript"/>
          <w:lang w:eastAsia="fr-FR" w:bidi="fr-FR"/>
        </w:rPr>
        <w:t>er</w:t>
      </w:r>
      <w:r w:rsidRPr="00097AF5">
        <w:rPr>
          <w:lang w:eastAsia="fr-FR" w:bidi="fr-FR"/>
        </w:rPr>
        <w:t> janvier 2016.</w:t>
      </w:r>
    </w:p>
    <w:p w:rsidR="00290BBA" w:rsidRPr="00097AF5" w:rsidRDefault="00290BBA" w:rsidP="00290BBA">
      <w:pPr>
        <w:spacing w:after="120"/>
        <w:rPr>
          <w:lang w:eastAsia="fr-FR" w:bidi="fr-FR"/>
        </w:rPr>
      </w:pPr>
      <w:r w:rsidRPr="00097AF5">
        <w:rPr>
          <w:lang w:eastAsia="fr-FR" w:bidi="fr-FR"/>
        </w:rPr>
        <w:t>Aux termes de l'article 43, paragraphe 3, du traité</w:t>
      </w:r>
      <w:r>
        <w:rPr>
          <w:lang w:eastAsia="fr-FR" w:bidi="fr-FR"/>
        </w:rPr>
        <w:t xml:space="preserve"> sur le fonctionnement de l'Union européenne (TFUE)</w:t>
      </w:r>
      <w:r w:rsidRPr="00097AF5">
        <w:rPr>
          <w:lang w:eastAsia="fr-FR" w:bidi="fr-FR"/>
        </w:rPr>
        <w:t>, il incombe au Conseil d'adopter les mesures relatives à la f</w:t>
      </w:r>
      <w:r>
        <w:rPr>
          <w:lang w:eastAsia="fr-FR" w:bidi="fr-FR"/>
        </w:rPr>
        <w:t>ixation et à la répartition des </w:t>
      </w:r>
      <w:r w:rsidRPr="00097AF5">
        <w:rPr>
          <w:lang w:eastAsia="fr-FR" w:bidi="fr-FR"/>
        </w:rPr>
        <w:t>possibilités de pêche dans le cadre de la politique commune de</w:t>
      </w:r>
      <w:r>
        <w:rPr>
          <w:lang w:eastAsia="fr-FR" w:bidi="fr-FR"/>
        </w:rPr>
        <w:t xml:space="preserve"> la pêche. La participation du </w:t>
      </w:r>
      <w:r w:rsidRPr="00097AF5">
        <w:rPr>
          <w:lang w:eastAsia="fr-FR" w:bidi="fr-FR"/>
        </w:rPr>
        <w:t xml:space="preserve">Parlement européen et l'avis du Comité économique et social ne sont donc pas requis pour </w:t>
      </w:r>
      <w:r>
        <w:rPr>
          <w:lang w:eastAsia="fr-FR" w:bidi="fr-FR"/>
        </w:rPr>
        <w:t>l'adoption de ce règlement</w:t>
      </w:r>
      <w:r w:rsidRPr="00097AF5">
        <w:rPr>
          <w:lang w:eastAsia="fr-FR" w:bidi="fr-FR"/>
        </w:rPr>
        <w:t>.</w:t>
      </w:r>
    </w:p>
    <w:p w:rsidR="00290BBA" w:rsidRPr="003128FD" w:rsidRDefault="00290BBA" w:rsidP="00290BBA">
      <w:pPr>
        <w:pStyle w:val="Sub-sub-itemDebated"/>
      </w:pPr>
      <w:bookmarkStart w:id="7" w:name="_Toc437011186"/>
      <w:r w:rsidRPr="003128FD">
        <w:t>EU/Norvège: consultations annuelles pour 2016</w:t>
      </w:r>
      <w:bookmarkEnd w:id="7"/>
    </w:p>
    <w:p w:rsidR="00290BBA" w:rsidRPr="00097AF5" w:rsidRDefault="00290BBA" w:rsidP="00290BBA">
      <w:pPr>
        <w:widowControl w:val="0"/>
        <w:spacing w:after="120"/>
        <w:rPr>
          <w:lang w:eastAsia="fr-FR" w:bidi="fr-FR"/>
        </w:rPr>
      </w:pPr>
      <w:r w:rsidRPr="00097AF5">
        <w:rPr>
          <w:lang w:eastAsia="fr-FR" w:bidi="fr-FR"/>
        </w:rPr>
        <w:t>Le Conseil a procédé à un échange de vues sur les consultations annuelles prévues entre l'UE et la Norvège dans le cadre de leur accord bilatéral sur la pêche. La pre</w:t>
      </w:r>
      <w:r>
        <w:rPr>
          <w:lang w:eastAsia="fr-FR" w:bidi="fr-FR"/>
        </w:rPr>
        <w:t>mière série de consultations se </w:t>
      </w:r>
      <w:r w:rsidRPr="00097AF5">
        <w:rPr>
          <w:lang w:eastAsia="fr-FR" w:bidi="fr-FR"/>
        </w:rPr>
        <w:t>déroulera du 16 au 20 novembre 2015 à Copenhague (Danemark) et la deuxième série du 30 novembre au 4 décembre 2015 à Bergen (Norvège).</w:t>
      </w:r>
    </w:p>
    <w:p w:rsidR="00290BBA" w:rsidRPr="00097AF5" w:rsidRDefault="00290BBA" w:rsidP="00290BBA">
      <w:pPr>
        <w:spacing w:after="120"/>
        <w:rPr>
          <w:lang w:eastAsia="fr-FR" w:bidi="fr-FR"/>
        </w:rPr>
      </w:pPr>
      <w:r w:rsidRPr="00097AF5">
        <w:rPr>
          <w:lang w:eastAsia="fr-FR" w:bidi="fr-FR"/>
        </w:rPr>
        <w:t>La plupart des délégations ont reconnu l'utilité de cet accord avec la Norvège</w:t>
      </w:r>
      <w:r>
        <w:rPr>
          <w:lang w:eastAsia="fr-FR" w:bidi="fr-FR"/>
        </w:rPr>
        <w:t>,</w:t>
      </w:r>
      <w:r w:rsidRPr="00097AF5">
        <w:rPr>
          <w:lang w:eastAsia="fr-FR" w:bidi="fr-FR"/>
        </w:rPr>
        <w:t xml:space="preserve"> mais seraient favorables à une approche prudente de l'UE en ce qui concerne le niveau des TAC et d'autres mesures associées pour les principaux stocks communs gérés conjointement en mer du Nord. Elles </w:t>
      </w:r>
      <w:r>
        <w:rPr>
          <w:lang w:eastAsia="fr-FR" w:bidi="fr-FR"/>
        </w:rPr>
        <w:t>préconise</w:t>
      </w:r>
      <w:r w:rsidRPr="00097AF5">
        <w:rPr>
          <w:lang w:eastAsia="fr-FR" w:bidi="fr-FR"/>
        </w:rPr>
        <w:t>raient également une approche prudente en ce qui concerne d'autres stocks qu'il pourrait être intéressant de recenser et d'utiliser pour l'échange réciproque de quotas.</w:t>
      </w:r>
    </w:p>
    <w:p w:rsidR="00290BBA" w:rsidRPr="00097AF5" w:rsidRDefault="00290BBA" w:rsidP="00290BBA">
      <w:pPr>
        <w:spacing w:after="120"/>
        <w:rPr>
          <w:lang w:eastAsia="fr-FR" w:bidi="fr-FR"/>
        </w:rPr>
      </w:pPr>
      <w:r w:rsidRPr="00097AF5">
        <w:rPr>
          <w:lang w:eastAsia="fr-FR" w:bidi="fr-FR"/>
        </w:rPr>
        <w:t>Cette année, les consultations porteront sur les grandes questions suivantes:</w:t>
      </w:r>
    </w:p>
    <w:p w:rsidR="00290BBA" w:rsidRPr="00097AF5" w:rsidRDefault="00290BBA" w:rsidP="00290BBA">
      <w:pPr>
        <w:numPr>
          <w:ilvl w:val="0"/>
          <w:numId w:val="16"/>
        </w:numPr>
        <w:spacing w:after="120"/>
        <w:rPr>
          <w:lang w:eastAsia="fr-FR" w:bidi="fr-FR"/>
        </w:rPr>
      </w:pPr>
      <w:r w:rsidRPr="00097AF5">
        <w:rPr>
          <w:lang w:eastAsia="fr-FR" w:bidi="fr-FR"/>
        </w:rPr>
        <w:t>les modalités détaillées de la gestion des sept stocks de poisson gérés conjointement en mer du Nord (cabillaud, églefin, plie, merlan, hareng, maquereau et lieu noir) et dans le Skagerrak (cabillaud, églefin, merlan, plie, crevette, hareng et sprat), qui comprennent notamment l'établissement de TAC et de quotas pour chacune des parties, conformément aux plans de gestion à long terme et aux accords de partage conclus;</w:t>
      </w:r>
    </w:p>
    <w:p w:rsidR="00290BBA" w:rsidRPr="00097AF5" w:rsidRDefault="00290BBA" w:rsidP="00290BBA">
      <w:pPr>
        <w:numPr>
          <w:ilvl w:val="0"/>
          <w:numId w:val="16"/>
        </w:numPr>
        <w:spacing w:after="120"/>
        <w:rPr>
          <w:lang w:eastAsia="fr-FR" w:bidi="fr-FR"/>
        </w:rPr>
      </w:pPr>
      <w:r w:rsidRPr="00097AF5">
        <w:rPr>
          <w:lang w:eastAsia="fr-FR" w:bidi="fr-FR"/>
        </w:rPr>
        <w:t>d'éventuels ajustements des plans de gestion à long terme pour les stocks d'églefin et de hareng de la mer du Nord pour tenir compte des nouveaux avis du CIEM</w:t>
      </w:r>
      <w:r>
        <w:rPr>
          <w:lang w:eastAsia="fr-FR" w:bidi="fr-FR"/>
        </w:rPr>
        <w:t xml:space="preserve">, </w:t>
      </w:r>
      <w:r w:rsidRPr="00097AF5">
        <w:rPr>
          <w:lang w:eastAsia="fr-FR" w:bidi="fr-FR"/>
        </w:rPr>
        <w:t>et</w:t>
      </w:r>
    </w:p>
    <w:p w:rsidR="00290BBA" w:rsidRPr="00097AF5" w:rsidRDefault="00290BBA" w:rsidP="00290BBA">
      <w:pPr>
        <w:numPr>
          <w:ilvl w:val="0"/>
          <w:numId w:val="16"/>
        </w:numPr>
        <w:spacing w:after="120"/>
        <w:rPr>
          <w:lang w:eastAsia="fr-FR" w:bidi="fr-FR"/>
        </w:rPr>
      </w:pPr>
      <w:r w:rsidRPr="00097AF5">
        <w:rPr>
          <w:lang w:eastAsia="fr-FR" w:bidi="fr-FR"/>
        </w:rPr>
        <w:t>l'échange réciproque de possibilités de pêche afin, entre autres, de permettre la poursuite de plusieurs pêcheries importantes pour les pêcheurs des deux parties, y compris des possibilités de pêche pour le cabillaud arcto-norvégien dans les eaux norvégiennes, ainsi que d'autres mesures concernant les pêches présentant un intérêt commun.</w:t>
      </w:r>
    </w:p>
    <w:p w:rsidR="00290BBA" w:rsidRPr="00097AF5" w:rsidRDefault="00290BBA" w:rsidP="00290BBA">
      <w:pPr>
        <w:spacing w:after="120"/>
        <w:rPr>
          <w:lang w:eastAsia="fr-FR" w:bidi="fr-FR"/>
        </w:rPr>
      </w:pPr>
      <w:r w:rsidRPr="00097AF5">
        <w:rPr>
          <w:lang w:eastAsia="fr-FR" w:bidi="fr-FR"/>
        </w:rPr>
        <w:t>L'accord bilatéral sur la pêche signé en 1980 par la Communauté européenne et la Norvège concerne les stocks communs en mer du Nord, certains d'entre eux étant gérés conjointement, d'autres non. Pour les stocks communs gérés conjointement, des TAC annuels sont fixés conjointement par l'UE et la Norvège. Il existe des plans de gestion conjointe à long terme pour le cabillaud, l'églefin, le hareng et le lieu noir, ainsi que des principes de base concernant un plan de gestion à long terme pour la plie. Un accord décennal avec la Norvège sur le maquereau a été conclu en janvier 2010, prévoyant un accès mutuel à la mer du Nord. Cet accord est subordonné à un accord global bilatéral satisfaisant. L'échange réciproque de quotas doit s'équilibrer sur l'ensemble de l'accord.</w:t>
      </w:r>
    </w:p>
    <w:p w:rsidR="00290BBA" w:rsidRPr="003128FD" w:rsidRDefault="00290BBA" w:rsidP="00290BBA">
      <w:pPr>
        <w:pStyle w:val="ItemDebated"/>
        <w:rPr>
          <w:lang w:eastAsia="fr-FR" w:bidi="fr-FR"/>
        </w:rPr>
      </w:pPr>
      <w:r w:rsidRPr="00097AF5">
        <w:rPr>
          <w:lang w:eastAsia="fr-FR" w:bidi="fr-FR"/>
        </w:rPr>
        <w:br w:type="page"/>
      </w:r>
      <w:bookmarkStart w:id="8" w:name="_Toc437011187"/>
      <w:r w:rsidRPr="00097AF5">
        <w:rPr>
          <w:lang w:eastAsia="fr-FR" w:bidi="fr-FR"/>
        </w:rPr>
        <w:t>AGRICULTURE</w:t>
      </w:r>
      <w:bookmarkEnd w:id="8"/>
    </w:p>
    <w:p w:rsidR="00290BBA" w:rsidRPr="003128FD" w:rsidRDefault="00290BBA" w:rsidP="00290BBA">
      <w:pPr>
        <w:pStyle w:val="Sub-sub-itemDebated"/>
      </w:pPr>
      <w:bookmarkStart w:id="9" w:name="_Toc437011188"/>
      <w:r w:rsidRPr="00097AF5">
        <w:t xml:space="preserve">Agriculture </w:t>
      </w:r>
      <w:r>
        <w:t xml:space="preserve">respectueuse du </w:t>
      </w:r>
      <w:r w:rsidRPr="00097AF5">
        <w:t>climat</w:t>
      </w:r>
      <w:bookmarkEnd w:id="9"/>
    </w:p>
    <w:p w:rsidR="00290BBA" w:rsidRPr="00097AF5" w:rsidRDefault="00290BBA" w:rsidP="00290BBA">
      <w:pPr>
        <w:rPr>
          <w:lang w:eastAsia="fr-FR" w:bidi="fr-FR"/>
        </w:rPr>
      </w:pPr>
      <w:r w:rsidRPr="00097AF5">
        <w:rPr>
          <w:lang w:eastAsia="fr-FR" w:bidi="fr-FR"/>
        </w:rPr>
        <w:t>Les ministres ont procédé à un échange de vues sur la contribution de l'agriculture à l'atténuation du changement climatique, sur la base d'un document établi par la présidence (doc. </w:t>
      </w:r>
      <w:hyperlink r:id="rId14" w:tooltip="http://data.consilium.europa.eu/doc/document/ST-12693-2015-INIT/fr/pdf">
        <w:r w:rsidRPr="0006046C">
          <w:rPr>
            <w:i/>
            <w:color w:val="0000FF"/>
            <w:u w:val="single"/>
            <w:lang w:eastAsia="fr-FR" w:bidi="fr-FR"/>
          </w:rPr>
          <w:t>12693/15</w:t>
        </w:r>
      </w:hyperlink>
      <w:r w:rsidRPr="00097AF5">
        <w:rPr>
          <w:lang w:eastAsia="fr-FR" w:bidi="fr-FR"/>
        </w:rPr>
        <w:t xml:space="preserve">). Ce débat était organisé </w:t>
      </w:r>
      <w:r>
        <w:rPr>
          <w:lang w:eastAsia="fr-FR" w:bidi="fr-FR"/>
        </w:rPr>
        <w:t xml:space="preserve">à la lumière du </w:t>
      </w:r>
      <w:r w:rsidRPr="00053D19">
        <w:rPr>
          <w:lang w:eastAsia="fr-FR" w:bidi="fr-FR"/>
        </w:rPr>
        <w:t xml:space="preserve">cadre d'action en matière de </w:t>
      </w:r>
      <w:r>
        <w:rPr>
          <w:lang w:eastAsia="fr-FR" w:bidi="fr-FR"/>
        </w:rPr>
        <w:t>climat et d'énergie à l'horizon </w:t>
      </w:r>
      <w:r w:rsidRPr="00053D19">
        <w:rPr>
          <w:lang w:eastAsia="fr-FR" w:bidi="fr-FR"/>
        </w:rPr>
        <w:t>2030</w:t>
      </w:r>
      <w:r w:rsidRPr="00097AF5">
        <w:rPr>
          <w:lang w:eastAsia="fr-FR" w:bidi="fr-FR"/>
        </w:rPr>
        <w:t xml:space="preserve">, qui </w:t>
      </w:r>
      <w:r>
        <w:rPr>
          <w:lang w:eastAsia="fr-FR" w:bidi="fr-FR"/>
        </w:rPr>
        <w:t xml:space="preserve">vise à réduire de manière </w:t>
      </w:r>
      <w:r w:rsidRPr="00097AF5">
        <w:rPr>
          <w:lang w:eastAsia="fr-FR" w:bidi="fr-FR"/>
        </w:rPr>
        <w:t xml:space="preserve">substantielle </w:t>
      </w:r>
      <w:r>
        <w:rPr>
          <w:lang w:eastAsia="fr-FR" w:bidi="fr-FR"/>
        </w:rPr>
        <w:t xml:space="preserve">les </w:t>
      </w:r>
      <w:r w:rsidRPr="00097AF5">
        <w:rPr>
          <w:lang w:eastAsia="fr-FR" w:bidi="fr-FR"/>
        </w:rPr>
        <w:t xml:space="preserve">émissions de gaz à effet de serre (GES) </w:t>
      </w:r>
      <w:r>
        <w:rPr>
          <w:lang w:eastAsia="fr-FR" w:bidi="fr-FR"/>
        </w:rPr>
        <w:t>au cours de la période 2020-</w:t>
      </w:r>
      <w:r w:rsidRPr="00097AF5">
        <w:rPr>
          <w:lang w:eastAsia="fr-FR" w:bidi="fr-FR"/>
        </w:rPr>
        <w:t>2030. Il s'inscrivait également dans la perspective de la conférence des parties à la convention-cadre des Nations unies sur les changements climatiques (COP 21), qui aura lieu à Paris du 30 novembre au 11 décembre prochains.</w:t>
      </w:r>
    </w:p>
    <w:p w:rsidR="00290BBA" w:rsidRPr="00097AF5" w:rsidRDefault="00290BBA" w:rsidP="00290BBA">
      <w:pPr>
        <w:rPr>
          <w:lang w:eastAsia="fr-FR" w:bidi="fr-FR"/>
        </w:rPr>
      </w:pPr>
      <w:r w:rsidRPr="00097AF5">
        <w:rPr>
          <w:lang w:eastAsia="fr-FR" w:bidi="fr-FR"/>
        </w:rPr>
        <w:t>Il ressort de ce débat que l'agriculture semble d'ores et déjà contribuer à l'atténuation des effets du changement climatique.</w:t>
      </w:r>
      <w:r>
        <w:rPr>
          <w:lang w:eastAsia="fr-FR" w:bidi="fr-FR"/>
        </w:rPr>
        <w:t xml:space="preserve"> D</w:t>
      </w:r>
      <w:r w:rsidRPr="00097AF5">
        <w:rPr>
          <w:lang w:eastAsia="fr-FR" w:bidi="fr-FR"/>
        </w:rPr>
        <w:t xml:space="preserve">e nombreux États membres ont fait observer que la politique agricole commune (PAC) réformée offre un certain nombre d'instruments </w:t>
      </w:r>
      <w:r w:rsidRPr="00731399">
        <w:rPr>
          <w:lang w:eastAsia="fr-FR" w:bidi="fr-FR"/>
        </w:rPr>
        <w:t>permettant de répondre de façon efficace au changement climatique</w:t>
      </w:r>
      <w:r>
        <w:rPr>
          <w:lang w:eastAsia="fr-FR" w:bidi="fr-FR"/>
        </w:rPr>
        <w:t xml:space="preserve"> </w:t>
      </w:r>
      <w:r w:rsidRPr="00097AF5">
        <w:rPr>
          <w:lang w:eastAsia="fr-FR" w:bidi="fr-FR"/>
        </w:rPr>
        <w:t>dans le cadre du premier ou du deuxième pilier.</w:t>
      </w:r>
    </w:p>
    <w:p w:rsidR="00290BBA" w:rsidRPr="00097AF5" w:rsidRDefault="00290BBA" w:rsidP="00290BBA">
      <w:pPr>
        <w:rPr>
          <w:lang w:eastAsia="fr-FR" w:bidi="fr-FR"/>
        </w:rPr>
      </w:pPr>
      <w:r w:rsidRPr="00097AF5">
        <w:rPr>
          <w:lang w:eastAsia="fr-FR" w:bidi="fr-FR"/>
        </w:rPr>
        <w:t xml:space="preserve">Plusieurs ministres ont recensé les mesures existantes qui contribuent à l'atténuation du changement climatique, </w:t>
      </w:r>
      <w:r>
        <w:rPr>
          <w:lang w:eastAsia="fr-FR" w:bidi="fr-FR"/>
        </w:rPr>
        <w:t xml:space="preserve">notamment </w:t>
      </w:r>
      <w:r w:rsidRPr="00097AF5">
        <w:rPr>
          <w:lang w:eastAsia="fr-FR" w:bidi="fr-FR"/>
        </w:rPr>
        <w:t xml:space="preserve">le traitement des effluents d'élevage, le biogaz </w:t>
      </w:r>
      <w:r>
        <w:rPr>
          <w:lang w:eastAsia="fr-FR" w:bidi="fr-FR"/>
        </w:rPr>
        <w:t xml:space="preserve">et </w:t>
      </w:r>
      <w:r w:rsidRPr="00097AF5">
        <w:rPr>
          <w:lang w:eastAsia="fr-FR" w:bidi="fr-FR"/>
        </w:rPr>
        <w:t>l'optimisation</w:t>
      </w:r>
      <w:r>
        <w:rPr>
          <w:lang w:eastAsia="fr-FR" w:bidi="fr-FR"/>
        </w:rPr>
        <w:t xml:space="preserve"> </w:t>
      </w:r>
      <w:r w:rsidRPr="00097AF5">
        <w:rPr>
          <w:lang w:eastAsia="fr-FR" w:bidi="fr-FR"/>
        </w:rPr>
        <w:t>des sols. Certaines délégations ont proposé de nouvelles mesures telles que l'économie circulaire</w:t>
      </w:r>
      <w:r>
        <w:rPr>
          <w:lang w:eastAsia="fr-FR" w:bidi="fr-FR"/>
        </w:rPr>
        <w:t xml:space="preserve"> ou l'initiative pour les sols</w:t>
      </w:r>
      <w:r w:rsidRPr="00097AF5">
        <w:rPr>
          <w:lang w:eastAsia="fr-FR" w:bidi="fr-FR"/>
        </w:rPr>
        <w:t xml:space="preserve"> "4 pour 1000"</w:t>
      </w:r>
      <w:r>
        <w:rPr>
          <w:lang w:eastAsia="fr-FR" w:bidi="fr-FR"/>
        </w:rPr>
        <w:t xml:space="preserve">, que la délégation française a </w:t>
      </w:r>
      <w:r w:rsidRPr="00097AF5">
        <w:rPr>
          <w:lang w:eastAsia="fr-FR" w:bidi="fr-FR"/>
        </w:rPr>
        <w:t xml:space="preserve">présentée </w:t>
      </w:r>
      <w:r>
        <w:rPr>
          <w:lang w:eastAsia="fr-FR" w:bidi="fr-FR"/>
        </w:rPr>
        <w:t xml:space="preserve">en juillet au Conseil. </w:t>
      </w:r>
      <w:r w:rsidRPr="00097AF5">
        <w:rPr>
          <w:lang w:eastAsia="fr-FR" w:bidi="fr-FR"/>
        </w:rPr>
        <w:t>Plusieurs États membres ont noté que l'incidence de l'agriculture sur le changement climatique est susceptible de varier d'une région à l'autre ou d'une exploitation à l'autre. Certaines délégations ont souligné qu'en tout état de cause, les coûts des mesures adoptées ne devraient pas dépasser les avantages qui en découleraient pour les agriculteurs.</w:t>
      </w:r>
    </w:p>
    <w:p w:rsidR="00290BBA" w:rsidRPr="00097AF5" w:rsidRDefault="00290BBA" w:rsidP="00290BBA">
      <w:pPr>
        <w:rPr>
          <w:lang w:eastAsia="fr-FR" w:bidi="fr-FR"/>
        </w:rPr>
      </w:pPr>
      <w:r w:rsidRPr="00097AF5">
        <w:rPr>
          <w:lang w:eastAsia="fr-FR" w:bidi="fr-FR"/>
        </w:rPr>
        <w:t xml:space="preserve">Le financement de la recherche est essentiel dans ce domaine. À cet égard, le partenariat européen d'innovation pour la productivité et le développement durable de l'agriculture peut jouer un rôle important. Le transfert des connaissances de la recherche vers la pratique agricole ainsi que la participation des agriculteurs </w:t>
      </w:r>
      <w:r>
        <w:rPr>
          <w:lang w:eastAsia="fr-FR" w:bidi="fr-FR"/>
        </w:rPr>
        <w:t xml:space="preserve">sont </w:t>
      </w:r>
      <w:r w:rsidRPr="00097AF5">
        <w:rPr>
          <w:lang w:eastAsia="fr-FR" w:bidi="fr-FR"/>
        </w:rPr>
        <w:t>également décisi</w:t>
      </w:r>
      <w:r>
        <w:rPr>
          <w:lang w:eastAsia="fr-FR" w:bidi="fr-FR"/>
        </w:rPr>
        <w:t>fs</w:t>
      </w:r>
      <w:r w:rsidRPr="00097AF5">
        <w:rPr>
          <w:lang w:eastAsia="fr-FR" w:bidi="fr-FR"/>
        </w:rPr>
        <w:t>.</w:t>
      </w:r>
    </w:p>
    <w:p w:rsidR="00290BBA" w:rsidRPr="00097AF5" w:rsidRDefault="00290BBA" w:rsidP="00290BBA">
      <w:pPr>
        <w:rPr>
          <w:lang w:eastAsia="fr-FR" w:bidi="fr-FR"/>
        </w:rPr>
      </w:pPr>
      <w:r w:rsidRPr="00097AF5">
        <w:rPr>
          <w:lang w:eastAsia="fr-FR" w:bidi="fr-FR"/>
        </w:rPr>
        <w:t>Le président du Conseil "Agriculture" élaborera une lettre informant le président du Conseil "Environnement" des résultats de ce débat.</w:t>
      </w:r>
    </w:p>
    <w:p w:rsidR="00290BBA" w:rsidRPr="003128FD" w:rsidRDefault="00290BBA" w:rsidP="00290BBA">
      <w:pPr>
        <w:pStyle w:val="ItemDebated"/>
        <w:rPr>
          <w:lang w:eastAsia="fr-FR" w:bidi="fr-FR"/>
        </w:rPr>
      </w:pPr>
      <w:r w:rsidRPr="00097AF5">
        <w:rPr>
          <w:lang w:eastAsia="fr-FR" w:bidi="fr-FR"/>
        </w:rPr>
        <w:br w:type="page"/>
      </w:r>
      <w:bookmarkStart w:id="10" w:name="_Toc437011189"/>
      <w:r w:rsidRPr="00097AF5">
        <w:rPr>
          <w:lang w:eastAsia="fr-FR" w:bidi="fr-FR"/>
        </w:rPr>
        <w:t>Divers</w:t>
      </w:r>
      <w:bookmarkEnd w:id="10"/>
    </w:p>
    <w:p w:rsidR="00290BBA" w:rsidRPr="003128FD" w:rsidRDefault="00290BBA" w:rsidP="00290BBA">
      <w:pPr>
        <w:pStyle w:val="Sub-sub-itemDebated"/>
      </w:pPr>
      <w:bookmarkStart w:id="11" w:name="_Toc437011190"/>
      <w:r w:rsidRPr="00097AF5">
        <w:t>Une protection phytosanitaire compatible avec le développement durable</w:t>
      </w:r>
      <w:bookmarkEnd w:id="11"/>
    </w:p>
    <w:p w:rsidR="00290BBA" w:rsidRPr="00097AF5" w:rsidRDefault="00290BBA" w:rsidP="00290BBA">
      <w:pPr>
        <w:rPr>
          <w:rFonts w:ascii="Arial" w:eastAsia="Calibri" w:hAnsi="Arial" w:cs="Arial"/>
          <w:sz w:val="22"/>
          <w:szCs w:val="22"/>
          <w:lang w:eastAsia="fr-FR" w:bidi="fr-FR"/>
        </w:rPr>
      </w:pPr>
      <w:r w:rsidRPr="00097AF5">
        <w:rPr>
          <w:lang w:eastAsia="fr-FR" w:bidi="fr-FR"/>
        </w:rPr>
        <w:t xml:space="preserve">La délégation des Pays-Bas a </w:t>
      </w:r>
      <w:r>
        <w:rPr>
          <w:lang w:eastAsia="fr-FR" w:bidi="fr-FR"/>
        </w:rPr>
        <w:t xml:space="preserve">communiqué aux </w:t>
      </w:r>
      <w:r w:rsidRPr="00097AF5">
        <w:rPr>
          <w:lang w:eastAsia="fr-FR" w:bidi="fr-FR"/>
        </w:rPr>
        <w:t xml:space="preserve">ministres </w:t>
      </w:r>
      <w:r>
        <w:rPr>
          <w:lang w:eastAsia="fr-FR" w:bidi="fr-FR"/>
        </w:rPr>
        <w:t>les dernières informations relatives à une </w:t>
      </w:r>
      <w:r w:rsidRPr="00097AF5">
        <w:rPr>
          <w:lang w:eastAsia="fr-FR" w:bidi="fr-FR"/>
        </w:rPr>
        <w:t xml:space="preserve">initiative visant à accélérer le passage à une protection phytosanitaire compatible avec le développement durable, qu'elle avait présentée au Conseil en juillet </w:t>
      </w:r>
      <w:r w:rsidRPr="00097AF5">
        <w:rPr>
          <w:rFonts w:asciiTheme="majorBidi" w:hAnsiTheme="majorBidi" w:cstheme="majorBidi"/>
          <w:lang w:eastAsia="fr-FR" w:bidi="fr-FR"/>
        </w:rPr>
        <w:t>(doc. </w:t>
      </w:r>
      <w:hyperlink r:id="rId15" w:tooltip="http://data.consilium.europa.eu/doc/document/ST-12769-2015-INIT/en/pdf">
        <w:r w:rsidRPr="0006046C">
          <w:rPr>
            <w:rFonts w:asciiTheme="majorBidi" w:hAnsiTheme="majorBidi" w:cstheme="majorBidi"/>
            <w:i/>
            <w:color w:val="0000FF"/>
            <w:u w:val="single"/>
            <w:lang w:eastAsia="fr-FR" w:bidi="fr-FR"/>
          </w:rPr>
          <w:t>12769/15</w:t>
        </w:r>
      </w:hyperlink>
      <w:r w:rsidRPr="00097AF5">
        <w:rPr>
          <w:rFonts w:asciiTheme="majorBidi" w:hAnsiTheme="majorBidi" w:cstheme="majorBidi"/>
          <w:lang w:eastAsia="fr-FR" w:bidi="fr-FR"/>
        </w:rPr>
        <w:t>).</w:t>
      </w:r>
    </w:p>
    <w:p w:rsidR="00290BBA" w:rsidRPr="00097AF5" w:rsidRDefault="00290BBA" w:rsidP="00290BBA">
      <w:pPr>
        <w:rPr>
          <w:lang w:eastAsia="fr-FR" w:bidi="fr-FR"/>
        </w:rPr>
      </w:pPr>
      <w:r w:rsidRPr="00097AF5">
        <w:rPr>
          <w:lang w:eastAsia="fr-FR" w:bidi="fr-FR"/>
        </w:rPr>
        <w:t xml:space="preserve">Un grand nombre de délégations se sont déclarées favorables à cette initiative, qui a pour but de promouvoir un plus large éventail de mesures et de substances autorisées plus respectueuses de l'environnement, notamment, à titre de substitution, des méthodes et techniques phytosanitaires présentant moins de risques, ainsi que des substances et des produits à faible risque. Elles sont convenues de participer à un groupe d'experts réunissant tous les États membres intéressés, chargé d'étudier les actions à court et à long terme qui pourraient contribuer à rendre plus "verte" la panoplie d'outils dont disposent les exploitants agricoles en matière phytosanitaire. Néanmoins, certains États membres ont </w:t>
      </w:r>
      <w:r>
        <w:rPr>
          <w:lang w:eastAsia="fr-FR" w:bidi="fr-FR"/>
        </w:rPr>
        <w:t xml:space="preserve">déclaré qu'il convenait également de s'intéresser à la compétitivité du secteur et ont demandé que </w:t>
      </w:r>
      <w:r w:rsidRPr="00097AF5">
        <w:rPr>
          <w:lang w:eastAsia="fr-FR" w:bidi="fr-FR"/>
        </w:rPr>
        <w:t>le mandat de ce groupe</w:t>
      </w:r>
      <w:r>
        <w:rPr>
          <w:lang w:eastAsia="fr-FR" w:bidi="fr-FR"/>
        </w:rPr>
        <w:t xml:space="preserve"> soit clairement défini</w:t>
      </w:r>
      <w:r w:rsidRPr="00097AF5">
        <w:rPr>
          <w:lang w:eastAsia="fr-FR" w:bidi="fr-FR"/>
        </w:rPr>
        <w:t>. La Commission a indiqué qu'elle soutenait globalement l'initiative proposée par les Pays</w:t>
      </w:r>
      <w:r w:rsidRPr="00097AF5">
        <w:rPr>
          <w:lang w:eastAsia="fr-FR" w:bidi="fr-FR"/>
        </w:rPr>
        <w:noBreakHyphen/>
        <w:t>Bas.</w:t>
      </w:r>
    </w:p>
    <w:p w:rsidR="00290BBA" w:rsidRPr="003128FD" w:rsidRDefault="00290BBA" w:rsidP="00290BBA">
      <w:pPr>
        <w:pStyle w:val="Sub-sub-itemDebated"/>
      </w:pPr>
      <w:bookmarkStart w:id="12" w:name="_Toc437011191"/>
      <w:r w:rsidRPr="00097AF5">
        <w:t>Nutrition spécialisée</w:t>
      </w:r>
      <w:bookmarkEnd w:id="12"/>
    </w:p>
    <w:p w:rsidR="00290BBA" w:rsidRPr="00097AF5" w:rsidRDefault="00290BBA" w:rsidP="00290BBA">
      <w:pPr>
        <w:rPr>
          <w:lang w:eastAsia="fr-FR" w:bidi="fr-FR"/>
        </w:rPr>
      </w:pPr>
      <w:r w:rsidRPr="00097AF5">
        <w:rPr>
          <w:lang w:eastAsia="fr-FR" w:bidi="fr-FR"/>
        </w:rPr>
        <w:t xml:space="preserve">Les ministres ont pris acte de la demande formulée par la délégation française concernant la poursuite des travaux législatifs relatifs aux denrées alimentaires destinées à une alimentation particulière ("PARNUTs" pour "particular nutritional uses") (doc. </w:t>
      </w:r>
      <w:r w:rsidRPr="00097AF5">
        <w:rPr>
          <w:i/>
          <w:lang w:eastAsia="fr-FR" w:bidi="fr-FR"/>
        </w:rPr>
        <w:t>12735/15</w:t>
      </w:r>
      <w:r w:rsidRPr="00097AF5">
        <w:rPr>
          <w:lang w:eastAsia="fr-FR" w:bidi="fr-FR"/>
        </w:rPr>
        <w:t>).</w:t>
      </w:r>
    </w:p>
    <w:p w:rsidR="00290BBA" w:rsidRPr="00097AF5" w:rsidRDefault="00290BBA" w:rsidP="00290BBA">
      <w:pPr>
        <w:rPr>
          <w:lang w:eastAsia="fr-FR" w:bidi="fr-FR"/>
        </w:rPr>
      </w:pPr>
      <w:r w:rsidRPr="00097AF5">
        <w:rPr>
          <w:lang w:eastAsia="fr-FR" w:bidi="fr-FR"/>
        </w:rPr>
        <w:t>La législation en vigueur sur ces denrées prévoyait la publication, cet été, de deux rapports sur les boissons à base de lait et les produits similaires destinés aux enfants en bas âge et sur les denrées alimentaires destinées aux sportifs. Étant donné que les conclusions de ces rapports ont pour finalité de fournir des orientations en vue de la mise à jour du cadre réglementaire applicable à ces produits, la France et certains autres États membres demandent que ces rapports soient publiés afin d'assurer la poursuite des travaux législatifs sur les denrées alimentaires destinées à une alimentation particulière.</w:t>
      </w:r>
    </w:p>
    <w:p w:rsidR="00290BBA" w:rsidRPr="00097AF5" w:rsidRDefault="00290BBA" w:rsidP="00290BBA">
      <w:pPr>
        <w:rPr>
          <w:lang w:eastAsia="fr-FR" w:bidi="fr-FR"/>
        </w:rPr>
      </w:pPr>
      <w:r w:rsidRPr="00097AF5">
        <w:rPr>
          <w:lang w:eastAsia="fr-FR" w:bidi="fr-FR"/>
        </w:rPr>
        <w:t xml:space="preserve">La Commission a indiqué que la publication de ces rapports </w:t>
      </w:r>
      <w:r>
        <w:rPr>
          <w:lang w:eastAsia="fr-FR" w:bidi="fr-FR"/>
        </w:rPr>
        <w:t xml:space="preserve">avait été </w:t>
      </w:r>
      <w:r w:rsidRPr="00097AF5">
        <w:rPr>
          <w:lang w:eastAsia="fr-FR" w:bidi="fr-FR"/>
        </w:rPr>
        <w:t>retardée, mais qu'elle devait intervenir au cours des prochains mois.</w:t>
      </w:r>
    </w:p>
    <w:p w:rsidR="00290BBA" w:rsidRPr="003128FD" w:rsidRDefault="00290BBA" w:rsidP="00290BBA">
      <w:pPr>
        <w:pStyle w:val="Sub-sub-itemDebated"/>
      </w:pPr>
      <w:r w:rsidRPr="00097AF5">
        <w:rPr>
          <w:lang w:eastAsia="fr-FR" w:bidi="fr-FR"/>
        </w:rPr>
        <w:br w:type="page"/>
      </w:r>
      <w:bookmarkStart w:id="13" w:name="_Toc437011192"/>
      <w:r w:rsidRPr="00097AF5">
        <w:t>Conférence ministérielle - Une agriculture sans OGM en Europe</w:t>
      </w:r>
      <w:bookmarkEnd w:id="13"/>
    </w:p>
    <w:p w:rsidR="00290BBA" w:rsidRPr="00097AF5" w:rsidRDefault="00290BBA" w:rsidP="00290BBA">
      <w:pPr>
        <w:rPr>
          <w:rFonts w:ascii="Arial" w:eastAsia="Calibri" w:hAnsi="Arial" w:cs="Arial"/>
          <w:sz w:val="22"/>
          <w:szCs w:val="22"/>
          <w:lang w:eastAsia="fr-FR" w:bidi="fr-FR"/>
        </w:rPr>
      </w:pPr>
      <w:r w:rsidRPr="00097AF5">
        <w:rPr>
          <w:lang w:eastAsia="fr-FR" w:bidi="fr-FR"/>
        </w:rPr>
        <w:t xml:space="preserve">Les ministres ont été informés par la délégation slovène des résultats d'une conférence ministérielle </w:t>
      </w:r>
      <w:r>
        <w:rPr>
          <w:lang w:eastAsia="fr-FR" w:bidi="fr-FR"/>
        </w:rPr>
        <w:t xml:space="preserve">intitulée </w:t>
      </w:r>
      <w:r w:rsidRPr="00097AF5">
        <w:rPr>
          <w:lang w:eastAsia="fr-FR" w:bidi="fr-FR"/>
        </w:rPr>
        <w:t>"Comment maintenir une agriculture sans OGM en Europe" qui s'est déroulée à Ptuj (Slovénie) le 21 août 2015 (doc. </w:t>
      </w:r>
      <w:hyperlink r:id="rId16" w:tooltip="http://data.consilium.europa.eu/doc/document/ST-12600-2015-REV-1/en/pdf">
        <w:r w:rsidRPr="0006046C">
          <w:rPr>
            <w:rFonts w:asciiTheme="majorBidi" w:hAnsiTheme="majorBidi" w:cstheme="majorBidi"/>
            <w:i/>
            <w:color w:val="0000FF"/>
            <w:u w:val="single"/>
            <w:lang w:eastAsia="fr-FR" w:bidi="fr-FR"/>
          </w:rPr>
          <w:t>12600/1/15 REV 1</w:t>
        </w:r>
      </w:hyperlink>
      <w:r w:rsidRPr="00097AF5">
        <w:rPr>
          <w:lang w:eastAsia="fr-FR" w:bidi="fr-FR"/>
        </w:rPr>
        <w:t>).</w:t>
      </w:r>
    </w:p>
    <w:p w:rsidR="00290BBA" w:rsidRPr="00097AF5" w:rsidRDefault="00290BBA" w:rsidP="00290BBA">
      <w:pPr>
        <w:rPr>
          <w:lang w:eastAsia="fr-FR" w:bidi="fr-FR"/>
        </w:rPr>
      </w:pPr>
      <w:r w:rsidRPr="00097AF5">
        <w:rPr>
          <w:lang w:eastAsia="fr-FR" w:bidi="fr-FR"/>
        </w:rPr>
        <w:t xml:space="preserve">Plusieurs États membres ont souscrit aux conclusions de la conférence en faveur de mesures permettant de valoriser le choix d'une agriculture sans OGM, par exemple l'étiquetage des produits non OGM. Toutefois, certaines délégations ont insisté </w:t>
      </w:r>
      <w:r>
        <w:rPr>
          <w:lang w:eastAsia="fr-FR" w:bidi="fr-FR"/>
        </w:rPr>
        <w:t xml:space="preserve">pour que les messages issus de ces conférences n'affaiblissent pas le </w:t>
      </w:r>
      <w:r w:rsidRPr="00097AF5">
        <w:rPr>
          <w:lang w:eastAsia="fr-FR" w:bidi="fr-FR"/>
        </w:rPr>
        <w:t xml:space="preserve">cadre juridique actuel régissant les OGM ni les évaluations </w:t>
      </w:r>
      <w:r>
        <w:rPr>
          <w:lang w:eastAsia="fr-FR" w:bidi="fr-FR"/>
        </w:rPr>
        <w:t xml:space="preserve">scientifiques </w:t>
      </w:r>
      <w:r w:rsidRPr="00097AF5">
        <w:rPr>
          <w:lang w:eastAsia="fr-FR" w:bidi="fr-FR"/>
        </w:rPr>
        <w:t>réalisées par l'EFSA.</w:t>
      </w:r>
      <w:r>
        <w:rPr>
          <w:lang w:eastAsia="fr-FR" w:bidi="fr-FR"/>
        </w:rPr>
        <w:t xml:space="preserve"> De nombreuses délégations ont rappelé à cette occasion leur choix en matière de culture d'OGM (directive 2015/412) et/ou ont réaffirmé leur opposition quant à la récente proposition relative à l'utilisation de </w:t>
      </w:r>
      <w:r w:rsidRPr="00F978CE">
        <w:rPr>
          <w:lang w:eastAsia="fr-FR" w:bidi="fr-FR"/>
        </w:rPr>
        <w:t xml:space="preserve">denrées alimentaires et </w:t>
      </w:r>
      <w:r>
        <w:rPr>
          <w:lang w:eastAsia="fr-FR" w:bidi="fr-FR"/>
        </w:rPr>
        <w:t>d'</w:t>
      </w:r>
      <w:r w:rsidRPr="00F978CE">
        <w:rPr>
          <w:lang w:eastAsia="fr-FR" w:bidi="fr-FR"/>
        </w:rPr>
        <w:t>aliments pour animaux génétiquement modifiés.</w:t>
      </w:r>
      <w:r>
        <w:rPr>
          <w:lang w:eastAsia="fr-FR" w:bidi="fr-FR"/>
        </w:rPr>
        <w:t xml:space="preserve"> </w:t>
      </w:r>
      <w:r w:rsidRPr="00097AF5">
        <w:rPr>
          <w:lang w:eastAsia="fr-FR" w:bidi="fr-FR"/>
        </w:rPr>
        <w:t xml:space="preserve">La Commission a rappelé que les États membres avaient désormais la possibilité de restreindre </w:t>
      </w:r>
      <w:r>
        <w:rPr>
          <w:lang w:eastAsia="fr-FR" w:bidi="fr-FR"/>
        </w:rPr>
        <w:t xml:space="preserve">ou d'interdire la culture d'OGM, et elle a défendu fermement sa proposition </w:t>
      </w:r>
      <w:r w:rsidRPr="00097AF5">
        <w:rPr>
          <w:lang w:eastAsia="fr-FR" w:bidi="fr-FR"/>
        </w:rPr>
        <w:t>d'étendre cette possibilité à l'utilisation des OGM.</w:t>
      </w:r>
    </w:p>
    <w:p w:rsidR="00290BBA" w:rsidRPr="00097AF5" w:rsidRDefault="00290BBA" w:rsidP="00290BBA">
      <w:pPr>
        <w:rPr>
          <w:lang w:eastAsia="fr-FR" w:bidi="fr-FR"/>
        </w:rPr>
      </w:pPr>
      <w:r w:rsidRPr="00097AF5">
        <w:rPr>
          <w:lang w:eastAsia="fr-FR" w:bidi="fr-FR"/>
        </w:rPr>
        <w:t>Lors de la conférence, des ministres et des représentants de plusieurs pays (Autriche, Bosnie</w:t>
      </w:r>
      <w:r w:rsidRPr="00097AF5">
        <w:rPr>
          <w:lang w:eastAsia="fr-FR" w:bidi="fr-FR"/>
        </w:rPr>
        <w:noBreakHyphen/>
        <w:t>Herzégovine, Chypre, Allemagne, Hongrie, Italie, Kosovo, Lituanie, Luxembourg, ancienne République yougoslave de Macédoine, Pologne, Serbie et Slovénie) ont eu un échange de vues sur la question de savoir si le maintien d'une agriculture sans OGM constitue un défi sur le plan de la compétitivité, mais aussi une opportunité à saisir pour l'agriculture européenne, ainsi que sur les mesures qu'il convient d'adopter à cet égard.</w:t>
      </w:r>
    </w:p>
    <w:p w:rsidR="00290BBA" w:rsidRPr="003128FD" w:rsidRDefault="00290BBA" w:rsidP="00290BBA">
      <w:pPr>
        <w:pStyle w:val="Sub-sub-itemDebated"/>
      </w:pPr>
      <w:bookmarkStart w:id="14" w:name="_Toc437011193"/>
      <w:r w:rsidRPr="00097AF5">
        <w:t>Réunion des ministres de la santé du G7 - Résistance aux antibiotiques</w:t>
      </w:r>
      <w:bookmarkEnd w:id="14"/>
    </w:p>
    <w:p w:rsidR="00290BBA" w:rsidRPr="00097AF5" w:rsidRDefault="00290BBA" w:rsidP="00290BBA">
      <w:pPr>
        <w:rPr>
          <w:lang w:eastAsia="fr-FR" w:bidi="fr-FR"/>
        </w:rPr>
      </w:pPr>
      <w:r w:rsidRPr="00097AF5">
        <w:rPr>
          <w:lang w:eastAsia="fr-FR" w:bidi="fr-FR"/>
        </w:rPr>
        <w:t xml:space="preserve">Le Conseil a été informé par la délégation allemande des résultats d'une réunion des ministres de la santé du G7 qui s'est déroulée à Berlin (Allemagne) les 8 et 9 octobre 2015. À l'ordre du jour de cette réunion figurait un point relatif à la résistance aux antibiotiques. (doc. </w:t>
      </w:r>
      <w:hyperlink r:id="rId17" w:tooltip="http://data.consilium.europa.eu/doc/document/ST-12933-2015-INIT/en/pdf">
        <w:r w:rsidRPr="0006046C">
          <w:rPr>
            <w:i/>
            <w:color w:val="0000FF"/>
            <w:u w:val="single"/>
            <w:lang w:eastAsia="fr-FR" w:bidi="fr-FR"/>
          </w:rPr>
          <w:t>12933/15</w:t>
        </w:r>
      </w:hyperlink>
      <w:r w:rsidRPr="00097AF5">
        <w:rPr>
          <w:lang w:eastAsia="fr-FR" w:bidi="fr-FR"/>
        </w:rPr>
        <w:t>).</w:t>
      </w:r>
    </w:p>
    <w:p w:rsidR="00290BBA" w:rsidRPr="00097AF5" w:rsidRDefault="00290BBA" w:rsidP="00290BBA">
      <w:pPr>
        <w:rPr>
          <w:lang w:eastAsia="fr-FR" w:bidi="fr-FR"/>
        </w:rPr>
      </w:pPr>
      <w:r w:rsidRPr="00097AF5">
        <w:rPr>
          <w:lang w:eastAsia="fr-FR" w:bidi="fr-FR"/>
        </w:rPr>
        <w:t xml:space="preserve">Plusieurs États membres ont apporté leur soutien à l'exposé présenté par l'Allemagne soulignant la nécessité d'établir des mesures dans le secteur de la médecine </w:t>
      </w:r>
      <w:r>
        <w:rPr>
          <w:lang w:eastAsia="fr-FR" w:bidi="fr-FR"/>
        </w:rPr>
        <w:t xml:space="preserve">humaine et de la médecine vétérinaire </w:t>
      </w:r>
      <w:r w:rsidRPr="00097AF5">
        <w:rPr>
          <w:lang w:eastAsia="fr-FR" w:bidi="fr-FR"/>
        </w:rPr>
        <w:t>afin d'assurer une utilisation responsable des antibio</w:t>
      </w:r>
      <w:r>
        <w:rPr>
          <w:lang w:eastAsia="fr-FR" w:bidi="fr-FR"/>
        </w:rPr>
        <w:t>tiques; l'Allemagne a exposé en </w:t>
      </w:r>
      <w:r w:rsidRPr="00097AF5">
        <w:rPr>
          <w:lang w:eastAsia="fr-FR" w:bidi="fr-FR"/>
        </w:rPr>
        <w:t>détail l'expérience qu'elle avait engrangée en s'efforçant de réduire le plus possible l'administration d'antibiotiques aux animaux d'élevage.</w:t>
      </w:r>
    </w:p>
    <w:p w:rsidR="00290BBA" w:rsidRPr="003128FD" w:rsidRDefault="00290BBA" w:rsidP="00290BBA">
      <w:pPr>
        <w:pStyle w:val="Sub-sub-itemDebated"/>
      </w:pPr>
      <w:bookmarkStart w:id="15" w:name="_Toc437011194"/>
      <w:r w:rsidRPr="00097AF5">
        <w:t>Nouvelles techniques pour la culture et l'élevage</w:t>
      </w:r>
      <w:bookmarkEnd w:id="15"/>
    </w:p>
    <w:p w:rsidR="00290BBA" w:rsidRPr="00097AF5" w:rsidRDefault="00290BBA" w:rsidP="00290BBA">
      <w:pPr>
        <w:rPr>
          <w:lang w:eastAsia="fr-FR" w:bidi="fr-FR"/>
        </w:rPr>
      </w:pPr>
      <w:r w:rsidRPr="00097AF5">
        <w:rPr>
          <w:lang w:eastAsia="fr-FR" w:bidi="fr-FR"/>
        </w:rPr>
        <w:t>La délégation allemande a communiqué aux ministres des informations sur le contexte juridique dans lequel s'inscrivent les nouvelles techniques mises au point pour la culture et l'élevage (doc. </w:t>
      </w:r>
      <w:hyperlink r:id="rId18" w:tooltip="http://data.consilium.europa.eu/doc/document/ST-13179-2015-INIT/en/pdf">
        <w:r w:rsidRPr="0006046C">
          <w:rPr>
            <w:i/>
            <w:color w:val="0000FF"/>
            <w:u w:val="single"/>
            <w:lang w:eastAsia="fr-FR" w:bidi="fr-FR"/>
          </w:rPr>
          <w:t>13179/15</w:t>
        </w:r>
      </w:hyperlink>
      <w:r w:rsidRPr="00097AF5">
        <w:rPr>
          <w:lang w:eastAsia="fr-FR" w:bidi="fr-FR"/>
        </w:rPr>
        <w:t>).</w:t>
      </w:r>
    </w:p>
    <w:p w:rsidR="00290BBA" w:rsidRPr="00097AF5" w:rsidRDefault="00290BBA" w:rsidP="00290BBA">
      <w:pPr>
        <w:rPr>
          <w:lang w:eastAsia="fr-FR" w:bidi="fr-FR"/>
        </w:rPr>
      </w:pPr>
      <w:r w:rsidRPr="00097AF5">
        <w:rPr>
          <w:lang w:eastAsia="fr-FR" w:bidi="fr-FR"/>
        </w:rPr>
        <w:t xml:space="preserve">Plusieurs États membres étaient d'accord avec l'Allemagne sur le fait qu'il y a lieu de clarifier le cadre juridique régissant l'utilisation de nouvelles techniques d'élevage. Certaines ont souligné qu'afin de faciliter la recherche et l'innovation, il y avait lieu de ne pas considérer ces nouvelles techniques comme relevant de la </w:t>
      </w:r>
      <w:r>
        <w:rPr>
          <w:lang w:eastAsia="fr-FR" w:bidi="fr-FR"/>
        </w:rPr>
        <w:t xml:space="preserve">législation </w:t>
      </w:r>
      <w:r w:rsidRPr="00097AF5">
        <w:rPr>
          <w:lang w:eastAsia="fr-FR" w:bidi="fr-FR"/>
        </w:rPr>
        <w:t>de l'UE sur les organismes génétiquement modifiés.</w:t>
      </w:r>
      <w:r>
        <w:rPr>
          <w:lang w:eastAsia="fr-FR" w:bidi="fr-FR"/>
        </w:rPr>
        <w:t xml:space="preserve"> La Commission a confirmé qu'elle fournirait une analyse d'ici la fin de l'année.</w:t>
      </w:r>
    </w:p>
    <w:p w:rsidR="00290BBA" w:rsidRPr="003128FD" w:rsidRDefault="00290BBA" w:rsidP="00290BBA">
      <w:pPr>
        <w:pStyle w:val="Sub-sub-itemDebated"/>
      </w:pPr>
      <w:r w:rsidRPr="00097AF5">
        <w:rPr>
          <w:lang w:eastAsia="fr-FR" w:bidi="fr-FR"/>
        </w:rPr>
        <w:br w:type="page"/>
      </w:r>
      <w:bookmarkStart w:id="16" w:name="_Toc437011195"/>
      <w:r w:rsidRPr="00097AF5">
        <w:t>Réunion du groupe de Visegrad - Marchés agricoles</w:t>
      </w:r>
      <w:r>
        <w:t>, chaîne alimentaire et aménagement du territoire</w:t>
      </w:r>
      <w:bookmarkEnd w:id="16"/>
      <w:r>
        <w:t xml:space="preserve"> </w:t>
      </w:r>
    </w:p>
    <w:p w:rsidR="00290BBA" w:rsidRPr="00097AF5" w:rsidRDefault="00290BBA" w:rsidP="00290BBA">
      <w:pPr>
        <w:rPr>
          <w:lang w:eastAsia="fr-FR" w:bidi="fr-FR"/>
        </w:rPr>
      </w:pPr>
      <w:r w:rsidRPr="00097AF5">
        <w:rPr>
          <w:lang w:eastAsia="fr-FR" w:bidi="fr-FR"/>
        </w:rPr>
        <w:t>Le Conseil a pris note des informations communiquées par la délégation tchèque sur les principales conclusions de la réunion des pays du groupe de Visegrad (Pologne, Hongrie, Slovaquie et République tchèque) plus la Bulgarie, l'Autriche, la Roumanie et la Slovénie (V4+4), qui s'est tenue à České Budějovice (République tchèque) le 26 août 2015 (doc. </w:t>
      </w:r>
      <w:hyperlink r:id="rId19" w:tooltip="http://data.consilium.europa.eu/doc/document/ST-12914-2015-INIT/en/pdf">
        <w:r w:rsidRPr="0006046C">
          <w:rPr>
            <w:i/>
            <w:color w:val="0000FF"/>
            <w:u w:val="single"/>
            <w:lang w:eastAsia="fr-FR" w:bidi="fr-FR"/>
          </w:rPr>
          <w:t>12914/15</w:t>
        </w:r>
      </w:hyperlink>
      <w:r w:rsidRPr="00097AF5">
        <w:rPr>
          <w:lang w:eastAsia="fr-FR" w:bidi="fr-FR"/>
        </w:rPr>
        <w:t>).</w:t>
      </w:r>
    </w:p>
    <w:p w:rsidR="00290BBA" w:rsidRPr="00097AF5" w:rsidRDefault="00290BBA" w:rsidP="00290BBA">
      <w:pPr>
        <w:rPr>
          <w:lang w:eastAsia="fr-FR" w:bidi="fr-FR"/>
        </w:rPr>
      </w:pPr>
      <w:r>
        <w:rPr>
          <w:lang w:eastAsia="fr-FR" w:bidi="fr-FR"/>
        </w:rPr>
        <w:t>À</w:t>
      </w:r>
      <w:r w:rsidRPr="00E52E82">
        <w:rPr>
          <w:lang w:eastAsia="fr-FR" w:bidi="fr-FR"/>
        </w:rPr>
        <w:t xml:space="preserve"> l'occasion de la réunion V4-4, les travaux des ministres de l'agriculture de ces pays ont porté principalement sur l'évolution des marchés agricoles (en particulier</w:t>
      </w:r>
      <w:r>
        <w:rPr>
          <w:lang w:eastAsia="fr-FR" w:bidi="fr-FR"/>
        </w:rPr>
        <w:t xml:space="preserve"> celui des produits laitiers), l</w:t>
      </w:r>
      <w:r w:rsidRPr="00E52E82">
        <w:rPr>
          <w:lang w:eastAsia="fr-FR" w:bidi="fr-FR"/>
        </w:rPr>
        <w:t xml:space="preserve">es fraudes dans la chaîne alimentaire et </w:t>
      </w:r>
      <w:r>
        <w:rPr>
          <w:lang w:eastAsia="fr-FR" w:bidi="fr-FR"/>
        </w:rPr>
        <w:t>l</w:t>
      </w:r>
      <w:r w:rsidRPr="00E52E82">
        <w:rPr>
          <w:lang w:eastAsia="fr-FR" w:bidi="fr-FR"/>
        </w:rPr>
        <w:t>es bonnes pratiques en matière d'aménagement du territoire.</w:t>
      </w:r>
      <w:r w:rsidRPr="00097AF5">
        <w:rPr>
          <w:lang w:eastAsia="fr-FR" w:bidi="fr-FR"/>
        </w:rPr>
        <w:t xml:space="preserve"> </w:t>
      </w:r>
      <w:r>
        <w:rPr>
          <w:lang w:eastAsia="fr-FR" w:bidi="fr-FR"/>
        </w:rPr>
        <w:t xml:space="preserve">Pendant la session du Conseil, </w:t>
      </w:r>
      <w:r w:rsidRPr="00E52E82">
        <w:rPr>
          <w:lang w:eastAsia="fr-FR" w:bidi="fr-FR"/>
        </w:rPr>
        <w:t xml:space="preserve">la Commission a rappelé </w:t>
      </w:r>
      <w:r>
        <w:rPr>
          <w:lang w:eastAsia="fr-FR" w:bidi="fr-FR"/>
        </w:rPr>
        <w:t>les mesures qui ont été mises</w:t>
      </w:r>
      <w:r w:rsidRPr="00E52E82">
        <w:rPr>
          <w:lang w:eastAsia="fr-FR" w:bidi="fr-FR"/>
        </w:rPr>
        <w:t xml:space="preserve"> </w:t>
      </w:r>
      <w:r>
        <w:rPr>
          <w:lang w:eastAsia="fr-FR" w:bidi="fr-FR"/>
        </w:rPr>
        <w:t xml:space="preserve">au point </w:t>
      </w:r>
      <w:r w:rsidRPr="00E52E82">
        <w:rPr>
          <w:lang w:eastAsia="fr-FR" w:bidi="fr-FR"/>
        </w:rPr>
        <w:t>récemment pour atténuer les difficultés auxquelles sont confrontés les agriculteurs. En ce qui concerne les fraudes dans la chaîne alimentaire, la Commission</w:t>
      </w:r>
      <w:r>
        <w:rPr>
          <w:lang w:eastAsia="fr-FR" w:bidi="fr-FR"/>
        </w:rPr>
        <w:t xml:space="preserve"> a indiqué qu'elle</w:t>
      </w:r>
      <w:r w:rsidRPr="00E52E82">
        <w:rPr>
          <w:lang w:eastAsia="fr-FR" w:bidi="fr-FR"/>
        </w:rPr>
        <w:t xml:space="preserve"> restait convaincue que la nouvelle plateforme informatique </w:t>
      </w:r>
      <w:r>
        <w:rPr>
          <w:lang w:eastAsia="fr-FR" w:bidi="fr-FR"/>
        </w:rPr>
        <w:t>contribuerait à</w:t>
      </w:r>
      <w:r w:rsidRPr="00E52E82">
        <w:rPr>
          <w:lang w:eastAsia="fr-FR" w:bidi="fr-FR"/>
        </w:rPr>
        <w:t xml:space="preserve"> la lutte contre les </w:t>
      </w:r>
      <w:r>
        <w:rPr>
          <w:lang w:eastAsia="fr-FR" w:bidi="fr-FR"/>
        </w:rPr>
        <w:t>cas</w:t>
      </w:r>
      <w:r w:rsidRPr="00E52E82">
        <w:rPr>
          <w:lang w:eastAsia="fr-FR" w:bidi="fr-FR"/>
        </w:rPr>
        <w:t xml:space="preserve"> transfrontali</w:t>
      </w:r>
      <w:r>
        <w:rPr>
          <w:lang w:eastAsia="fr-FR" w:bidi="fr-FR"/>
        </w:rPr>
        <w:t>ers de non-respect de la réglementation</w:t>
      </w:r>
      <w:r w:rsidRPr="00E52E82">
        <w:rPr>
          <w:lang w:eastAsia="fr-FR" w:bidi="fr-FR"/>
        </w:rPr>
        <w:t xml:space="preserve"> dans la chaîne alimentaire. Par ailleurs, la Commission a soutenu l'idée d'échange</w:t>
      </w:r>
      <w:r>
        <w:rPr>
          <w:lang w:eastAsia="fr-FR" w:bidi="fr-FR"/>
        </w:rPr>
        <w:t>r</w:t>
      </w:r>
      <w:r w:rsidRPr="00E52E82">
        <w:rPr>
          <w:lang w:eastAsia="fr-FR" w:bidi="fr-FR"/>
        </w:rPr>
        <w:t xml:space="preserve"> </w:t>
      </w:r>
      <w:r>
        <w:rPr>
          <w:lang w:eastAsia="fr-FR" w:bidi="fr-FR"/>
        </w:rPr>
        <w:t>l</w:t>
      </w:r>
      <w:r w:rsidRPr="00E52E82">
        <w:rPr>
          <w:lang w:eastAsia="fr-FR" w:bidi="fr-FR"/>
        </w:rPr>
        <w:t>e</w:t>
      </w:r>
      <w:r>
        <w:rPr>
          <w:lang w:eastAsia="fr-FR" w:bidi="fr-FR"/>
        </w:rPr>
        <w:t>s</w:t>
      </w:r>
      <w:r w:rsidRPr="00E52E82">
        <w:rPr>
          <w:lang w:eastAsia="fr-FR" w:bidi="fr-FR"/>
        </w:rPr>
        <w:t xml:space="preserve"> bonnes pratiques nationales.</w:t>
      </w:r>
      <w:r>
        <w:rPr>
          <w:lang w:eastAsia="fr-FR" w:bidi="fr-FR"/>
        </w:rPr>
        <w:t xml:space="preserve"> </w:t>
      </w:r>
    </w:p>
    <w:p w:rsidR="00290BBA" w:rsidRPr="00097AF5" w:rsidRDefault="00290BBA" w:rsidP="00290BBA">
      <w:pPr>
        <w:rPr>
          <w:lang w:eastAsia="fr-FR" w:bidi="fr-FR"/>
        </w:rPr>
        <w:sectPr w:rsidR="00290BBA" w:rsidRPr="00097AF5" w:rsidSect="00265BC9">
          <w:headerReference w:type="first" r:id="rId20"/>
          <w:footerReference w:type="first" r:id="rId21"/>
          <w:footnotePr>
            <w:numRestart w:val="eachPage"/>
          </w:footnotePr>
          <w:pgSz w:w="11907" w:h="16840" w:code="9"/>
          <w:pgMar w:top="1134" w:right="1134" w:bottom="1134" w:left="1134" w:header="567" w:footer="567" w:gutter="0"/>
          <w:cols w:space="708"/>
          <w:docGrid w:linePitch="360"/>
        </w:sectPr>
      </w:pPr>
    </w:p>
    <w:p w:rsidR="006D04B8" w:rsidRDefault="006D04B8" w:rsidP="006D04B8">
      <w:pPr>
        <w:pStyle w:val="ItemsApprovedHeading"/>
      </w:pPr>
      <w:r w:rsidRPr="006D04B8">
        <w:t>AUTRES POINTS APPROUVÉS</w:t>
      </w:r>
    </w:p>
    <w:p w:rsidR="00290BBA" w:rsidRPr="00097AF5" w:rsidRDefault="00290BBA" w:rsidP="00290BBA">
      <w:pPr>
        <w:pStyle w:val="ItemApproved"/>
        <w:rPr>
          <w:lang w:eastAsia="fr-FR" w:bidi="fr-FR"/>
        </w:rPr>
      </w:pPr>
      <w:r w:rsidRPr="00097AF5">
        <w:rPr>
          <w:lang w:eastAsia="fr-FR" w:bidi="fr-FR"/>
        </w:rPr>
        <w:t>AGRICULTURE</w:t>
      </w:r>
    </w:p>
    <w:p w:rsidR="00290BBA" w:rsidRPr="003128FD" w:rsidRDefault="00290BBA" w:rsidP="00290BBA">
      <w:pPr>
        <w:pStyle w:val="Sub-itemApproved"/>
      </w:pPr>
      <w:bookmarkStart w:id="17" w:name="_Toc437011197"/>
      <w:r w:rsidRPr="003128FD">
        <w:t>Mollusques bivalves vivants - Contrôles et critères microbiologiques</w:t>
      </w:r>
      <w:bookmarkEnd w:id="17"/>
    </w:p>
    <w:p w:rsidR="00290BBA" w:rsidRPr="00097AF5" w:rsidRDefault="00290BBA" w:rsidP="00290BBA">
      <w:pPr>
        <w:pStyle w:val="TOC6"/>
        <w:rPr>
          <w:lang w:eastAsia="fr-FR" w:bidi="fr-FR"/>
        </w:rPr>
      </w:pPr>
      <w:r w:rsidRPr="00097AF5">
        <w:rPr>
          <w:lang w:eastAsia="fr-FR" w:bidi="fr-FR"/>
        </w:rPr>
        <w:t>Le Conseil a décidé de ne pas s'opposer à l'adoption des modifications proposées par la Commission à l'annexe II du règlement (CE) nº 854/2004</w:t>
      </w:r>
      <w:r w:rsidRPr="00097AF5">
        <w:rPr>
          <w:b/>
          <w:bCs/>
          <w:noProof/>
          <w:vertAlign w:val="superscript"/>
          <w:lang w:eastAsia="fr-FR" w:bidi="fr-FR"/>
        </w:rPr>
        <w:footnoteReference w:id="3"/>
      </w:r>
      <w:r w:rsidRPr="00097AF5">
        <w:rPr>
          <w:lang w:eastAsia="fr-FR" w:bidi="fr-FR"/>
        </w:rPr>
        <w:t xml:space="preserve"> fixant les règles spécifiques d'organisation des contrôles officiels concernant les produits d'origine animale destinés à la consommation humaine au regard de certaines exigences applicables aux mollusques bivalves, aux échinodermes, aux tuniciers et aux gastéropodes marins vivants et l'annexe I du règlement (CE) nº 2073/2005 concernant les critères microbiologiques applicables aux denrées alimentaires (doc. </w:t>
      </w:r>
      <w:hyperlink r:id="rId22" w:tooltip="http://data.consilium.europa.eu/doc/document/st-11584-2015-init/fr/pdf" w:history="1">
        <w:r w:rsidR="00343C70" w:rsidRPr="0006046C">
          <w:rPr>
            <w:rStyle w:val="Hyperlink"/>
            <w:i/>
            <w:iCs/>
            <w:color w:val="0000FF"/>
            <w:lang w:eastAsia="fr-FR" w:bidi="fr-FR"/>
          </w:rPr>
          <w:t>11584/15</w:t>
        </w:r>
      </w:hyperlink>
      <w:r w:rsidRPr="00097AF5">
        <w:rPr>
          <w:lang w:eastAsia="fr-FR" w:bidi="fr-FR"/>
        </w:rPr>
        <w:t>)</w:t>
      </w:r>
      <w:r>
        <w:rPr>
          <w:lang w:eastAsia="fr-FR" w:bidi="fr-FR"/>
        </w:rPr>
        <w:t>.</w:t>
      </w:r>
    </w:p>
    <w:p w:rsidR="00290BBA" w:rsidRPr="00097AF5" w:rsidRDefault="00290BBA" w:rsidP="00290BBA">
      <w:pPr>
        <w:spacing w:after="120"/>
        <w:rPr>
          <w:lang w:eastAsia="fr-FR" w:bidi="fr-FR"/>
        </w:rPr>
      </w:pPr>
      <w:r w:rsidRPr="00097AF5">
        <w:rPr>
          <w:lang w:eastAsia="fr-FR" w:bidi="fr-FR"/>
        </w:rPr>
        <w:t>Le règlement (CE) nº 854/2004 fixe les règles spécifiques d'organisation des contrôles officiels concernant les produits d'origine animale destinés à la consommation humaine. Il prévoit que les États membres doivent veiller à ce que la production et la mise sur le marché de mollusques bivalves vivants soient soumises à des contrôles officiels tels que prévus à son annexe II. Le règlement prévoit également que l'autorité compétente doit classer les zones de production dans lesquelles elle autorise la récolte des mollusques bivalves vivants en fonction du niveau de contamination fécale. En outre, le règlement (CE) n° 2073/2005</w:t>
      </w:r>
      <w:r w:rsidRPr="00097AF5">
        <w:rPr>
          <w:b/>
          <w:bCs/>
          <w:noProof/>
          <w:vertAlign w:val="superscript"/>
          <w:lang w:eastAsia="fr-FR" w:bidi="fr-FR"/>
        </w:rPr>
        <w:footnoteReference w:id="4"/>
      </w:r>
      <w:r w:rsidRPr="00097AF5">
        <w:rPr>
          <w:lang w:eastAsia="fr-FR" w:bidi="fr-FR"/>
        </w:rPr>
        <w:t xml:space="preserve"> établit les critères microbiologiques applicables à certains micro-organismes, et notamment un critère de sécurité des denrées alimentaires relatif à la présente de l'E. coli dans les mollusques bivalves vivants. Le critère du Codex alimentarius relatif à la présence d'E. coli diffère de celui figurant dans la législation de l'Union européenne.</w:t>
      </w:r>
      <w:r>
        <w:rPr>
          <w:lang w:eastAsia="fr-FR" w:bidi="fr-FR"/>
        </w:rPr>
        <w:t xml:space="preserve"> L</w:t>
      </w:r>
      <w:r w:rsidRPr="00097AF5">
        <w:rPr>
          <w:lang w:eastAsia="fr-FR" w:bidi="fr-FR"/>
        </w:rPr>
        <w:t>a modification en question permet d'aligner le critère de l'UE sur celui du Codex alimentarius, qui permet de mieux déceler les lots non conformes.</w:t>
      </w:r>
    </w:p>
    <w:p w:rsidR="00290BBA" w:rsidRPr="00097AF5" w:rsidRDefault="00290BBA" w:rsidP="00290BBA">
      <w:pPr>
        <w:spacing w:after="120"/>
        <w:rPr>
          <w:lang w:eastAsia="fr-FR" w:bidi="fr-FR"/>
        </w:rPr>
      </w:pPr>
      <w:r w:rsidRPr="00097AF5">
        <w:rPr>
          <w:lang w:eastAsia="fr-FR" w:bidi="fr-FR"/>
        </w:rPr>
        <w:t>Ce règlement de la Commission est soumis à la procédure de réglementation avec contrôle. Cela signifie que, le Conseil ayant à présent donné son accord, la Commission peut adopter le règlement, à moins que le Parlement européen ne s'y oppose.</w:t>
      </w:r>
    </w:p>
    <w:p w:rsidR="00290BBA" w:rsidRPr="003128FD" w:rsidRDefault="00290BBA" w:rsidP="00290BBA">
      <w:pPr>
        <w:pStyle w:val="Sub-itemApproved"/>
      </w:pPr>
      <w:bookmarkStart w:id="18" w:name="_Toc437011198"/>
      <w:r w:rsidRPr="00097AF5">
        <w:t>Pesticides - limites maximales applicables aux résidus</w:t>
      </w:r>
      <w:bookmarkEnd w:id="18"/>
    </w:p>
    <w:p w:rsidR="00290BBA" w:rsidRPr="00097AF5" w:rsidRDefault="00290BBA" w:rsidP="00290BBA">
      <w:pPr>
        <w:spacing w:after="120"/>
        <w:rPr>
          <w:lang w:eastAsia="fr-FR" w:bidi="fr-FR"/>
        </w:rPr>
      </w:pPr>
      <w:r w:rsidRPr="00097AF5">
        <w:rPr>
          <w:lang w:eastAsia="fr-FR" w:bidi="fr-FR"/>
        </w:rPr>
        <w:t>Le Conseil a décidé de ne pas s'opposer à l'adoption de trois règlements de la Commission modifiant les annexes II et III du règlement (CE) n° 396/2005</w:t>
      </w:r>
      <w:r w:rsidRPr="00097AF5">
        <w:rPr>
          <w:b/>
          <w:bCs/>
          <w:noProof/>
          <w:vertAlign w:val="superscript"/>
          <w:lang w:eastAsia="fr-FR" w:bidi="fr-FR"/>
        </w:rPr>
        <w:footnoteReference w:id="5"/>
      </w:r>
      <w:r w:rsidRPr="00097AF5">
        <w:rPr>
          <w:lang w:eastAsia="fr-FR" w:bidi="fr-FR"/>
        </w:rPr>
        <w:t xml:space="preserve"> en ce qui concerne:</w:t>
      </w:r>
    </w:p>
    <w:p w:rsidR="00290BBA" w:rsidRPr="00097AF5" w:rsidRDefault="00290BBA" w:rsidP="00343C70">
      <w:pPr>
        <w:numPr>
          <w:ilvl w:val="0"/>
          <w:numId w:val="1"/>
        </w:numPr>
        <w:spacing w:after="120"/>
        <w:rPr>
          <w:lang w:eastAsia="fr-FR" w:bidi="fr-FR"/>
        </w:rPr>
      </w:pPr>
      <w:r w:rsidRPr="00097AF5">
        <w:rPr>
          <w:lang w:eastAsia="fr-FR" w:bidi="fr-FR"/>
        </w:rPr>
        <w:t xml:space="preserve">les limites maximales applicables aux résidus d'abamectine, de desmédiphame, de dichlorprop-P, d'haloxyfop-P, d'oryzalin et de phenmédiphame présents dans ou sur certains produits (doc. </w:t>
      </w:r>
      <w:hyperlink r:id="rId23" w:tooltip="http://data.consilium.europa.eu/doc/document/st-11892-2015-init/fr/pdf" w:history="1">
        <w:r w:rsidR="00343C70" w:rsidRPr="0006046C">
          <w:rPr>
            <w:rStyle w:val="Hyperlink"/>
            <w:i/>
            <w:iCs/>
            <w:color w:val="0000FF"/>
            <w:lang w:eastAsia="fr-FR" w:bidi="fr-FR"/>
          </w:rPr>
          <w:t>11892/15</w:t>
        </w:r>
      </w:hyperlink>
      <w:r w:rsidRPr="00097AF5">
        <w:rPr>
          <w:lang w:eastAsia="fr-FR" w:bidi="fr-FR"/>
        </w:rPr>
        <w:t xml:space="preserve">); </w:t>
      </w:r>
    </w:p>
    <w:p w:rsidR="00290BBA" w:rsidRPr="00097AF5" w:rsidRDefault="00290BBA" w:rsidP="00290BBA">
      <w:pPr>
        <w:numPr>
          <w:ilvl w:val="0"/>
          <w:numId w:val="1"/>
        </w:numPr>
        <w:spacing w:after="120"/>
        <w:rPr>
          <w:lang w:eastAsia="fr-FR" w:bidi="fr-FR"/>
        </w:rPr>
      </w:pPr>
      <w:r w:rsidRPr="00097AF5">
        <w:rPr>
          <w:lang w:eastAsia="fr-FR" w:bidi="fr-FR"/>
        </w:rPr>
        <w:t>les limites maximales applicables aux résidus de bifénazate, de boscalid, de cyazofamide, de cyromazine, de dazomet, de dithiocarbamates, de fluazifop-P, de mépanipyrim, de metrafenone, de piclorame, de propamocarbe, de pyridaben, de pyriofénone, de sulfoxaflor, de tébuconazole, de tebufenpyrad et de thirame présents dans ou sur certains produits (doc.</w:t>
      </w:r>
      <w:r w:rsidR="00343C70">
        <w:rPr>
          <w:lang w:eastAsia="fr-FR" w:bidi="fr-FR"/>
        </w:rPr>
        <w:t xml:space="preserve"> </w:t>
      </w:r>
      <w:hyperlink r:id="rId24" w:tooltip="http://data.consilium.europa.eu/doc/document/st-11820-2015-init/fr/pdf" w:history="1">
        <w:r w:rsidR="00343C70" w:rsidRPr="0006046C">
          <w:rPr>
            <w:rStyle w:val="Hyperlink"/>
            <w:i/>
            <w:iCs/>
            <w:color w:val="0000FF"/>
            <w:lang w:eastAsia="fr-FR" w:bidi="fr-FR"/>
          </w:rPr>
          <w:t>11820/15</w:t>
        </w:r>
      </w:hyperlink>
      <w:r w:rsidR="00343C70">
        <w:rPr>
          <w:lang w:eastAsia="fr-FR" w:bidi="fr-FR"/>
        </w:rPr>
        <w:t>)</w:t>
      </w:r>
      <w:r w:rsidRPr="00097AF5">
        <w:rPr>
          <w:lang w:eastAsia="fr-FR" w:bidi="fr-FR"/>
        </w:rPr>
        <w:t>;</w:t>
      </w:r>
    </w:p>
    <w:p w:rsidR="00290BBA" w:rsidRPr="00097AF5" w:rsidRDefault="00290BBA" w:rsidP="00290BBA">
      <w:pPr>
        <w:rPr>
          <w:lang w:eastAsia="fr-FR" w:bidi="fr-FR"/>
        </w:rPr>
      </w:pPr>
      <w:r w:rsidRPr="00097AF5">
        <w:rPr>
          <w:lang w:eastAsia="fr-FR" w:bidi="fr-FR"/>
        </w:rPr>
        <w:br w:type="page"/>
        <w:t>Le règlement (CE) n° 396/2005 fixe les teneurs maximales en résidus de pesticides autorisées dans les produits d'origine animale ou végétale destinés à l'alimentation des animaux ou à la consommation humaine. Ces limites maximales de résidus (LMR) comprennent d'une part les LMR propres à des denrées alimentaires particulières ou à des aliments pour animaux particuliers et, de l'autre, une limite générale qui s'applique lorsqu'aucune LMR spécifique n'a été établie. Les demandes de LMR sont communiquées à l'Autorité européenne de sécurité des aliments (EFSA), qui rend un avis scientifique sur chaque nouvelle LMR souhaitée. Sur la base de l'avis de l'EFSA, la Commission propose un règlement tel que ceux qui sont énumérés ci-dessus, afin d'établir une nouvelle LMR ou de modifier ou supprimer une LMR existante, et de modifier en conséquence les annexes du règlement (CE) n° 396/2005.</w:t>
      </w:r>
    </w:p>
    <w:p w:rsidR="00290BBA" w:rsidRPr="00097AF5" w:rsidRDefault="00290BBA" w:rsidP="00290BBA">
      <w:pPr>
        <w:rPr>
          <w:lang w:eastAsia="fr-FR" w:bidi="fr-FR"/>
        </w:rPr>
      </w:pPr>
      <w:r w:rsidRPr="00097AF5">
        <w:rPr>
          <w:lang w:eastAsia="fr-FR" w:bidi="fr-FR"/>
        </w:rPr>
        <w:t>Ces règlements de la Commission sont soumis à la procédure de réglementation avec contrôle. Cela signifie que, le Conseil ayant à présent donné son accord, la Commission peut adopter le règlement, à moins que le Parlement européen ne s'y oppose.</w:t>
      </w:r>
    </w:p>
    <w:p w:rsidR="00290BBA" w:rsidRPr="003128FD" w:rsidRDefault="00290BBA" w:rsidP="00290BBA">
      <w:pPr>
        <w:pStyle w:val="Sub-itemApproved"/>
      </w:pPr>
      <w:bookmarkStart w:id="19" w:name="_Toc437011199"/>
      <w:r w:rsidRPr="00097AF5">
        <w:t>Alimentation animale - Nouveau groupe fonctionnel d'additifs</w:t>
      </w:r>
      <w:bookmarkEnd w:id="19"/>
    </w:p>
    <w:p w:rsidR="00290BBA" w:rsidRPr="00097AF5" w:rsidRDefault="00290BBA" w:rsidP="00290BBA">
      <w:pPr>
        <w:rPr>
          <w:lang w:eastAsia="fr-FR" w:bidi="fr-FR"/>
        </w:rPr>
      </w:pPr>
      <w:r w:rsidRPr="00097AF5">
        <w:rPr>
          <w:lang w:eastAsia="fr-FR" w:bidi="fr-FR"/>
        </w:rPr>
        <w:t xml:space="preserve">Le Conseil a décidé de ne pas s'opposer à l'adoption de modifications proposées par la Commission au règlement (CE) nº 1831/2003 afin d'établir un nouveau groupe fonctionnel d'additifs pour l'alimentation animale (doc. </w:t>
      </w:r>
      <w:hyperlink r:id="rId25" w:tooltip="http://data.consilium.europa.eu/doc/document/st-11580-2015-init/fr/pdf">
        <w:r w:rsidRPr="0006046C">
          <w:rPr>
            <w:i/>
            <w:color w:val="0000FF"/>
            <w:u w:val="single"/>
            <w:lang w:eastAsia="fr-FR" w:bidi="fr-FR"/>
          </w:rPr>
          <w:t>11580/15</w:t>
        </w:r>
      </w:hyperlink>
      <w:r w:rsidRPr="00097AF5">
        <w:rPr>
          <w:lang w:eastAsia="fr-FR" w:bidi="fr-FR"/>
        </w:rPr>
        <w:t>).</w:t>
      </w:r>
    </w:p>
    <w:p w:rsidR="00290BBA" w:rsidRPr="00097AF5" w:rsidRDefault="00290BBA" w:rsidP="00290BBA">
      <w:pPr>
        <w:rPr>
          <w:lang w:eastAsia="fr-FR" w:bidi="fr-FR"/>
        </w:rPr>
      </w:pPr>
      <w:r w:rsidRPr="00097AF5">
        <w:rPr>
          <w:lang w:eastAsia="fr-FR" w:bidi="fr-FR"/>
        </w:rPr>
        <w:t>Le règlement (CE) nº 1831/2003</w:t>
      </w:r>
      <w:r w:rsidRPr="00097AF5">
        <w:rPr>
          <w:b/>
          <w:vertAlign w:val="superscript"/>
          <w:lang w:eastAsia="fr-FR" w:bidi="fr-FR"/>
        </w:rPr>
        <w:footnoteReference w:id="6"/>
      </w:r>
      <w:r w:rsidRPr="00097AF5">
        <w:rPr>
          <w:lang w:eastAsia="fr-FR" w:bidi="fr-FR"/>
        </w:rPr>
        <w:t xml:space="preserve"> relatif aux additifs destinés à l'alimentation des animaux prévoit le classement des additifs pour l'alimentation animale dans des catégories puis leur répartition dans des groupes fonctionnels au sein de ces catégories, selon leurs fonctions et leurs propriétés.</w:t>
      </w:r>
    </w:p>
    <w:p w:rsidR="00290BBA" w:rsidRPr="00097AF5" w:rsidRDefault="00290BBA" w:rsidP="00290BBA">
      <w:pPr>
        <w:rPr>
          <w:lang w:eastAsia="fr-FR" w:bidi="fr-FR"/>
        </w:rPr>
      </w:pPr>
      <w:r w:rsidRPr="00097AF5">
        <w:rPr>
          <w:lang w:eastAsia="fr-FR" w:bidi="fr-FR"/>
        </w:rPr>
        <w:t>À la suite de l'évolution technologique et scientifique, certains additifs pour l'alimentation animale peuvent améliorer les conditions d'hygiène des aliments pour animaux, notamment en réduisant une contamination microbiologique spécifique. De tels additifs pour l'alimentation animale ne pouvant être classés dans aucun des groupes fonctionnels prévus dans le règlement (CE) nº 1831/2003, les modifications proposées créent un nouveau groupe fonctionnel "améliorateurs des conditions d'hygiène" dans la catégorie des additifs technologiques.</w:t>
      </w:r>
    </w:p>
    <w:p w:rsidR="00290BBA" w:rsidRPr="00097AF5" w:rsidRDefault="00290BBA" w:rsidP="00290BBA">
      <w:pPr>
        <w:rPr>
          <w:lang w:eastAsia="fr-FR" w:bidi="fr-FR"/>
        </w:rPr>
      </w:pPr>
      <w:r w:rsidRPr="00097AF5">
        <w:rPr>
          <w:lang w:eastAsia="fr-FR" w:bidi="fr-FR"/>
        </w:rPr>
        <w:t>Ce règlement de la Commission est soumis à la procédure de réglementation avec contrôle. Cela signifie que, le Conseil ayant à présent donné son accord, la Commission peut adopter le règlement, à moins que le Parlement européen ne s'y oppose.</w:t>
      </w:r>
    </w:p>
    <w:p w:rsidR="00290BBA" w:rsidRPr="003128FD" w:rsidRDefault="00290BBA" w:rsidP="00290BBA">
      <w:pPr>
        <w:pStyle w:val="ItemApproved"/>
        <w:rPr>
          <w:lang w:eastAsia="fr-FR" w:bidi="fr-FR"/>
        </w:rPr>
      </w:pPr>
      <w:r w:rsidRPr="00097AF5">
        <w:rPr>
          <w:lang w:eastAsia="fr-FR" w:bidi="fr-FR"/>
        </w:rPr>
        <w:br w:type="page"/>
        <w:t>PÊCHE</w:t>
      </w:r>
    </w:p>
    <w:p w:rsidR="00290BBA" w:rsidRPr="003128FD" w:rsidRDefault="00290BBA" w:rsidP="00290BBA">
      <w:pPr>
        <w:pStyle w:val="Sub-itemApproved"/>
      </w:pPr>
      <w:bookmarkStart w:id="20" w:name="_Toc437011201"/>
      <w:r w:rsidRPr="00097AF5">
        <w:t>UE - Gabon - Négociations en vue du renouvellement du protocole à l'accord</w:t>
      </w:r>
      <w:bookmarkEnd w:id="20"/>
    </w:p>
    <w:p w:rsidR="00290BBA" w:rsidRPr="00097AF5" w:rsidRDefault="00290BBA" w:rsidP="00290BBA">
      <w:pPr>
        <w:rPr>
          <w:lang w:eastAsia="fr-FR" w:bidi="fr-FR"/>
        </w:rPr>
      </w:pPr>
      <w:r w:rsidRPr="00097AF5">
        <w:rPr>
          <w:lang w:eastAsia="fr-FR" w:bidi="fr-FR"/>
        </w:rPr>
        <w:t>Le Conseil a adopté une décision autorisant la Commission à ouvrir des négociations, au nom de l'Union européenne, en vue du renouvellement du protocole fixant les possibilités de pêche et la contrepartie financière prévues dans l'accord de partenariat dans le secteur de la pêche entre l'UE, d'une part, et la République gabonaise, d'autre part.</w:t>
      </w:r>
    </w:p>
    <w:p w:rsidR="00290BBA" w:rsidRPr="00097AF5" w:rsidRDefault="00290BBA" w:rsidP="00290BBA">
      <w:pPr>
        <w:rPr>
          <w:lang w:eastAsia="fr-FR" w:bidi="fr-FR"/>
        </w:rPr>
      </w:pPr>
      <w:r w:rsidRPr="00097AF5">
        <w:rPr>
          <w:lang w:eastAsia="fr-FR" w:bidi="fr-FR"/>
        </w:rPr>
        <w:t>Le nouveau protocole à l'APP entre l'UE et le Gabon devrait être conforme aux conclusions du Conseil du 19 mars 2012 sur la communication relative à la dimension extérieure de la politique commune de la pêche, présentée par la Commission le 13 juillet 2011, ainsi qu'au règlement (UE) n° 1380/2013 relatif à la politique commune de la pêche</w:t>
      </w:r>
      <w:r w:rsidRPr="00097AF5">
        <w:rPr>
          <w:b/>
          <w:vertAlign w:val="superscript"/>
          <w:lang w:eastAsia="fr-FR" w:bidi="fr-FR"/>
        </w:rPr>
        <w:footnoteReference w:id="7"/>
      </w:r>
      <w:r w:rsidRPr="00097AF5">
        <w:rPr>
          <w:lang w:eastAsia="fr-FR" w:bidi="fr-FR"/>
        </w:rPr>
        <w:t>.</w:t>
      </w:r>
    </w:p>
    <w:p w:rsidR="00290BBA" w:rsidRPr="003128FD" w:rsidRDefault="00290BBA" w:rsidP="00290BBA">
      <w:pPr>
        <w:pStyle w:val="ItemApproved"/>
        <w:rPr>
          <w:lang w:eastAsia="fr-FR" w:bidi="fr-FR"/>
        </w:rPr>
      </w:pPr>
      <w:r w:rsidRPr="00097AF5">
        <w:rPr>
          <w:lang w:eastAsia="fr-FR" w:bidi="fr-FR"/>
        </w:rPr>
        <w:t>PROCESSUS DE STABILISATION ET D'ASSOCIATION</w:t>
      </w:r>
    </w:p>
    <w:p w:rsidR="00290BBA" w:rsidRPr="003128FD" w:rsidRDefault="00290BBA" w:rsidP="00290BBA">
      <w:pPr>
        <w:pStyle w:val="Sub-itemApproved"/>
      </w:pPr>
      <w:bookmarkStart w:id="21" w:name="_Toc437011203"/>
      <w:r w:rsidRPr="00097AF5">
        <w:t>Accord de stabilisation et d'association avec le Kosovo</w:t>
      </w:r>
      <w:r w:rsidRPr="003128FD">
        <w:footnoteReference w:customMarkFollows="1" w:id="8"/>
        <w:t>*</w:t>
      </w:r>
      <w:bookmarkEnd w:id="21"/>
    </w:p>
    <w:p w:rsidR="00290BBA" w:rsidRPr="00097AF5" w:rsidRDefault="00290BBA" w:rsidP="00290BBA">
      <w:pPr>
        <w:rPr>
          <w:lang w:eastAsia="fr-FR" w:bidi="fr-FR"/>
        </w:rPr>
      </w:pPr>
      <w:r w:rsidRPr="00097AF5">
        <w:rPr>
          <w:lang w:eastAsia="fr-FR" w:bidi="fr-FR"/>
        </w:rPr>
        <w:t>Le Conseil a autorisé la signature d'un accord de stabilisation et d'association avec le Kosovo.</w:t>
      </w:r>
    </w:p>
    <w:p w:rsidR="00290BBA" w:rsidRPr="003128FD" w:rsidRDefault="00290BBA" w:rsidP="00290BBA">
      <w:pPr>
        <w:pStyle w:val="ItemApproved"/>
        <w:rPr>
          <w:lang w:eastAsia="fr-FR" w:bidi="fr-FR"/>
        </w:rPr>
      </w:pPr>
      <w:r w:rsidRPr="00097AF5">
        <w:rPr>
          <w:lang w:eastAsia="fr-FR" w:bidi="fr-FR"/>
        </w:rPr>
        <w:t>QUESTIONS BUDGÉTAIRES</w:t>
      </w:r>
    </w:p>
    <w:p w:rsidR="00290BBA" w:rsidRPr="003128FD" w:rsidRDefault="00290BBA" w:rsidP="00290BBA">
      <w:pPr>
        <w:pStyle w:val="Sub-itemApproved"/>
      </w:pPr>
      <w:bookmarkStart w:id="22" w:name="_Toc437011205"/>
      <w:r w:rsidRPr="00097AF5">
        <w:t>Règlement financier révisé de l'UE - Alignement sur les nouvelles règles de passation de marchés</w:t>
      </w:r>
      <w:bookmarkEnd w:id="22"/>
    </w:p>
    <w:p w:rsidR="00290BBA" w:rsidRPr="00097AF5" w:rsidRDefault="00290BBA" w:rsidP="00290BBA">
      <w:pPr>
        <w:rPr>
          <w:lang w:eastAsia="fr-FR" w:bidi="fr-FR"/>
        </w:rPr>
      </w:pPr>
      <w:r w:rsidRPr="00097AF5">
        <w:rPr>
          <w:lang w:eastAsia="fr-FR" w:bidi="fr-FR"/>
        </w:rPr>
        <w:t>Le Conseil a adopté un règlement modifiant les règles financières applicables au budget général de l'UE (</w:t>
      </w:r>
      <w:hyperlink r:id="rId26" w:tooltip="http://data.consilium.europa.eu/doc/document/pe-43-2015-init/fr/pdf" w:history="1">
        <w:r w:rsidRPr="0006046C">
          <w:rPr>
            <w:rStyle w:val="Hyperlink"/>
            <w:i/>
            <w:iCs/>
            <w:color w:val="0000FF"/>
            <w:lang w:eastAsia="fr-FR" w:bidi="fr-FR"/>
          </w:rPr>
          <w:t>PE-CONS 43/15</w:t>
        </w:r>
      </w:hyperlink>
      <w:bookmarkStart w:id="23" w:name="_GoBack"/>
      <w:bookmarkEnd w:id="23"/>
      <w:r w:rsidRPr="00097AF5">
        <w:rPr>
          <w:lang w:eastAsia="fr-FR" w:bidi="fr-FR"/>
        </w:rPr>
        <w:t>). Ce nouveau règlement a pour objet d'alig</w:t>
      </w:r>
      <w:r>
        <w:rPr>
          <w:lang w:eastAsia="fr-FR" w:bidi="fr-FR"/>
        </w:rPr>
        <w:t>ner les procédures de passation </w:t>
      </w:r>
      <w:r w:rsidRPr="00097AF5">
        <w:rPr>
          <w:lang w:eastAsia="fr-FR" w:bidi="fr-FR"/>
        </w:rPr>
        <w:t>de marchés suivies par les institutions de l'UE pour attribuer les contrats sur les nouvelles règles de passation de marchés applicables aux États membres</w:t>
      </w:r>
      <w:r>
        <w:rPr>
          <w:lang w:eastAsia="fr-FR" w:bidi="fr-FR"/>
        </w:rPr>
        <w:t>,</w:t>
      </w:r>
      <w:r w:rsidRPr="00097AF5">
        <w:rPr>
          <w:lang w:eastAsia="fr-FR" w:bidi="fr-FR"/>
        </w:rPr>
        <w:t xml:space="preserve"> qui so</w:t>
      </w:r>
      <w:r>
        <w:rPr>
          <w:lang w:eastAsia="fr-FR" w:bidi="fr-FR"/>
        </w:rPr>
        <w:t>nt énoncées dans les directives </w:t>
      </w:r>
      <w:r w:rsidRPr="00097AF5">
        <w:rPr>
          <w:lang w:eastAsia="fr-FR" w:bidi="fr-FR"/>
        </w:rPr>
        <w:t>2014/24/UE et 2014/23/UE.</w:t>
      </w:r>
    </w:p>
    <w:p w:rsidR="00290BBA" w:rsidRPr="00097AF5" w:rsidRDefault="00290BBA" w:rsidP="00290BBA">
      <w:pPr>
        <w:rPr>
          <w:lang w:eastAsia="fr-FR" w:bidi="fr-FR"/>
        </w:rPr>
      </w:pPr>
      <w:r w:rsidRPr="00097AF5">
        <w:rPr>
          <w:lang w:eastAsia="fr-FR" w:bidi="fr-FR"/>
        </w:rPr>
        <w:t>Le règlement financier révisé de l'UE prévoit également un système de détection rapide des risques pour les intérêts financiers de l'UE, tels que la fraude ou la corruption. Il permet également aux institutions de l'UE, dans des cas dûment justifiés, d'exclure un opérateur économique d'une procédure de passation de marché ou d'octroi de subventions.</w:t>
      </w:r>
    </w:p>
    <w:p w:rsidR="00290BBA" w:rsidRPr="003128FD" w:rsidRDefault="00290BBA" w:rsidP="00290BBA">
      <w:pPr>
        <w:pStyle w:val="ItemApproved"/>
        <w:rPr>
          <w:lang w:eastAsia="fr-FR" w:bidi="fr-FR"/>
        </w:rPr>
      </w:pPr>
      <w:r w:rsidRPr="00097AF5">
        <w:rPr>
          <w:lang w:eastAsia="fr-FR" w:bidi="fr-FR"/>
        </w:rPr>
        <w:br w:type="page"/>
        <w:t>POLITIQUE COMMERCIALE</w:t>
      </w:r>
    </w:p>
    <w:p w:rsidR="00290BBA" w:rsidRPr="003128FD" w:rsidRDefault="00290BBA" w:rsidP="00290BBA">
      <w:pPr>
        <w:pStyle w:val="Sub-itemApproved"/>
      </w:pPr>
      <w:bookmarkStart w:id="24" w:name="_Toc437011207"/>
      <w:r w:rsidRPr="00097AF5">
        <w:t>Marchés publics dans le cadre de l'OMC: Ukraine</w:t>
      </w:r>
      <w:bookmarkEnd w:id="24"/>
    </w:p>
    <w:p w:rsidR="00290BBA" w:rsidRPr="00097AF5" w:rsidRDefault="00290BBA" w:rsidP="00290BBA">
      <w:pPr>
        <w:rPr>
          <w:lang w:eastAsia="fr-FR" w:bidi="fr-FR"/>
        </w:rPr>
      </w:pPr>
      <w:r w:rsidRPr="00097AF5">
        <w:rPr>
          <w:lang w:eastAsia="fr-FR" w:bidi="fr-FR"/>
        </w:rPr>
        <w:t>Le Conseil a adopté une décision établissant la position à prendre au nom de l'UE au sein du comité des marchés publics de l'OMC en faveur de l'accession de l'Ukraine à l'accord sur les marchés publics révisé.</w:t>
      </w:r>
    </w:p>
    <w:p w:rsidR="00290BBA" w:rsidRPr="00097AF5" w:rsidRDefault="00290BBA" w:rsidP="00290BBA">
      <w:pPr>
        <w:rPr>
          <w:lang w:eastAsia="fr-FR" w:bidi="fr-FR"/>
        </w:rPr>
      </w:pPr>
      <w:r w:rsidRPr="00097AF5">
        <w:rPr>
          <w:lang w:eastAsia="fr-FR" w:bidi="fr-FR"/>
        </w:rPr>
        <w:t>Les conditions spécifiques de l'accession sont exposées à l'annexe de ladite décision.</w:t>
      </w:r>
    </w:p>
    <w:p w:rsidR="00290BBA" w:rsidRPr="00097AF5" w:rsidRDefault="00290BBA" w:rsidP="00290BBA">
      <w:pPr>
        <w:rPr>
          <w:lang w:eastAsia="fr-FR" w:bidi="fr-FR"/>
        </w:rPr>
      </w:pPr>
      <w:r w:rsidRPr="00097AF5">
        <w:rPr>
          <w:lang w:eastAsia="fr-FR" w:bidi="fr-FR"/>
        </w:rPr>
        <w:t>L'Ukraine a demandé à accéder à l'accord en décembre 2012. Elle a défini ses engagements quant au champ d'application dans son offre finale, présentée le 29 juin 2015.</w:t>
      </w:r>
    </w:p>
    <w:p w:rsidR="00290BBA" w:rsidRPr="003128FD" w:rsidRDefault="00290BBA" w:rsidP="00290BBA">
      <w:pPr>
        <w:pStyle w:val="ItemApproved"/>
        <w:rPr>
          <w:lang w:eastAsia="fr-FR" w:bidi="fr-FR"/>
        </w:rPr>
      </w:pPr>
      <w:r w:rsidRPr="00097AF5">
        <w:rPr>
          <w:lang w:eastAsia="fr-FR" w:bidi="fr-FR"/>
        </w:rPr>
        <w:t>POLITIQUE ÉTRANGÈRE</w:t>
      </w:r>
    </w:p>
    <w:p w:rsidR="00290BBA" w:rsidRPr="003128FD" w:rsidRDefault="00290BBA" w:rsidP="00290BBA">
      <w:pPr>
        <w:pStyle w:val="Sub-itemApproved"/>
      </w:pPr>
      <w:bookmarkStart w:id="25" w:name="_Toc437011209"/>
      <w:r w:rsidRPr="00097AF5">
        <w:t>Mécanisme de signalement mondial des armes de petit calibre et des armes légères</w:t>
      </w:r>
      <w:bookmarkEnd w:id="25"/>
    </w:p>
    <w:p w:rsidR="00290BBA" w:rsidRPr="00097AF5" w:rsidRDefault="00290BBA" w:rsidP="00290BBA">
      <w:pPr>
        <w:rPr>
          <w:rFonts w:asciiTheme="majorBidi" w:hAnsiTheme="majorBidi" w:cstheme="majorBidi"/>
          <w:lang w:eastAsia="fr-FR" w:bidi="fr-FR"/>
        </w:rPr>
      </w:pPr>
      <w:r w:rsidRPr="00097AF5">
        <w:rPr>
          <w:lang w:eastAsia="fr-FR" w:bidi="fr-FR"/>
        </w:rPr>
        <w:t>Le Conseil a adopté une décision appuyant un mécanisme de signalement mon</w:t>
      </w:r>
      <w:r>
        <w:rPr>
          <w:lang w:eastAsia="fr-FR" w:bidi="fr-FR"/>
        </w:rPr>
        <w:t>dial des armes de </w:t>
      </w:r>
      <w:r w:rsidRPr="00097AF5">
        <w:rPr>
          <w:lang w:eastAsia="fr-FR" w:bidi="fr-FR"/>
        </w:rPr>
        <w:t xml:space="preserve">petit calibre et des armes légères et d'autres armes conventionnelles illicites et de leurs munitions destiné à réduire le risque de leur commerce illicite </w:t>
      </w:r>
      <w:r w:rsidRPr="00097AF5">
        <w:rPr>
          <w:sz w:val="23"/>
          <w:lang w:eastAsia="fr-FR" w:bidi="fr-FR"/>
        </w:rPr>
        <w:t>("iTrace II").</w:t>
      </w:r>
      <w:r w:rsidRPr="00097AF5">
        <w:rPr>
          <w:rFonts w:asciiTheme="majorBidi" w:hAnsiTheme="majorBidi" w:cstheme="majorBidi"/>
          <w:lang w:eastAsia="fr-FR" w:bidi="fr-FR"/>
        </w:rPr>
        <w:t xml:space="preserve"> L'UE octroiera un concours financier d'un montant de 2,52 millions EUR à l'appui du mécanisme. Cette décision s'inscrit dans le cadre d'une stratégie plus large de l'UE visant à lutter contre l'accumulation illicite et le trafic d'ALPC.</w:t>
      </w:r>
    </w:p>
    <w:p w:rsidR="00290BBA" w:rsidRPr="003128FD" w:rsidRDefault="00290BBA" w:rsidP="00290BBA">
      <w:pPr>
        <w:pStyle w:val="ItemApproved"/>
        <w:rPr>
          <w:lang w:eastAsia="fr-FR" w:bidi="fr-FR"/>
        </w:rPr>
      </w:pPr>
      <w:r w:rsidRPr="00097AF5">
        <w:rPr>
          <w:lang w:eastAsia="fr-FR" w:bidi="fr-FR"/>
        </w:rPr>
        <w:t>LÉGISLATION ALIMENTAIRE</w:t>
      </w:r>
    </w:p>
    <w:p w:rsidR="00290BBA" w:rsidRPr="003128FD" w:rsidRDefault="00290BBA" w:rsidP="00290BBA">
      <w:pPr>
        <w:pStyle w:val="Sub-itemApproved"/>
      </w:pPr>
      <w:bookmarkStart w:id="26" w:name="_Toc437011211"/>
      <w:r w:rsidRPr="00097AF5">
        <w:t>Retrait d'une substance aromatisante de la liste des substances autorisées</w:t>
      </w:r>
      <w:bookmarkEnd w:id="26"/>
    </w:p>
    <w:p w:rsidR="00290BBA" w:rsidRPr="00097AF5" w:rsidRDefault="00290BBA" w:rsidP="00290BBA">
      <w:pPr>
        <w:rPr>
          <w:lang w:eastAsia="fr-FR" w:bidi="fr-FR"/>
        </w:rPr>
      </w:pPr>
      <w:r w:rsidRPr="00097AF5">
        <w:rPr>
          <w:lang w:eastAsia="fr-FR" w:bidi="fr-FR"/>
        </w:rPr>
        <w:t xml:space="preserve">Le Conseil a décidé de ne pas s'opposer à l'adoption d'un règlement de la Commission supprimant la substance aromatisante </w:t>
      </w:r>
      <w:r w:rsidRPr="00097AF5">
        <w:rPr>
          <w:i/>
          <w:lang w:eastAsia="fr-FR" w:bidi="fr-FR"/>
        </w:rPr>
        <w:t>p</w:t>
      </w:r>
      <w:r w:rsidRPr="00097AF5">
        <w:rPr>
          <w:lang w:eastAsia="fr-FR" w:bidi="fr-FR"/>
        </w:rPr>
        <w:t xml:space="preserve">-mentha-1,8-dien-7-al de la liste de l'UE des arômes dont l'utilisation dans et sur les denrées alimentaires est autorisée (doc. </w:t>
      </w:r>
      <w:hyperlink r:id="rId27" w:tooltip="http://data.consilium.europa.eu/doc/document/st-12626-2015-init/fr/pdf">
        <w:r w:rsidRPr="0006046C">
          <w:rPr>
            <w:i/>
            <w:color w:val="0000FF"/>
            <w:u w:val="single"/>
            <w:lang w:eastAsia="fr-FR" w:bidi="fr-FR"/>
          </w:rPr>
          <w:t>12626/15</w:t>
        </w:r>
      </w:hyperlink>
      <w:r w:rsidRPr="00097AF5">
        <w:rPr>
          <w:lang w:eastAsia="fr-FR" w:bidi="fr-FR"/>
        </w:rPr>
        <w:t>).</w:t>
      </w:r>
    </w:p>
    <w:p w:rsidR="00290BBA" w:rsidRPr="00097AF5" w:rsidRDefault="00290BBA" w:rsidP="00290BBA">
      <w:pPr>
        <w:rPr>
          <w:lang w:eastAsia="fr-FR" w:bidi="fr-FR"/>
        </w:rPr>
      </w:pPr>
      <w:r w:rsidRPr="00097AF5">
        <w:rPr>
          <w:lang w:eastAsia="fr-FR" w:bidi="fr-FR"/>
        </w:rPr>
        <w:t>La Commission a élaboré le règlement à la suite de l'évaluation de nouvelles données par l'Autorité européenne de sécurité des aliments. Dans son avis scientifique du 24 juin 2015, l'EFSA conclut que le p-mentha-1,8-dién-7-al est génotoxique in vivo et que, par conséquent, son utilisation en tant que substance aromatisante pose un problème de sécurité.</w:t>
      </w:r>
    </w:p>
    <w:p w:rsidR="006D04B8" w:rsidRDefault="00290BBA" w:rsidP="00290BBA">
      <w:r w:rsidRPr="00097AF5">
        <w:rPr>
          <w:lang w:eastAsia="fr-FR" w:bidi="fr-FR"/>
        </w:rPr>
        <w:t xml:space="preserve">Ce règlement de la Commission est soumis à la procédure de réglementation avec contrôle. Cela signifie que, le Conseil ayant donné son accord, la Commission peut à </w:t>
      </w:r>
      <w:r>
        <w:rPr>
          <w:lang w:eastAsia="fr-FR" w:bidi="fr-FR"/>
        </w:rPr>
        <w:t>présent adopter la directive, à </w:t>
      </w:r>
      <w:r w:rsidRPr="00097AF5">
        <w:rPr>
          <w:lang w:eastAsia="fr-FR" w:bidi="fr-FR"/>
        </w:rPr>
        <w:t>moins que le Pa</w:t>
      </w:r>
      <w:r>
        <w:rPr>
          <w:lang w:eastAsia="fr-FR" w:bidi="fr-FR"/>
        </w:rPr>
        <w:t>rlement européen ne s'y oppose.</w:t>
      </w:r>
    </w:p>
    <w:p w:rsidR="00895676" w:rsidRPr="006D04B8" w:rsidRDefault="00895676" w:rsidP="006D04B8">
      <w:pPr>
        <w:pStyle w:val="FinalLine"/>
      </w:pPr>
    </w:p>
    <w:sectPr w:rsidR="00895676" w:rsidRPr="006D04B8" w:rsidSect="00265BC9">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4B8" w:rsidRDefault="006D04B8">
      <w:pPr>
        <w:spacing w:before="0" w:after="0"/>
      </w:pPr>
      <w:r>
        <w:separator/>
      </w:r>
    </w:p>
  </w:endnote>
  <w:endnote w:type="continuationSeparator" w:id="0">
    <w:p w:rsidR="006D04B8" w:rsidRDefault="006D04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265BC9" w:rsidRPr="007410E8" w:rsidTr="00265BC9">
      <w:trPr>
        <w:jc w:val="center"/>
      </w:trPr>
      <w:tc>
        <w:tcPr>
          <w:tcW w:w="2604" w:type="pct"/>
          <w:shd w:val="clear" w:color="auto" w:fill="auto"/>
        </w:tcPr>
        <w:p w:rsidR="00265BC9" w:rsidRPr="007410E8" w:rsidRDefault="00265BC9" w:rsidP="0035025C">
          <w:pPr>
            <w:pStyle w:val="FooterText"/>
            <w:rPr>
              <w:sz w:val="16"/>
              <w:szCs w:val="16"/>
            </w:rPr>
          </w:pPr>
          <w:bookmarkStart w:id="1" w:name="FOOTER_PR_STANDARD"/>
        </w:p>
      </w:tc>
      <w:tc>
        <w:tcPr>
          <w:tcW w:w="1319" w:type="pct"/>
          <w:shd w:val="clear" w:color="auto" w:fill="auto"/>
        </w:tcPr>
        <w:p w:rsidR="00265BC9" w:rsidRPr="007410E8" w:rsidRDefault="00265BC9" w:rsidP="0035025C">
          <w:pPr>
            <w:pStyle w:val="FooterText"/>
            <w:rPr>
              <w:sz w:val="16"/>
              <w:szCs w:val="16"/>
            </w:rPr>
          </w:pPr>
        </w:p>
      </w:tc>
      <w:tc>
        <w:tcPr>
          <w:tcW w:w="1077" w:type="pct"/>
          <w:shd w:val="clear" w:color="auto" w:fill="auto"/>
        </w:tcPr>
        <w:p w:rsidR="00265BC9" w:rsidRPr="007410E8" w:rsidRDefault="00265BC9" w:rsidP="0035025C">
          <w:pPr>
            <w:pStyle w:val="FooterText"/>
            <w:jc w:val="right"/>
            <w:rPr>
              <w:sz w:val="16"/>
              <w:szCs w:val="16"/>
            </w:rPr>
          </w:pPr>
        </w:p>
      </w:tc>
    </w:tr>
    <w:tr w:rsidR="00265BC9" w:rsidRPr="007410E8" w:rsidTr="00265BC9">
      <w:trPr>
        <w:jc w:val="center"/>
      </w:trPr>
      <w:tc>
        <w:tcPr>
          <w:tcW w:w="2604" w:type="pct"/>
          <w:shd w:val="clear" w:color="auto" w:fill="auto"/>
        </w:tcPr>
        <w:p w:rsidR="00265BC9" w:rsidRPr="007410E8" w:rsidRDefault="00265BC9" w:rsidP="0035025C">
          <w:pPr>
            <w:pStyle w:val="FooterText"/>
            <w:rPr>
              <w:sz w:val="16"/>
            </w:rPr>
          </w:pPr>
          <w:r>
            <w:t>13328/15</w:t>
          </w:r>
          <w:r w:rsidRPr="002511D8">
            <w:t xml:space="preserve"> </w:t>
          </w:r>
        </w:p>
      </w:tc>
      <w:tc>
        <w:tcPr>
          <w:tcW w:w="1319" w:type="pct"/>
          <w:shd w:val="clear" w:color="auto" w:fill="auto"/>
        </w:tcPr>
        <w:p w:rsidR="00265BC9" w:rsidRPr="007410E8" w:rsidRDefault="00265BC9" w:rsidP="0035025C">
          <w:pPr>
            <w:pStyle w:val="FooterText"/>
            <w:rPr>
              <w:sz w:val="16"/>
            </w:rPr>
          </w:pPr>
        </w:p>
      </w:tc>
      <w:tc>
        <w:tcPr>
          <w:tcW w:w="1077" w:type="pct"/>
          <w:shd w:val="clear" w:color="auto" w:fill="auto"/>
        </w:tcPr>
        <w:p w:rsidR="00265BC9" w:rsidRPr="007410E8" w:rsidRDefault="00265BC9" w:rsidP="0035025C">
          <w:pPr>
            <w:pStyle w:val="FooterText"/>
            <w:jc w:val="right"/>
            <w:rPr>
              <w:sz w:val="16"/>
            </w:rPr>
          </w:pPr>
          <w:r>
            <w:fldChar w:fldCharType="begin"/>
          </w:r>
          <w:r>
            <w:instrText xml:space="preserve"> PAGE  \* MERGEFORMAT </w:instrText>
          </w:r>
          <w:r>
            <w:fldChar w:fldCharType="separate"/>
          </w:r>
          <w:r w:rsidR="000F4503">
            <w:rPr>
              <w:noProof/>
            </w:rPr>
            <w:t>14</w:t>
          </w:r>
          <w:r>
            <w:fldChar w:fldCharType="end"/>
          </w:r>
        </w:p>
      </w:tc>
    </w:tr>
    <w:tr w:rsidR="00265BC9" w:rsidRPr="007410E8" w:rsidTr="00265BC9">
      <w:trPr>
        <w:jc w:val="center"/>
      </w:trPr>
      <w:tc>
        <w:tcPr>
          <w:tcW w:w="2604" w:type="pct"/>
          <w:shd w:val="clear" w:color="auto" w:fill="auto"/>
        </w:tcPr>
        <w:p w:rsidR="00265BC9" w:rsidRPr="007410E8" w:rsidRDefault="00265BC9" w:rsidP="0035025C">
          <w:pPr>
            <w:pStyle w:val="FooterText"/>
            <w:rPr>
              <w:sz w:val="16"/>
            </w:rPr>
          </w:pPr>
        </w:p>
      </w:tc>
      <w:tc>
        <w:tcPr>
          <w:tcW w:w="1319" w:type="pct"/>
          <w:shd w:val="clear" w:color="auto" w:fill="auto"/>
        </w:tcPr>
        <w:p w:rsidR="00265BC9" w:rsidRPr="007410E8" w:rsidRDefault="00265BC9" w:rsidP="0035025C">
          <w:pPr>
            <w:pStyle w:val="FooterText"/>
            <w:rPr>
              <w:sz w:val="16"/>
            </w:rPr>
          </w:pPr>
        </w:p>
      </w:tc>
      <w:tc>
        <w:tcPr>
          <w:tcW w:w="1077" w:type="pct"/>
          <w:shd w:val="clear" w:color="auto" w:fill="auto"/>
        </w:tcPr>
        <w:p w:rsidR="00265BC9" w:rsidRPr="007410E8" w:rsidRDefault="00265BC9" w:rsidP="0035025C">
          <w:pPr>
            <w:pStyle w:val="FooterText"/>
            <w:jc w:val="right"/>
            <w:rPr>
              <w:sz w:val="16"/>
            </w:rPr>
          </w:pPr>
          <w:r>
            <w:rPr>
              <w:b/>
              <w:position w:val="-4"/>
              <w:sz w:val="36"/>
            </w:rPr>
            <w:t>FR</w:t>
          </w:r>
        </w:p>
      </w:tc>
    </w:tr>
    <w:bookmarkEnd w:id="1"/>
  </w:tbl>
  <w:p w:rsidR="00926EAF" w:rsidRPr="00265BC9" w:rsidRDefault="00926EAF" w:rsidP="00265BC9">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265BC9" w:rsidRPr="009C2FB3" w:rsidTr="00265BC9">
      <w:trPr>
        <w:jc w:val="center"/>
      </w:trPr>
      <w:tc>
        <w:tcPr>
          <w:tcW w:w="569" w:type="pct"/>
          <w:shd w:val="clear" w:color="auto" w:fill="auto"/>
        </w:tcPr>
        <w:p w:rsidR="00265BC9" w:rsidRPr="009C2FB3" w:rsidRDefault="00265BC9" w:rsidP="0035025C">
          <w:pPr>
            <w:pStyle w:val="FooterText"/>
          </w:pPr>
          <w:bookmarkStart w:id="2" w:name="FOOTER_PR_COVERPAGE"/>
        </w:p>
      </w:tc>
      <w:tc>
        <w:tcPr>
          <w:tcW w:w="3760" w:type="pct"/>
          <w:gridSpan w:val="3"/>
          <w:shd w:val="clear" w:color="auto" w:fill="auto"/>
          <w:noWrap/>
        </w:tcPr>
        <w:p w:rsidR="00265BC9" w:rsidRPr="00F37CD6" w:rsidRDefault="00265BC9"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265BC9" w:rsidRPr="009C2FB3" w:rsidRDefault="00265BC9" w:rsidP="0035025C">
          <w:pPr>
            <w:pStyle w:val="FooterText"/>
          </w:pPr>
        </w:p>
      </w:tc>
    </w:tr>
    <w:tr w:rsidR="00265BC9" w:rsidRPr="007410E8" w:rsidTr="00265BC9">
      <w:trPr>
        <w:jc w:val="center"/>
      </w:trPr>
      <w:tc>
        <w:tcPr>
          <w:tcW w:w="5000" w:type="pct"/>
          <w:gridSpan w:val="5"/>
          <w:shd w:val="clear" w:color="auto" w:fill="auto"/>
        </w:tcPr>
        <w:p w:rsidR="00265BC9" w:rsidRPr="00265BC9" w:rsidRDefault="00265BC9" w:rsidP="0035025C">
          <w:pPr>
            <w:pStyle w:val="FooterAddressText"/>
            <w:rPr>
              <w:lang w:val="fr-BE"/>
            </w:rPr>
          </w:pPr>
        </w:p>
        <w:p w:rsidR="00265BC9" w:rsidRPr="007410E8" w:rsidRDefault="00265BC9" w:rsidP="0035025C">
          <w:pPr>
            <w:pStyle w:val="FooterAddressText"/>
          </w:pPr>
          <w:r w:rsidRPr="00265BC9">
            <w:rPr>
              <w:lang w:val="fr-BE"/>
            </w:rPr>
            <w:t xml:space="preserve">Rue de la Loi 175  B – 1048 BRUXELLES  Tél. </w:t>
          </w:r>
          <w:r>
            <w:t>+32 (0)2 281 6319 / 6319  Fax +32 (0)2 281 8026</w:t>
          </w:r>
        </w:p>
      </w:tc>
    </w:tr>
    <w:tr w:rsidR="00265BC9" w:rsidRPr="007410E8" w:rsidTr="00265BC9">
      <w:trPr>
        <w:jc w:val="center"/>
      </w:trPr>
      <w:tc>
        <w:tcPr>
          <w:tcW w:w="5000" w:type="pct"/>
          <w:gridSpan w:val="5"/>
          <w:shd w:val="clear" w:color="auto" w:fill="auto"/>
        </w:tcPr>
        <w:p w:rsidR="00265BC9" w:rsidRPr="00265BC9" w:rsidRDefault="00265BC9" w:rsidP="0035025C">
          <w:pPr>
            <w:pStyle w:val="FooterText"/>
            <w:jc w:val="center"/>
            <w:rPr>
              <w:sz w:val="20"/>
              <w:szCs w:val="20"/>
              <w:lang w:val="fr-FR"/>
            </w:rPr>
          </w:pPr>
          <w:hyperlink r:id="rId1" w:history="1">
            <w:r w:rsidRPr="00265BC9">
              <w:rPr>
                <w:rStyle w:val="Hyperlink"/>
                <w:sz w:val="20"/>
                <w:lang w:val="fr-FR"/>
              </w:rPr>
              <w:t>press.office@consilium.europa.eu</w:t>
            </w:r>
          </w:hyperlink>
          <w:r w:rsidRPr="00265BC9">
            <w:rPr>
              <w:sz w:val="20"/>
              <w:szCs w:val="20"/>
              <w:lang w:val="fr-FR"/>
            </w:rPr>
            <w:t xml:space="preserve">  </w:t>
          </w:r>
          <w:hyperlink r:id="rId2" w:history="1">
            <w:r w:rsidRPr="00265BC9">
              <w:rPr>
                <w:rStyle w:val="Hyperlink"/>
                <w:sz w:val="20"/>
                <w:lang w:val="fr-FR"/>
              </w:rPr>
              <w:t>http://www.consilium.europa.eu/press</w:t>
            </w:r>
          </w:hyperlink>
        </w:p>
      </w:tc>
    </w:tr>
    <w:tr w:rsidR="00265BC9" w:rsidRPr="007410E8" w:rsidTr="00265BC9">
      <w:trPr>
        <w:jc w:val="center"/>
      </w:trPr>
      <w:tc>
        <w:tcPr>
          <w:tcW w:w="2604" w:type="pct"/>
          <w:gridSpan w:val="2"/>
          <w:shd w:val="clear" w:color="auto" w:fill="auto"/>
        </w:tcPr>
        <w:p w:rsidR="00265BC9" w:rsidRPr="007410E8" w:rsidRDefault="00265BC9" w:rsidP="0035025C">
          <w:pPr>
            <w:pStyle w:val="FooterText"/>
            <w:spacing w:before="60"/>
            <w:rPr>
              <w:sz w:val="16"/>
            </w:rPr>
          </w:pPr>
          <w:r>
            <w:t>13328/15</w:t>
          </w:r>
          <w:r w:rsidRPr="002511D8">
            <w:t xml:space="preserve"> </w:t>
          </w:r>
        </w:p>
      </w:tc>
      <w:tc>
        <w:tcPr>
          <w:tcW w:w="1319" w:type="pct"/>
          <w:shd w:val="clear" w:color="auto" w:fill="auto"/>
        </w:tcPr>
        <w:p w:rsidR="00265BC9" w:rsidRPr="007410E8" w:rsidRDefault="00265BC9" w:rsidP="0035025C">
          <w:pPr>
            <w:pStyle w:val="FooterText"/>
            <w:spacing w:before="120"/>
            <w:rPr>
              <w:sz w:val="16"/>
            </w:rPr>
          </w:pPr>
        </w:p>
      </w:tc>
      <w:tc>
        <w:tcPr>
          <w:tcW w:w="1077" w:type="pct"/>
          <w:gridSpan w:val="2"/>
          <w:shd w:val="clear" w:color="auto" w:fill="auto"/>
        </w:tcPr>
        <w:p w:rsidR="00265BC9" w:rsidRPr="007410E8" w:rsidRDefault="00265BC9" w:rsidP="0035025C">
          <w:pPr>
            <w:pStyle w:val="FooterText"/>
            <w:spacing w:before="60"/>
            <w:jc w:val="right"/>
            <w:rPr>
              <w:sz w:val="16"/>
            </w:rPr>
          </w:pPr>
          <w:r>
            <w:fldChar w:fldCharType="begin"/>
          </w:r>
          <w:r>
            <w:instrText xml:space="preserve"> PAGE  \* MERGEFORMAT </w:instrText>
          </w:r>
          <w:r>
            <w:fldChar w:fldCharType="separate"/>
          </w:r>
          <w:r w:rsidR="000F4503">
            <w:rPr>
              <w:noProof/>
            </w:rPr>
            <w:t>1</w:t>
          </w:r>
          <w:r>
            <w:fldChar w:fldCharType="end"/>
          </w:r>
        </w:p>
      </w:tc>
    </w:tr>
    <w:tr w:rsidR="00265BC9" w:rsidRPr="007410E8" w:rsidTr="00265BC9">
      <w:trPr>
        <w:jc w:val="center"/>
      </w:trPr>
      <w:tc>
        <w:tcPr>
          <w:tcW w:w="2604" w:type="pct"/>
          <w:gridSpan w:val="2"/>
          <w:shd w:val="clear" w:color="auto" w:fill="auto"/>
        </w:tcPr>
        <w:p w:rsidR="00265BC9" w:rsidRPr="007410E8" w:rsidRDefault="00265BC9" w:rsidP="0035025C">
          <w:pPr>
            <w:pStyle w:val="FooterText"/>
            <w:rPr>
              <w:sz w:val="16"/>
            </w:rPr>
          </w:pPr>
        </w:p>
      </w:tc>
      <w:tc>
        <w:tcPr>
          <w:tcW w:w="1319" w:type="pct"/>
          <w:shd w:val="clear" w:color="auto" w:fill="auto"/>
        </w:tcPr>
        <w:p w:rsidR="00265BC9" w:rsidRPr="007410E8" w:rsidRDefault="00265BC9" w:rsidP="0035025C">
          <w:pPr>
            <w:pStyle w:val="FooterText"/>
            <w:rPr>
              <w:sz w:val="16"/>
            </w:rPr>
          </w:pPr>
        </w:p>
      </w:tc>
      <w:tc>
        <w:tcPr>
          <w:tcW w:w="1077" w:type="pct"/>
          <w:gridSpan w:val="2"/>
          <w:shd w:val="clear" w:color="auto" w:fill="auto"/>
        </w:tcPr>
        <w:p w:rsidR="00265BC9" w:rsidRPr="007410E8" w:rsidRDefault="00265BC9" w:rsidP="0035025C">
          <w:pPr>
            <w:pStyle w:val="FooterText"/>
            <w:jc w:val="right"/>
            <w:rPr>
              <w:sz w:val="16"/>
            </w:rPr>
          </w:pPr>
          <w:r>
            <w:rPr>
              <w:b/>
              <w:position w:val="-4"/>
              <w:sz w:val="36"/>
            </w:rPr>
            <w:t>FR</w:t>
          </w:r>
        </w:p>
      </w:tc>
    </w:tr>
    <w:bookmarkEnd w:id="2"/>
  </w:tbl>
  <w:p w:rsidR="00926EAF" w:rsidRPr="00265BC9" w:rsidRDefault="00926EAF" w:rsidP="00265BC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265BC9" w:rsidRPr="007410E8" w:rsidTr="00265BC9">
      <w:trPr>
        <w:jc w:val="center"/>
      </w:trPr>
      <w:tc>
        <w:tcPr>
          <w:tcW w:w="5000" w:type="pct"/>
          <w:gridSpan w:val="3"/>
          <w:shd w:val="clear" w:color="auto" w:fill="auto"/>
        </w:tcPr>
        <w:p w:rsidR="00265BC9" w:rsidRPr="00265BC9" w:rsidRDefault="00265BC9" w:rsidP="0035025C">
          <w:pPr>
            <w:pStyle w:val="FooterText"/>
            <w:tabs>
              <w:tab w:val="left" w:pos="285"/>
              <w:tab w:val="left" w:pos="585"/>
            </w:tabs>
            <w:ind w:left="540" w:hanging="540"/>
            <w:rPr>
              <w:sz w:val="21"/>
              <w:szCs w:val="21"/>
              <w:lang w:val="fr-BE"/>
            </w:rPr>
          </w:pPr>
          <w:bookmarkStart w:id="4" w:name="FOOTER_PR_STANDARD_FOOTNOTES"/>
          <w:r w:rsidRPr="00265BC9">
            <w:rPr>
              <w:b/>
              <w:sz w:val="21"/>
              <w:szCs w:val="21"/>
              <w:vertAlign w:val="superscript"/>
              <w:lang w:val="fr-BE"/>
            </w:rPr>
            <w:t>1</w:t>
          </w:r>
          <w:r w:rsidRPr="00265BC9">
            <w:rPr>
              <w:rFonts w:ascii="Wingdings" w:hAnsi="Wingdings"/>
              <w:sz w:val="21"/>
              <w:szCs w:val="21"/>
              <w:lang w:val="fr-BE"/>
            </w:rPr>
            <w:tab/>
          </w:r>
          <w:r w:rsidRPr="007410E8">
            <w:rPr>
              <w:rFonts w:ascii="Wingdings" w:hAnsi="Wingdings"/>
              <w:sz w:val="21"/>
              <w:szCs w:val="21"/>
            </w:rPr>
            <w:t></w:t>
          </w:r>
          <w:r w:rsidRPr="00265BC9">
            <w:rPr>
              <w:sz w:val="21"/>
              <w:szCs w:val="21"/>
              <w:lang w:val="fr-BE"/>
            </w:rPr>
            <w:tab/>
            <w:t>Lorsque des déclarations, des conclusions ou des résolutions ont été formellement adoptées par le Conseil, cela est indiqué dans le titre du point concerné et le texte figure entre guillemets.</w:t>
          </w:r>
        </w:p>
        <w:p w:rsidR="00265BC9" w:rsidRPr="00265BC9" w:rsidRDefault="00265BC9" w:rsidP="0035025C">
          <w:pPr>
            <w:pStyle w:val="FooterText"/>
            <w:tabs>
              <w:tab w:val="left" w:pos="285"/>
              <w:tab w:val="left" w:pos="585"/>
            </w:tabs>
            <w:ind w:left="540" w:hanging="540"/>
            <w:rPr>
              <w:sz w:val="21"/>
              <w:szCs w:val="21"/>
              <w:lang w:val="fr-BE"/>
            </w:rPr>
          </w:pPr>
          <w:r w:rsidRPr="00265BC9">
            <w:rPr>
              <w:rFonts w:ascii="Wingdings" w:hAnsi="Wingdings"/>
              <w:sz w:val="21"/>
              <w:szCs w:val="21"/>
              <w:lang w:val="fr-BE"/>
            </w:rPr>
            <w:tab/>
          </w:r>
          <w:r w:rsidRPr="007410E8">
            <w:rPr>
              <w:rFonts w:ascii="Wingdings" w:hAnsi="Wingdings"/>
              <w:sz w:val="21"/>
              <w:szCs w:val="21"/>
            </w:rPr>
            <w:t></w:t>
          </w:r>
          <w:r w:rsidRPr="00265BC9">
            <w:rPr>
              <w:sz w:val="21"/>
              <w:szCs w:val="21"/>
              <w:lang w:val="fr-BE"/>
            </w:rPr>
            <w:tab/>
            <w:t>Les documents dont la référence est mentionnée sont accessibles sur le site internet du Conseil http://www.consilium.europa.eu.</w:t>
          </w:r>
        </w:p>
        <w:p w:rsidR="00265BC9" w:rsidRPr="00265BC9" w:rsidRDefault="00265BC9" w:rsidP="0035025C">
          <w:pPr>
            <w:pStyle w:val="FooterText"/>
            <w:tabs>
              <w:tab w:val="left" w:pos="285"/>
              <w:tab w:val="left" w:pos="585"/>
            </w:tabs>
            <w:ind w:left="540" w:hanging="540"/>
            <w:rPr>
              <w:sz w:val="21"/>
              <w:szCs w:val="21"/>
              <w:lang w:val="fr-BE"/>
            </w:rPr>
          </w:pPr>
          <w:r w:rsidRPr="00265BC9">
            <w:rPr>
              <w:rFonts w:ascii="Wingdings" w:hAnsi="Wingdings"/>
              <w:sz w:val="21"/>
              <w:szCs w:val="21"/>
              <w:lang w:val="fr-BE"/>
            </w:rPr>
            <w:tab/>
          </w:r>
          <w:r w:rsidRPr="007410E8">
            <w:rPr>
              <w:rFonts w:ascii="Wingdings" w:hAnsi="Wingdings"/>
              <w:sz w:val="21"/>
              <w:szCs w:val="21"/>
            </w:rPr>
            <w:t></w:t>
          </w:r>
          <w:r w:rsidRPr="00265BC9">
            <w:rPr>
              <w:sz w:val="21"/>
              <w:szCs w:val="21"/>
              <w:lang w:val="fr-BE"/>
            </w:rPr>
            <w:tab/>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265BC9" w:rsidRPr="00265BC9" w:rsidRDefault="00265BC9" w:rsidP="0035025C">
          <w:pPr>
            <w:pStyle w:val="FooterText"/>
            <w:tabs>
              <w:tab w:val="left" w:pos="285"/>
              <w:tab w:val="left" w:pos="585"/>
            </w:tabs>
            <w:rPr>
              <w:sz w:val="21"/>
              <w:szCs w:val="21"/>
              <w:lang w:val="fr-BE"/>
            </w:rPr>
          </w:pPr>
        </w:p>
      </w:tc>
    </w:tr>
    <w:tr w:rsidR="00265BC9" w:rsidRPr="007410E8" w:rsidTr="00265BC9">
      <w:trPr>
        <w:jc w:val="center"/>
      </w:trPr>
      <w:tc>
        <w:tcPr>
          <w:tcW w:w="2604" w:type="pct"/>
          <w:shd w:val="clear" w:color="auto" w:fill="auto"/>
        </w:tcPr>
        <w:p w:rsidR="00265BC9" w:rsidRPr="007410E8" w:rsidRDefault="00265BC9" w:rsidP="0035025C">
          <w:pPr>
            <w:pStyle w:val="FooterText"/>
            <w:rPr>
              <w:sz w:val="16"/>
            </w:rPr>
          </w:pPr>
          <w:r>
            <w:t>13328/15</w:t>
          </w:r>
          <w:r w:rsidRPr="002511D8">
            <w:t xml:space="preserve"> </w:t>
          </w:r>
        </w:p>
      </w:tc>
      <w:tc>
        <w:tcPr>
          <w:tcW w:w="1319" w:type="pct"/>
          <w:shd w:val="clear" w:color="auto" w:fill="auto"/>
        </w:tcPr>
        <w:p w:rsidR="00265BC9" w:rsidRPr="007410E8" w:rsidRDefault="00265BC9" w:rsidP="0035025C">
          <w:pPr>
            <w:pStyle w:val="FooterText"/>
            <w:rPr>
              <w:sz w:val="16"/>
            </w:rPr>
          </w:pPr>
        </w:p>
      </w:tc>
      <w:tc>
        <w:tcPr>
          <w:tcW w:w="1077" w:type="pct"/>
          <w:shd w:val="clear" w:color="auto" w:fill="auto"/>
        </w:tcPr>
        <w:p w:rsidR="00265BC9" w:rsidRPr="007410E8" w:rsidRDefault="00265BC9" w:rsidP="0035025C">
          <w:pPr>
            <w:pStyle w:val="FooterText"/>
            <w:jc w:val="right"/>
            <w:rPr>
              <w:sz w:val="16"/>
            </w:rPr>
          </w:pPr>
          <w:r>
            <w:fldChar w:fldCharType="begin"/>
          </w:r>
          <w:r>
            <w:instrText xml:space="preserve"> PAGE  \* MERGEFORMAT </w:instrText>
          </w:r>
          <w:r>
            <w:fldChar w:fldCharType="separate"/>
          </w:r>
          <w:r w:rsidR="000F4503">
            <w:rPr>
              <w:noProof/>
            </w:rPr>
            <w:t>2</w:t>
          </w:r>
          <w:r>
            <w:fldChar w:fldCharType="end"/>
          </w:r>
        </w:p>
      </w:tc>
    </w:tr>
    <w:tr w:rsidR="00265BC9" w:rsidRPr="007410E8" w:rsidTr="00265BC9">
      <w:trPr>
        <w:jc w:val="center"/>
      </w:trPr>
      <w:tc>
        <w:tcPr>
          <w:tcW w:w="2604" w:type="pct"/>
          <w:shd w:val="clear" w:color="auto" w:fill="auto"/>
        </w:tcPr>
        <w:p w:rsidR="00265BC9" w:rsidRPr="007410E8" w:rsidRDefault="00265BC9" w:rsidP="0035025C">
          <w:pPr>
            <w:pStyle w:val="FooterText"/>
            <w:rPr>
              <w:sz w:val="16"/>
            </w:rPr>
          </w:pPr>
        </w:p>
      </w:tc>
      <w:tc>
        <w:tcPr>
          <w:tcW w:w="1319" w:type="pct"/>
          <w:shd w:val="clear" w:color="auto" w:fill="auto"/>
        </w:tcPr>
        <w:p w:rsidR="00265BC9" w:rsidRPr="007410E8" w:rsidRDefault="00265BC9" w:rsidP="0035025C">
          <w:pPr>
            <w:pStyle w:val="FooterText"/>
            <w:rPr>
              <w:sz w:val="16"/>
            </w:rPr>
          </w:pPr>
        </w:p>
      </w:tc>
      <w:tc>
        <w:tcPr>
          <w:tcW w:w="1077" w:type="pct"/>
          <w:shd w:val="clear" w:color="auto" w:fill="auto"/>
        </w:tcPr>
        <w:p w:rsidR="00265BC9" w:rsidRPr="007410E8" w:rsidRDefault="00265BC9" w:rsidP="0035025C">
          <w:pPr>
            <w:pStyle w:val="FooterText"/>
            <w:jc w:val="right"/>
            <w:rPr>
              <w:sz w:val="16"/>
            </w:rPr>
          </w:pPr>
          <w:r>
            <w:rPr>
              <w:b/>
              <w:position w:val="-4"/>
              <w:sz w:val="36"/>
            </w:rPr>
            <w:t>FR</w:t>
          </w:r>
        </w:p>
      </w:tc>
    </w:tr>
    <w:bookmarkEnd w:id="4"/>
  </w:tbl>
  <w:p w:rsidR="006D04B8" w:rsidRPr="00265BC9" w:rsidRDefault="006D04B8" w:rsidP="00265BC9">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BBA" w:rsidRPr="00265BC9" w:rsidRDefault="00290BBA" w:rsidP="00265B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4B8" w:rsidRDefault="006D04B8">
      <w:pPr>
        <w:spacing w:before="0" w:after="0"/>
      </w:pPr>
      <w:r>
        <w:separator/>
      </w:r>
    </w:p>
  </w:footnote>
  <w:footnote w:type="continuationSeparator" w:id="0">
    <w:p w:rsidR="006D04B8" w:rsidRDefault="006D04B8">
      <w:pPr>
        <w:spacing w:before="0" w:after="0"/>
      </w:pPr>
      <w:r>
        <w:continuationSeparator/>
      </w:r>
    </w:p>
  </w:footnote>
  <w:footnote w:id="1">
    <w:p w:rsidR="00290BBA" w:rsidRPr="00437978" w:rsidRDefault="00290BBA" w:rsidP="00290BBA">
      <w:pPr>
        <w:pStyle w:val="FootnoteText"/>
      </w:pPr>
      <w:r>
        <w:rPr>
          <w:rStyle w:val="FootnoteReference"/>
        </w:rPr>
        <w:t>*</w:t>
      </w:r>
      <w:r>
        <w:tab/>
        <w:t>Un pourcentage négatif signifie une réduction du TAC, un pourcentage positif signifie une augmentation du TAC et 0 % signifie une reconduction du TAC.</w:t>
      </w:r>
    </w:p>
  </w:footnote>
  <w:footnote w:id="2">
    <w:p w:rsidR="00290BBA" w:rsidRPr="00437978" w:rsidRDefault="00290BBA" w:rsidP="00290BBA">
      <w:pPr>
        <w:pStyle w:val="FootnoteText"/>
      </w:pPr>
      <w:r>
        <w:rPr>
          <w:rStyle w:val="FootnoteReference"/>
        </w:rPr>
        <w:t>**</w:t>
      </w:r>
      <w:r>
        <w:tab/>
        <w:t>TAC exprimé en nombre d'individus.</w:t>
      </w:r>
    </w:p>
  </w:footnote>
  <w:footnote w:id="3">
    <w:p w:rsidR="00290BBA" w:rsidRPr="00627DAD" w:rsidRDefault="00290BBA" w:rsidP="00290BBA">
      <w:pPr>
        <w:pStyle w:val="FootnoteText"/>
        <w:rPr>
          <w:lang w:val="da-DK"/>
        </w:rPr>
      </w:pPr>
      <w:r>
        <w:rPr>
          <w:rStyle w:val="FootnoteReference"/>
        </w:rPr>
        <w:footnoteRef/>
      </w:r>
      <w:r w:rsidRPr="00627DAD">
        <w:rPr>
          <w:lang w:val="da-DK"/>
        </w:rPr>
        <w:tab/>
        <w:t>JO L 139 du 30.4.2004, p. 206.</w:t>
      </w:r>
    </w:p>
  </w:footnote>
  <w:footnote w:id="4">
    <w:p w:rsidR="00290BBA" w:rsidRPr="00627DAD" w:rsidRDefault="00290BBA" w:rsidP="00290BBA">
      <w:pPr>
        <w:pStyle w:val="FootnoteText"/>
        <w:rPr>
          <w:lang w:val="da-DK"/>
        </w:rPr>
      </w:pPr>
      <w:r>
        <w:rPr>
          <w:rStyle w:val="FootnoteReference"/>
        </w:rPr>
        <w:footnoteRef/>
      </w:r>
      <w:r w:rsidRPr="00627DAD">
        <w:rPr>
          <w:lang w:val="da-DK"/>
        </w:rPr>
        <w:tab/>
        <w:t>JO L 338 du 22.12.2005, p. 1.</w:t>
      </w:r>
    </w:p>
  </w:footnote>
  <w:footnote w:id="5">
    <w:p w:rsidR="00290BBA" w:rsidRPr="00627DAD" w:rsidRDefault="00290BBA" w:rsidP="00290BBA">
      <w:pPr>
        <w:pStyle w:val="FootnoteText"/>
        <w:rPr>
          <w:lang w:val="da-DK"/>
        </w:rPr>
      </w:pPr>
      <w:r>
        <w:rPr>
          <w:rStyle w:val="FootnoteReference"/>
        </w:rPr>
        <w:footnoteRef/>
      </w:r>
      <w:r w:rsidRPr="00627DAD">
        <w:rPr>
          <w:lang w:val="da-DK"/>
        </w:rPr>
        <w:tab/>
        <w:t>JO L 70 du 16.3.2005, p. 1.</w:t>
      </w:r>
    </w:p>
  </w:footnote>
  <w:footnote w:id="6">
    <w:p w:rsidR="00290BBA" w:rsidRPr="00627DAD" w:rsidRDefault="00290BBA" w:rsidP="00290BBA">
      <w:pPr>
        <w:pStyle w:val="FootnoteText"/>
        <w:rPr>
          <w:lang w:val="da-DK"/>
        </w:rPr>
      </w:pPr>
      <w:r>
        <w:rPr>
          <w:rStyle w:val="FootnoteReference"/>
        </w:rPr>
        <w:footnoteRef/>
      </w:r>
      <w:r w:rsidRPr="00627DAD">
        <w:rPr>
          <w:lang w:val="da-DK"/>
        </w:rPr>
        <w:tab/>
        <w:t>JO L 268 du 18.10.2003, p. 29.</w:t>
      </w:r>
    </w:p>
  </w:footnote>
  <w:footnote w:id="7">
    <w:p w:rsidR="00290BBA" w:rsidRPr="007A4B79" w:rsidRDefault="00290BBA" w:rsidP="00290BBA">
      <w:pPr>
        <w:pStyle w:val="FootnoteText"/>
      </w:pPr>
      <w:r>
        <w:rPr>
          <w:rStyle w:val="FootnoteReference"/>
        </w:rPr>
        <w:footnoteRef/>
      </w:r>
      <w:r>
        <w:tab/>
        <w:t>JO L 354 du 28.12.2013, p. 22.</w:t>
      </w:r>
    </w:p>
  </w:footnote>
  <w:footnote w:id="8">
    <w:p w:rsidR="00290BBA" w:rsidRPr="007A4B79" w:rsidRDefault="00290BBA" w:rsidP="00290BBA">
      <w:pPr>
        <w:pStyle w:val="FootnoteText"/>
      </w:pPr>
      <w:r>
        <w:rPr>
          <w:rStyle w:val="FootnoteReference"/>
        </w:rPr>
        <w:t>*</w:t>
      </w:r>
      <w:r>
        <w:tab/>
        <w:t>Cette désignation est sans préjudice des positions sur le statut et est conforme à la résolution 1244 (99) du Conseil de sécurité des Nations unies ainsi qu'à l'avis de la CIJ sur la déclaration d'indépendance du Kosovo.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265BC9" w:rsidRPr="007410E8" w:rsidTr="00265BC9">
      <w:trPr>
        <w:jc w:val="center"/>
      </w:trPr>
      <w:tc>
        <w:tcPr>
          <w:tcW w:w="2500" w:type="pct"/>
          <w:shd w:val="clear" w:color="auto" w:fill="auto"/>
        </w:tcPr>
        <w:p w:rsidR="00265BC9" w:rsidRPr="007410E8" w:rsidRDefault="00265BC9" w:rsidP="0035025C">
          <w:pPr>
            <w:pStyle w:val="HeaderText"/>
            <w:rPr>
              <w:b/>
              <w:i/>
              <w:sz w:val="16"/>
              <w:u w:val="single"/>
            </w:rPr>
          </w:pPr>
          <w:bookmarkStart w:id="3" w:name="HEADER_PRMEET"/>
        </w:p>
      </w:tc>
      <w:tc>
        <w:tcPr>
          <w:tcW w:w="2500" w:type="pct"/>
          <w:shd w:val="clear" w:color="auto" w:fill="auto"/>
        </w:tcPr>
        <w:p w:rsidR="00265BC9" w:rsidRPr="007410E8" w:rsidRDefault="00265BC9" w:rsidP="00265BC9">
          <w:pPr>
            <w:pStyle w:val="HeaderText"/>
            <w:jc w:val="right"/>
            <w:rPr>
              <w:sz w:val="16"/>
            </w:rPr>
          </w:pPr>
          <w:r w:rsidRPr="00265BC9">
            <w:t>22 octobre 2015</w:t>
          </w:r>
        </w:p>
      </w:tc>
    </w:tr>
    <w:bookmarkEnd w:id="3"/>
  </w:tbl>
  <w:p w:rsidR="006D04B8" w:rsidRPr="00265BC9" w:rsidRDefault="006D04B8" w:rsidP="00265BC9">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265BC9" w:rsidRPr="007410E8" w:rsidTr="00265BC9">
      <w:trPr>
        <w:jc w:val="center"/>
      </w:trPr>
      <w:tc>
        <w:tcPr>
          <w:tcW w:w="2500" w:type="pct"/>
          <w:shd w:val="clear" w:color="auto" w:fill="auto"/>
        </w:tcPr>
        <w:p w:rsidR="00265BC9" w:rsidRPr="007410E8" w:rsidRDefault="00265BC9" w:rsidP="0035025C">
          <w:pPr>
            <w:pStyle w:val="HeaderText"/>
            <w:rPr>
              <w:b/>
              <w:i/>
              <w:sz w:val="16"/>
              <w:u w:val="single"/>
            </w:rPr>
          </w:pPr>
        </w:p>
      </w:tc>
      <w:tc>
        <w:tcPr>
          <w:tcW w:w="2500" w:type="pct"/>
          <w:shd w:val="clear" w:color="auto" w:fill="auto"/>
        </w:tcPr>
        <w:p w:rsidR="00265BC9" w:rsidRPr="007410E8" w:rsidRDefault="00265BC9" w:rsidP="00265BC9">
          <w:pPr>
            <w:pStyle w:val="HeaderText"/>
            <w:jc w:val="right"/>
            <w:rPr>
              <w:sz w:val="16"/>
            </w:rPr>
          </w:pPr>
          <w:r w:rsidRPr="00265BC9">
            <w:t>22 octobre 2015</w:t>
          </w:r>
        </w:p>
      </w:tc>
    </w:tr>
  </w:tbl>
  <w:p w:rsidR="006D04B8" w:rsidRPr="00265BC9" w:rsidRDefault="006D04B8" w:rsidP="00265BC9">
    <w:pPr>
      <w:pStyle w:val="HeaderCounci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BBA" w:rsidRPr="00265BC9" w:rsidRDefault="00290BBA" w:rsidP="00265B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9">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0">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2">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5">
    <w:nsid w:val="61CC2A8F"/>
    <w:multiLevelType w:val="hybridMultilevel"/>
    <w:tmpl w:val="E6BA2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6"/>
  </w:num>
  <w:num w:numId="2">
    <w:abstractNumId w:val="14"/>
  </w:num>
  <w:num w:numId="3">
    <w:abstractNumId w:val="8"/>
  </w:num>
  <w:num w:numId="4">
    <w:abstractNumId w:val="7"/>
  </w:num>
  <w:num w:numId="5">
    <w:abstractNumId w:val="2"/>
  </w:num>
  <w:num w:numId="6">
    <w:abstractNumId w:val="16"/>
  </w:num>
  <w:num w:numId="7">
    <w:abstractNumId w:val="4"/>
  </w:num>
  <w:num w:numId="8">
    <w:abstractNumId w:val="5"/>
  </w:num>
  <w:num w:numId="9">
    <w:abstractNumId w:val="13"/>
  </w:num>
  <w:num w:numId="10">
    <w:abstractNumId w:val="10"/>
  </w:num>
  <w:num w:numId="11">
    <w:abstractNumId w:val="0"/>
  </w:num>
  <w:num w:numId="12">
    <w:abstractNumId w:val="17"/>
  </w:num>
  <w:num w:numId="13">
    <w:abstractNumId w:val="12"/>
  </w:num>
  <w:num w:numId="14">
    <w:abstractNumId w:val="11"/>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d4afc532-e8b9-43f3-a642-f6ad517513ec&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3328&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62&lt;/text&gt;_x000d__x000a_      &lt;text&gt;PR CO 5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re de l'agriculture, de la viticulture et de la protection des consommateurs&quot; name=&quot;Fernand Etgen&quot; text=&quot;Fernand Etgen, Ministre de l'agriculture, de la viticulture et de la protection des consommateurs&quot; genderKeyBds=&quot;gend_01&quot; /&gt;_x000d__x000a_    &lt;/presidents&gt;_x000d__x000a_  &lt;/metadata&gt;_x000d__x000a_  &lt;metadata key=&quot;md_MeetingNumber&quot;&gt;_x000d__x000a_    &lt;text&gt;3418&lt;/text&gt;_x000d__x000a_  &lt;/metadata&gt;_x000d__x000a_  &lt;metadata key=&quot;md_CouncilConfiguration&quot;&gt;_x000d__x000a_    &lt;basicdatatype&gt;_x000d__x000a_      &lt;configuration key=&quot;cc_08&quot; text=&quot;Agriculture et pêche&quot; /&gt;_x000d__x000a_    &lt;/basicdatatype&gt;_x000d__x000a_  &lt;/metadata&gt;_x000d__x000a_  &lt;metadata key=&quot;md_CouncilIssue&quot;&gt;_x000d__x000a_    &lt;text&gt;&lt;/text&gt;_x000d__x000a_  &lt;/metadata&gt;_x000d__x000a_  &lt;metadata key=&quot;md_PhoneNumber&quot;&gt;_x000d__x000a_    &lt;text&gt;6319&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10-22&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6D04B8"/>
    <w:rsid w:val="00035E1C"/>
    <w:rsid w:val="0006046C"/>
    <w:rsid w:val="000A63B0"/>
    <w:rsid w:val="000F4503"/>
    <w:rsid w:val="002425CA"/>
    <w:rsid w:val="00265BC9"/>
    <w:rsid w:val="00290BBA"/>
    <w:rsid w:val="00343C70"/>
    <w:rsid w:val="003946C8"/>
    <w:rsid w:val="00546259"/>
    <w:rsid w:val="006A56D8"/>
    <w:rsid w:val="006D04B8"/>
    <w:rsid w:val="006E2F9D"/>
    <w:rsid w:val="006F4E9F"/>
    <w:rsid w:val="008774FD"/>
    <w:rsid w:val="00895676"/>
    <w:rsid w:val="00926EAF"/>
    <w:rsid w:val="00A33747"/>
    <w:rsid w:val="00A36655"/>
    <w:rsid w:val="00A67613"/>
    <w:rsid w:val="00A76CDC"/>
    <w:rsid w:val="00B03546"/>
    <w:rsid w:val="00B34272"/>
    <w:rsid w:val="00BD54A3"/>
    <w:rsid w:val="00BE2CA6"/>
    <w:rsid w:val="00C57AAC"/>
    <w:rsid w:val="00CA0D26"/>
    <w:rsid w:val="00D45C7C"/>
    <w:rsid w:val="00E737DC"/>
    <w:rsid w:val="00F5613C"/>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fr-FR"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290BBA"/>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6D04B8"/>
    <w:pPr>
      <w:spacing w:before="0" w:after="440"/>
      <w:ind w:left="-1134" w:right="-1134"/>
    </w:pPr>
    <w:rPr>
      <w:sz w:val="2"/>
    </w:rPr>
  </w:style>
  <w:style w:type="character" w:customStyle="1" w:styleId="TechnicalBlockChar">
    <w:name w:val="Technical Block Char"/>
    <w:basedOn w:val="DefaultParagraphFont"/>
    <w:link w:val="TechnicalBlock"/>
    <w:rsid w:val="006D04B8"/>
    <w:rPr>
      <w:sz w:val="24"/>
      <w:szCs w:val="24"/>
      <w:lang w:val="fr-FR" w:eastAsia="en-US"/>
    </w:rPr>
  </w:style>
  <w:style w:type="character" w:customStyle="1" w:styleId="HeaderCouncilLargeChar">
    <w:name w:val="Header Council Large Char"/>
    <w:basedOn w:val="TechnicalBlockChar"/>
    <w:link w:val="HeaderCouncilLarge"/>
    <w:rsid w:val="006D04B8"/>
    <w:rPr>
      <w:sz w:val="2"/>
      <w:szCs w:val="24"/>
      <w:lang w:val="fr-FR" w:eastAsia="en-US"/>
    </w:rPr>
  </w:style>
  <w:style w:type="paragraph" w:customStyle="1" w:styleId="FooterText">
    <w:name w:val="Footer Text"/>
    <w:basedOn w:val="Normal"/>
    <w:rsid w:val="006D04B8"/>
    <w:pPr>
      <w:spacing w:before="0" w:after="0"/>
    </w:pPr>
    <w:rPr>
      <w:lang w:val="en-GB"/>
    </w:rPr>
  </w:style>
  <w:style w:type="paragraph" w:customStyle="1" w:styleId="FooterAddressText">
    <w:name w:val="Footer Address Text"/>
    <w:basedOn w:val="FooterText"/>
    <w:qFormat/>
    <w:rsid w:val="006D04B8"/>
    <w:pPr>
      <w:jc w:val="center"/>
    </w:pPr>
    <w:rPr>
      <w:spacing w:val="10"/>
      <w:sz w:val="16"/>
      <w:szCs w:val="16"/>
    </w:rPr>
  </w:style>
  <w:style w:type="character" w:styleId="Hyperlink">
    <w:name w:val="Hyperlink"/>
    <w:basedOn w:val="DefaultParagraphFont"/>
    <w:uiPriority w:val="99"/>
    <w:unhideWhenUsed/>
    <w:rsid w:val="006D04B8"/>
    <w:rPr>
      <w:color w:val="0000FF" w:themeColor="hyperlink"/>
      <w:u w:val="single"/>
    </w:rPr>
  </w:style>
  <w:style w:type="paragraph" w:customStyle="1" w:styleId="HeaderText">
    <w:name w:val="Header Text"/>
    <w:basedOn w:val="Normal"/>
    <w:rsid w:val="006D04B8"/>
    <w:pPr>
      <w:spacing w:before="0" w:after="0"/>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fr-FR"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290BBA"/>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6D04B8"/>
    <w:pPr>
      <w:spacing w:before="0" w:after="440"/>
      <w:ind w:left="-1134" w:right="-1134"/>
    </w:pPr>
    <w:rPr>
      <w:sz w:val="2"/>
    </w:rPr>
  </w:style>
  <w:style w:type="character" w:customStyle="1" w:styleId="TechnicalBlockChar">
    <w:name w:val="Technical Block Char"/>
    <w:basedOn w:val="DefaultParagraphFont"/>
    <w:link w:val="TechnicalBlock"/>
    <w:rsid w:val="006D04B8"/>
    <w:rPr>
      <w:sz w:val="24"/>
      <w:szCs w:val="24"/>
      <w:lang w:val="fr-FR" w:eastAsia="en-US"/>
    </w:rPr>
  </w:style>
  <w:style w:type="character" w:customStyle="1" w:styleId="HeaderCouncilLargeChar">
    <w:name w:val="Header Council Large Char"/>
    <w:basedOn w:val="TechnicalBlockChar"/>
    <w:link w:val="HeaderCouncilLarge"/>
    <w:rsid w:val="006D04B8"/>
    <w:rPr>
      <w:sz w:val="2"/>
      <w:szCs w:val="24"/>
      <w:lang w:val="fr-FR" w:eastAsia="en-US"/>
    </w:rPr>
  </w:style>
  <w:style w:type="paragraph" w:customStyle="1" w:styleId="FooterText">
    <w:name w:val="Footer Text"/>
    <w:basedOn w:val="Normal"/>
    <w:rsid w:val="006D04B8"/>
    <w:pPr>
      <w:spacing w:before="0" w:after="0"/>
    </w:pPr>
    <w:rPr>
      <w:lang w:val="en-GB"/>
    </w:rPr>
  </w:style>
  <w:style w:type="paragraph" w:customStyle="1" w:styleId="FooterAddressText">
    <w:name w:val="Footer Address Text"/>
    <w:basedOn w:val="FooterText"/>
    <w:qFormat/>
    <w:rsid w:val="006D04B8"/>
    <w:pPr>
      <w:jc w:val="center"/>
    </w:pPr>
    <w:rPr>
      <w:spacing w:val="10"/>
      <w:sz w:val="16"/>
      <w:szCs w:val="16"/>
    </w:rPr>
  </w:style>
  <w:style w:type="character" w:styleId="Hyperlink">
    <w:name w:val="Hyperlink"/>
    <w:basedOn w:val="DefaultParagraphFont"/>
    <w:uiPriority w:val="99"/>
    <w:unhideWhenUsed/>
    <w:rsid w:val="006D04B8"/>
    <w:rPr>
      <w:color w:val="0000FF" w:themeColor="hyperlink"/>
      <w:u w:val="single"/>
    </w:rPr>
  </w:style>
  <w:style w:type="paragraph" w:customStyle="1" w:styleId="HeaderText">
    <w:name w:val="Header Text"/>
    <w:basedOn w:val="Normal"/>
    <w:rsid w:val="006D04B8"/>
    <w:pPr>
      <w:spacing w:before="0"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http://data.consilium.europa.eu/doc/document/ST-13179-2015-INIT/en/pdf" TargetMode="External"/><Relationship Id="rId26" Type="http://schemas.openxmlformats.org/officeDocument/2006/relationships/hyperlink" Target="http://data.consilium.europa.eu/doc/document/pe-43-2015-init/fr/pdf" TargetMode="Externa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ata.consilium.europa.eu/doc/document/ST-12933-2015-INIT/en/pdf" TargetMode="External"/><Relationship Id="rId25" Type="http://schemas.openxmlformats.org/officeDocument/2006/relationships/hyperlink" Target="http://data.consilium.europa.eu/doc/document/st-11580-2015-init/fr/pdf" TargetMode="External"/><Relationship Id="rId2" Type="http://schemas.openxmlformats.org/officeDocument/2006/relationships/styles" Target="styles.xml"/><Relationship Id="rId16" Type="http://schemas.openxmlformats.org/officeDocument/2006/relationships/hyperlink" Target="http://data.consilium.europa.eu/doc/document/ST-12600-2015-REV-1/en/pdf"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data.consilium.europa.eu/doc/document/st-11820-2015-init/fr/pdf" TargetMode="External"/><Relationship Id="rId5" Type="http://schemas.openxmlformats.org/officeDocument/2006/relationships/webSettings" Target="webSettings.xml"/><Relationship Id="rId15" Type="http://schemas.openxmlformats.org/officeDocument/2006/relationships/hyperlink" Target="http://data.consilium.europa.eu/doc/document/ST-12769-2015-INIT/en/pdf" TargetMode="External"/><Relationship Id="rId23" Type="http://schemas.openxmlformats.org/officeDocument/2006/relationships/hyperlink" Target="http://data.consilium.europa.eu/doc/document/st-11892-2015-init/fr/pdf"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data.consilium.europa.eu/doc/document/ST-12914-2015-INIT/en/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ata.consilium.europa.eu/doc/document/ST-12693-2015-INIT/fr/pdf" TargetMode="External"/><Relationship Id="rId22" Type="http://schemas.openxmlformats.org/officeDocument/2006/relationships/hyperlink" Target="http://data.consilium.europa.eu/doc/document/st-11584-2015-init/fr/pdf" TargetMode="External"/><Relationship Id="rId27" Type="http://schemas.openxmlformats.org/officeDocument/2006/relationships/hyperlink" Target="http://data.consilium.europa.eu/doc/document/st-12626-2015-init/fr/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DW_PRM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Template>
  <TotalTime>1</TotalTime>
  <Pages>14</Pages>
  <Words>4140</Words>
  <Characters>23085</Characters>
  <Application>Microsoft Office Word</Application>
  <DocSecurity>0</DocSecurity>
  <Lines>495</Lines>
  <Paragraphs>219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SCHAERLAKEN Isabelle</dc:creator>
  <cp:lastModifiedBy>SCHAERLAKEN Isabelle</cp:lastModifiedBy>
  <cp:revision>2</cp:revision>
  <cp:lastPrinted>2015-12-04T15:51:00Z</cp:lastPrinted>
  <dcterms:created xsi:type="dcterms:W3CDTF">2015-12-04T16:02:00Z</dcterms:created>
  <dcterms:modified xsi:type="dcterms:W3CDTF">2015-12-04T16:02:00Z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ies>
</file>