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5F9" w:rsidRDefault="00C21BBF">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1F726A7D9E8490691818EE0B31F6EDA" style="width:450.75pt;height:351.75pt">
            <v:imagedata r:id="rId9" o:title=""/>
          </v:shape>
        </w:pict>
      </w:r>
    </w:p>
    <w:p w:rsidR="00B355F9" w:rsidRDefault="00B355F9">
      <w:pPr>
        <w:rPr>
          <w:noProof/>
        </w:rPr>
        <w:sectPr w:rsidR="00B355F9" w:rsidSect="00C21BBF">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B355F9" w:rsidRDefault="00C21BBF">
      <w:pPr>
        <w:pStyle w:val="Exposdesmotifstitre"/>
        <w:rPr>
          <w:noProof/>
        </w:rPr>
      </w:pPr>
      <w:r>
        <w:rPr>
          <w:noProof/>
        </w:rPr>
        <w:lastRenderedPageBreak/>
        <w:t>EXPOSÉ DES MOTIFS</w:t>
      </w:r>
    </w:p>
    <w:p w:rsidR="00B355F9" w:rsidRDefault="00C21BBF">
      <w:pPr>
        <w:pStyle w:val="ManualHeading1"/>
        <w:rPr>
          <w:noProof/>
        </w:rPr>
      </w:pPr>
      <w:r>
        <w:rPr>
          <w:noProof/>
        </w:rPr>
        <w:t>1.</w:t>
      </w:r>
      <w:r>
        <w:rPr>
          <w:noProof/>
        </w:rPr>
        <w:tab/>
        <w:t>CONTEXTE DE LA PROPOSITION</w:t>
      </w:r>
    </w:p>
    <w:p w:rsidR="00B355F9" w:rsidRDefault="00C21BBF">
      <w:pPr>
        <w:pStyle w:val="ManualHeading2"/>
        <w:rPr>
          <w:rFonts w:eastAsia="Arial Unicode MS"/>
          <w:noProof/>
        </w:rPr>
      </w:pPr>
      <w:r>
        <w:rPr>
          <w:noProof/>
          <w:color w:val="000000"/>
          <w:u w:color="000000"/>
          <w:bdr w:val="nil"/>
        </w:rPr>
        <w:t>•</w:t>
      </w:r>
      <w:r>
        <w:rPr>
          <w:noProof/>
        </w:rPr>
        <w:tab/>
        <w:t>Motivation et objectifs de la proposition</w:t>
      </w:r>
    </w:p>
    <w:p w:rsidR="00B355F9" w:rsidRDefault="00C21BBF">
      <w:pPr>
        <w:rPr>
          <w:noProof/>
        </w:rPr>
      </w:pPr>
      <w:r>
        <w:rPr>
          <w:noProof/>
        </w:rPr>
        <w:t>Pour assurer un approvisionnement suffisant et continu de certaines marchandises dont la production est inadéquate ou inexistante dans l'Union et éviter toute perturbation du marché de certains produits agricoles et industriels, certains droits autonomes d</w:t>
      </w:r>
      <w:r>
        <w:rPr>
          <w:noProof/>
        </w:rPr>
        <w:t xml:space="preserve">u tarif douanier commun ont été partiellement ou totalement suspendus par le règlement (UE) n° 1387/2013 du Conseil. </w:t>
      </w:r>
    </w:p>
    <w:p w:rsidR="00B355F9" w:rsidRDefault="00C21BBF">
      <w:pPr>
        <w:rPr>
          <w:noProof/>
        </w:rPr>
      </w:pPr>
      <w:r>
        <w:rPr>
          <w:noProof/>
        </w:rPr>
        <w:t>Ce règlement est mis à jour tous les six mois dans le but de satisfaire les besoins de l’industrie de l’Union. La Commission, assistée par</w:t>
      </w:r>
      <w:r>
        <w:rPr>
          <w:noProof/>
        </w:rPr>
        <w:t xml:space="preserve"> le groupe «Économie tarifaire» (GET), a procédé à l'examen de l'ensemble des demandes de suspension temporaire des droits autonomes du tarif douanier commun qui lui ont été transmises par les États membres.</w:t>
      </w:r>
    </w:p>
    <w:p w:rsidR="00B355F9" w:rsidRDefault="00C21BBF">
      <w:pPr>
        <w:rPr>
          <w:noProof/>
        </w:rPr>
      </w:pPr>
      <w:r>
        <w:rPr>
          <w:noProof/>
        </w:rPr>
        <w:t>À la suite de cet examen, la Commission estime q</w:t>
      </w:r>
      <w:r>
        <w:rPr>
          <w:noProof/>
        </w:rPr>
        <w:t>ue la suspension des droits est justifiée pour certains nouveaux produits qui ne figurent pas actuellement à l’annexe I du règlement (UE) n° 1387/2013 du Conseil. Pour d'autres produits, le libellé de leur désignation doit être modifié ou de nouveaux codes</w:t>
      </w:r>
      <w:r>
        <w:rPr>
          <w:noProof/>
        </w:rPr>
        <w:t xml:space="preserve"> NC ou TARIC devraient être attribués. Il est proposé de retirer les produits pour lesquels le maintien d'une suspension tarifaire ne se justifie plus au regard des intérêts économiques de l'Union. </w:t>
      </w:r>
    </w:p>
    <w:p w:rsidR="00B355F9" w:rsidRDefault="00C21BBF">
      <w:pPr>
        <w:rPr>
          <w:noProof/>
        </w:rPr>
      </w:pPr>
      <w:r>
        <w:rPr>
          <w:noProof/>
        </w:rPr>
        <w:t>Pour des raisons de clarté, il est souhaitable de publier</w:t>
      </w:r>
      <w:r>
        <w:rPr>
          <w:noProof/>
        </w:rPr>
        <w:t xml:space="preserve"> une version consolidée de l'annexe du règlement (UE) n° 1387/2013 du Conseil, qui remplacera intégralement les annexes I et II actuelles dudit règlement. À la suite de cette modification, il convient d'harmoniser le libellé des dispositions juridiques cor</w:t>
      </w:r>
      <w:r>
        <w:rPr>
          <w:noProof/>
        </w:rPr>
        <w:t>respondantes.</w:t>
      </w:r>
    </w:p>
    <w:p w:rsidR="00B355F9" w:rsidRDefault="00C21BBF">
      <w:pPr>
        <w:pStyle w:val="ManualHeading2"/>
        <w:rPr>
          <w:rFonts w:eastAsia="Arial Unicode MS"/>
          <w:noProof/>
        </w:rPr>
      </w:pPr>
      <w:r>
        <w:rPr>
          <w:noProof/>
          <w:color w:val="000000"/>
          <w:u w:color="000000"/>
          <w:bdr w:val="nil"/>
        </w:rPr>
        <w:t>•</w:t>
      </w:r>
      <w:r>
        <w:rPr>
          <w:noProof/>
        </w:rPr>
        <w:tab/>
        <w:t>Cohérence avec les dispositions en vigueur dans le domaine d'action</w:t>
      </w:r>
    </w:p>
    <w:p w:rsidR="00B355F9" w:rsidRDefault="00C21BBF">
      <w:pPr>
        <w:rPr>
          <w:noProof/>
        </w:rPr>
      </w:pPr>
      <w:r>
        <w:rPr>
          <w:noProof/>
        </w:rPr>
        <w:t>La présente proposition ne porte pas préjudice aux pays bénéficiant d’un accord commercial préférentiel avec l’Union européenne (SPG, régime ACP, pays candidats et candidat</w:t>
      </w:r>
      <w:r>
        <w:rPr>
          <w:noProof/>
        </w:rPr>
        <w:t>s potentiels, par exemple).</w:t>
      </w:r>
    </w:p>
    <w:p w:rsidR="00B355F9" w:rsidRDefault="00C21BBF">
      <w:pPr>
        <w:pStyle w:val="ManualHeading2"/>
        <w:rPr>
          <w:rFonts w:eastAsia="Arial Unicode MS"/>
          <w:noProof/>
        </w:rPr>
      </w:pPr>
      <w:r>
        <w:rPr>
          <w:noProof/>
          <w:color w:val="000000"/>
          <w:u w:color="000000"/>
          <w:bdr w:val="nil"/>
        </w:rPr>
        <w:t>•</w:t>
      </w:r>
      <w:r>
        <w:rPr>
          <w:noProof/>
        </w:rPr>
        <w:tab/>
        <w:t>Cohérence avec les autres politiques de l'Union</w:t>
      </w:r>
    </w:p>
    <w:p w:rsidR="00B355F9" w:rsidRDefault="00C21BBF">
      <w:pPr>
        <w:rPr>
          <w:noProof/>
        </w:rPr>
      </w:pPr>
      <w:r>
        <w:rPr>
          <w:noProof/>
        </w:rPr>
        <w:t>La proposition est conforme aux politiques menées dans les domaines de l'agriculture, du commerce, des entreprises, du développement et des relations extérieures.</w:t>
      </w:r>
    </w:p>
    <w:p w:rsidR="00B355F9" w:rsidRDefault="00C21BBF">
      <w:pPr>
        <w:pStyle w:val="ManualHeading1"/>
        <w:rPr>
          <w:noProof/>
        </w:rPr>
      </w:pPr>
      <w:r>
        <w:rPr>
          <w:noProof/>
        </w:rPr>
        <w:t>2.</w:t>
      </w:r>
      <w:r>
        <w:rPr>
          <w:noProof/>
        </w:rPr>
        <w:tab/>
        <w:t>BASE JURIDIQ</w:t>
      </w:r>
      <w:r>
        <w:rPr>
          <w:noProof/>
        </w:rPr>
        <w:t>UE, SUBSIDIARITÉ ET PROPORTIONNALITÉ</w:t>
      </w:r>
    </w:p>
    <w:p w:rsidR="00B355F9" w:rsidRDefault="00C21BBF">
      <w:pPr>
        <w:pStyle w:val="ManualHeading2"/>
        <w:rPr>
          <w:rFonts w:eastAsia="Arial Unicode MS"/>
          <w:noProof/>
          <w:u w:color="000000"/>
          <w:bdr w:val="nil"/>
        </w:rPr>
      </w:pPr>
      <w:r>
        <w:rPr>
          <w:noProof/>
        </w:rPr>
        <w:t>•</w:t>
      </w:r>
      <w:r>
        <w:rPr>
          <w:noProof/>
        </w:rPr>
        <w:tab/>
        <w:t>Base juridique</w:t>
      </w:r>
    </w:p>
    <w:p w:rsidR="00B355F9" w:rsidRDefault="00C21BBF">
      <w:pPr>
        <w:rPr>
          <w:noProof/>
        </w:rPr>
      </w:pPr>
      <w:r>
        <w:rPr>
          <w:noProof/>
        </w:rPr>
        <w:t>La base juridique de la présente proposition est l'article 31 du traité sur le fonctionnement de l’Union européenne (TFUE).</w:t>
      </w:r>
    </w:p>
    <w:p w:rsidR="00B355F9" w:rsidRDefault="00C21BBF">
      <w:pPr>
        <w:pStyle w:val="ManualHeading2"/>
        <w:rPr>
          <w:rFonts w:eastAsia="Arial Unicode MS"/>
          <w:noProof/>
          <w:u w:color="000000"/>
          <w:bdr w:val="nil"/>
        </w:rPr>
      </w:pPr>
      <w:r>
        <w:rPr>
          <w:noProof/>
        </w:rPr>
        <w:t>•</w:t>
      </w:r>
      <w:r>
        <w:rPr>
          <w:noProof/>
        </w:rPr>
        <w:tab/>
        <w:t xml:space="preserve">Subsidiarité (en cas de compétence non exclusive) </w:t>
      </w:r>
    </w:p>
    <w:p w:rsidR="00B355F9" w:rsidRDefault="00C21BBF">
      <w:pPr>
        <w:rPr>
          <w:noProof/>
        </w:rPr>
      </w:pPr>
      <w:r>
        <w:rPr>
          <w:noProof/>
        </w:rPr>
        <w:t xml:space="preserve">La proposition relève de </w:t>
      </w:r>
      <w:r>
        <w:rPr>
          <w:noProof/>
        </w:rPr>
        <w:t>la compétence exclusive de l’Union. Le principe de subsidiarité ne s’applique donc pas.</w:t>
      </w:r>
    </w:p>
    <w:p w:rsidR="00B355F9" w:rsidRDefault="00C21BBF">
      <w:pPr>
        <w:pStyle w:val="ManualHeading2"/>
        <w:rPr>
          <w:rFonts w:eastAsia="Arial Unicode MS"/>
          <w:noProof/>
          <w:u w:color="000000"/>
          <w:bdr w:val="nil"/>
        </w:rPr>
      </w:pPr>
      <w:r>
        <w:rPr>
          <w:noProof/>
        </w:rPr>
        <w:t>•</w:t>
      </w:r>
      <w:r>
        <w:rPr>
          <w:noProof/>
        </w:rPr>
        <w:tab/>
        <w:t>Proportionnalité</w:t>
      </w:r>
    </w:p>
    <w:p w:rsidR="00B355F9" w:rsidRDefault="00C21BBF">
      <w:pPr>
        <w:rPr>
          <w:noProof/>
        </w:rPr>
      </w:pPr>
      <w:r>
        <w:rPr>
          <w:noProof/>
        </w:rPr>
        <w:t xml:space="preserve">La proposition respecte le principe de proportionnalité car cette série de mesures est conforme aux principes visant à simplifier les procédures pour les opérateurs du commerce extérieur et à la communication de la Commission concernant les suspensions et </w:t>
      </w:r>
      <w:r>
        <w:rPr>
          <w:noProof/>
        </w:rPr>
        <w:t xml:space="preserve">contingents tarifaires autonomes (JO C 363 du 13.12.2011, p. 6). Le présent règlement ne va pas au-delà de ce qui </w:t>
      </w:r>
      <w:r>
        <w:rPr>
          <w:noProof/>
        </w:rPr>
        <w:lastRenderedPageBreak/>
        <w:t>est nécessaire pour atteindre les objectifs poursuivis, conformément à l'article 5, paragraphe 4, du traité sur l'Union européenne.</w:t>
      </w:r>
    </w:p>
    <w:p w:rsidR="00B355F9" w:rsidRDefault="00C21BBF">
      <w:pPr>
        <w:pStyle w:val="ManualHeading2"/>
        <w:rPr>
          <w:rFonts w:eastAsia="Arial Unicode MS"/>
          <w:noProof/>
          <w:u w:color="000000"/>
          <w:bdr w:val="nil"/>
        </w:rPr>
      </w:pPr>
      <w:r>
        <w:rPr>
          <w:noProof/>
        </w:rPr>
        <w:t>•</w:t>
      </w:r>
      <w:r>
        <w:rPr>
          <w:noProof/>
        </w:rPr>
        <w:tab/>
        <w:t>Choix de</w:t>
      </w:r>
      <w:r>
        <w:rPr>
          <w:noProof/>
        </w:rPr>
        <w:t xml:space="preserve"> l'instrument</w:t>
      </w:r>
    </w:p>
    <w:p w:rsidR="00B355F9" w:rsidRDefault="00C21BBF">
      <w:pPr>
        <w:rPr>
          <w:noProof/>
        </w:rPr>
      </w:pPr>
      <w:r>
        <w:rPr>
          <w:noProof/>
        </w:rPr>
        <w:t>En vertu de l’article 31 du TFUE, les suspensions et les contingents tarifaires autonomes sont fixés par le Conseil, statuant à la majorité qualifiée sur proposition de la Commission. Un règlement est dès lors l’instrument approprié.</w:t>
      </w:r>
    </w:p>
    <w:p w:rsidR="00B355F9" w:rsidRDefault="00C21BBF">
      <w:pPr>
        <w:pStyle w:val="ManualHeading1"/>
        <w:rPr>
          <w:noProof/>
        </w:rPr>
      </w:pPr>
      <w:r>
        <w:rPr>
          <w:noProof/>
        </w:rPr>
        <w:t>3.</w:t>
      </w:r>
      <w:r>
        <w:rPr>
          <w:noProof/>
        </w:rPr>
        <w:tab/>
        <w:t>RÉSUL</w:t>
      </w:r>
      <w:r>
        <w:rPr>
          <w:noProof/>
        </w:rPr>
        <w:t>TATS DES ÉVALUATIONS EX POST, DES CONSULTATIONS DES PARTIES INTÉRESSÉES ET DES ANALYSES D’IMPACT</w:t>
      </w:r>
    </w:p>
    <w:p w:rsidR="00B355F9" w:rsidRDefault="00C21BBF">
      <w:pPr>
        <w:pStyle w:val="ManualHeading2"/>
        <w:rPr>
          <w:rFonts w:eastAsia="Arial Unicode MS"/>
          <w:noProof/>
          <w:u w:color="000000"/>
          <w:bdr w:val="nil"/>
        </w:rPr>
      </w:pPr>
      <w:r>
        <w:rPr>
          <w:noProof/>
        </w:rPr>
        <w:t>•</w:t>
      </w:r>
      <w:r>
        <w:rPr>
          <w:noProof/>
        </w:rPr>
        <w:tab/>
        <w:t>Évaluations ex post/bilans de qualité de la législation existante</w:t>
      </w:r>
    </w:p>
    <w:p w:rsidR="00B355F9" w:rsidRDefault="00C21BBF">
      <w:pPr>
        <w:rPr>
          <w:noProof/>
        </w:rPr>
      </w:pPr>
      <w:r>
        <w:rPr>
          <w:noProof/>
        </w:rPr>
        <w:t>Le régime des suspensions autonomes dans son ensemble a fait l'objet d'une étude d'évaluati</w:t>
      </w:r>
      <w:r>
        <w:rPr>
          <w:noProof/>
        </w:rPr>
        <w:t>on qui a été réalisée en 2013. L’évaluation a permis d'arriver à la conclusion que la raison d'être principale de ce régime restait valable. Les économies de coûts pour les entreprises de l’Union qui importent les marchandises placées sous ce régime peuven</w:t>
      </w:r>
      <w:r>
        <w:rPr>
          <w:noProof/>
        </w:rPr>
        <w:t>t être considérables et sont susceptibles de procurer des avantages plus larges (tels que la hausse des capacités concurrentielles, des méthodes de production plus efficaces, la création ou le maintien d'emplois dans l'Union), en fonction du produit, de l'</w:t>
      </w:r>
      <w:r>
        <w:rPr>
          <w:noProof/>
        </w:rPr>
        <w:t>entreprise et du secteur concernés.</w:t>
      </w:r>
    </w:p>
    <w:p w:rsidR="00B355F9" w:rsidRDefault="00C21BBF">
      <w:pPr>
        <w:pStyle w:val="ManualHeading2"/>
        <w:rPr>
          <w:rFonts w:eastAsia="Arial Unicode MS"/>
          <w:noProof/>
          <w:u w:color="000000"/>
          <w:bdr w:val="nil"/>
        </w:rPr>
      </w:pPr>
      <w:r>
        <w:rPr>
          <w:noProof/>
        </w:rPr>
        <w:t>•</w:t>
      </w:r>
      <w:r>
        <w:rPr>
          <w:noProof/>
        </w:rPr>
        <w:tab/>
        <w:t>Consultation des acteurs concernés</w:t>
      </w:r>
    </w:p>
    <w:p w:rsidR="00B355F9" w:rsidRDefault="00C21BBF">
      <w:pPr>
        <w:rPr>
          <w:noProof/>
        </w:rPr>
      </w:pPr>
      <w:r>
        <w:rPr>
          <w:noProof/>
        </w:rPr>
        <w:t xml:space="preserve">L’évaluation de la présente proposition a été effectuée avec le concours du groupe «économie tarifaire», qui est composé de délégations de tous les États membres et de la Turquie. Il </w:t>
      </w:r>
      <w:r>
        <w:rPr>
          <w:noProof/>
        </w:rPr>
        <w:t>s'est réuni à trois reprises avant que les modifications prévues dans la présente proposition ne soient approuvées.</w:t>
      </w:r>
    </w:p>
    <w:p w:rsidR="00B355F9" w:rsidRDefault="00C21BBF">
      <w:pPr>
        <w:rPr>
          <w:noProof/>
        </w:rPr>
      </w:pPr>
      <w:r>
        <w:rPr>
          <w:noProof/>
        </w:rPr>
        <w:t xml:space="preserve">Le groupe «économie tarifaire» a soigneusement examiné chaque demande (nouvelle ou modifiée). Plus particulièrement, l'examen de chaque cas </w:t>
      </w:r>
      <w:r>
        <w:rPr>
          <w:noProof/>
        </w:rPr>
        <w:t>s'inscrit dans un processus visant à prévenir tout préjudice pour les producteurs de l'Union et à renforcer et consolider la compétitivité de la production de l'Union. Dans le cadre de cet examen, des discussions ont été menées au sein du groupe et les Éta</w:t>
      </w:r>
      <w:r>
        <w:rPr>
          <w:noProof/>
        </w:rPr>
        <w:t>ts membres ont consulté les industries, les associations, les chambres de commerce et les autres parties prenantes concernées.</w:t>
      </w:r>
    </w:p>
    <w:p w:rsidR="00B355F9" w:rsidRDefault="00C21BBF">
      <w:pPr>
        <w:rPr>
          <w:noProof/>
        </w:rPr>
      </w:pPr>
      <w:r>
        <w:rPr>
          <w:noProof/>
        </w:rPr>
        <w:t>Toutes les suspensions figurant sur la liste correspondent aux accords ou compromis intervenus au cours des discussions du groupe</w:t>
      </w:r>
      <w:r>
        <w:rPr>
          <w:noProof/>
        </w:rPr>
        <w:t>. Il n'a pas été mentionné de risques potentiellement graves et aux conséquences irréversibles.</w:t>
      </w:r>
    </w:p>
    <w:p w:rsidR="00B355F9" w:rsidRDefault="00C21BBF">
      <w:pPr>
        <w:pStyle w:val="ManualHeading2"/>
        <w:rPr>
          <w:rFonts w:eastAsia="Arial Unicode MS"/>
          <w:noProof/>
          <w:u w:color="000000"/>
          <w:bdr w:val="nil"/>
        </w:rPr>
      </w:pPr>
      <w:r>
        <w:rPr>
          <w:noProof/>
        </w:rPr>
        <w:t>•</w:t>
      </w:r>
      <w:r>
        <w:rPr>
          <w:noProof/>
        </w:rPr>
        <w:tab/>
        <w:t>Obtention et utilisation d'expertise</w:t>
      </w:r>
    </w:p>
    <w:p w:rsidR="00B355F9" w:rsidRDefault="00C21BBF">
      <w:pPr>
        <w:pBdr>
          <w:top w:val="nil"/>
          <w:left w:val="nil"/>
          <w:bottom w:val="nil"/>
          <w:right w:val="nil"/>
          <w:between w:val="nil"/>
          <w:bar w:val="nil"/>
        </w:pBdr>
        <w:spacing w:before="0" w:after="240"/>
        <w:rPr>
          <w:rFonts w:eastAsia="Arial Unicode MS"/>
          <w:noProof/>
        </w:rPr>
      </w:pPr>
      <w:r>
        <w:rPr>
          <w:noProof/>
        </w:rPr>
        <w:t>Sans objet</w:t>
      </w:r>
    </w:p>
    <w:p w:rsidR="00B355F9" w:rsidRDefault="00C21BBF">
      <w:pPr>
        <w:pStyle w:val="ManualHeading2"/>
        <w:rPr>
          <w:rFonts w:eastAsia="Arial Unicode MS"/>
          <w:noProof/>
          <w:u w:color="000000"/>
          <w:bdr w:val="nil"/>
        </w:rPr>
      </w:pPr>
      <w:r>
        <w:rPr>
          <w:noProof/>
        </w:rPr>
        <w:t>•</w:t>
      </w:r>
      <w:r>
        <w:rPr>
          <w:noProof/>
        </w:rPr>
        <w:tab/>
        <w:t>Analyse d'impact</w:t>
      </w:r>
    </w:p>
    <w:p w:rsidR="00B355F9" w:rsidRDefault="00C21BBF">
      <w:pPr>
        <w:pBdr>
          <w:top w:val="nil"/>
          <w:left w:val="nil"/>
          <w:bottom w:val="nil"/>
          <w:right w:val="nil"/>
          <w:between w:val="nil"/>
          <w:bar w:val="nil"/>
        </w:pBdr>
        <w:spacing w:before="0" w:after="240"/>
        <w:rPr>
          <w:rFonts w:eastAsia="Arial Unicode MS"/>
          <w:noProof/>
        </w:rPr>
      </w:pPr>
      <w:r>
        <w:rPr>
          <w:noProof/>
        </w:rPr>
        <w:t>La modification proposée, de nature technique, ne concerne que le champ d'application des s</w:t>
      </w:r>
      <w:r>
        <w:rPr>
          <w:noProof/>
        </w:rPr>
        <w:t>uspensions énumérées à l'annexe. Pour le reste, le règlement demeure identique au règlement du Conseil en vigueur.  Par conséquent, aucune analyse d’impact n’a été réalisée pour la présente proposition.</w:t>
      </w:r>
    </w:p>
    <w:p w:rsidR="00B355F9" w:rsidRDefault="00C21BBF">
      <w:pPr>
        <w:pStyle w:val="ManualHeading2"/>
        <w:rPr>
          <w:rFonts w:eastAsia="Arial Unicode MS"/>
          <w:noProof/>
          <w:u w:color="000000"/>
          <w:bdr w:val="nil"/>
        </w:rPr>
      </w:pPr>
      <w:r>
        <w:rPr>
          <w:noProof/>
        </w:rPr>
        <w:t>•</w:t>
      </w:r>
      <w:r>
        <w:rPr>
          <w:noProof/>
        </w:rPr>
        <w:tab/>
        <w:t>Réglementation affûtée et simplification</w:t>
      </w:r>
    </w:p>
    <w:p w:rsidR="00B355F9" w:rsidRDefault="00C21BBF">
      <w:pPr>
        <w:pBdr>
          <w:top w:val="nil"/>
          <w:left w:val="nil"/>
          <w:bottom w:val="nil"/>
          <w:right w:val="nil"/>
          <w:between w:val="nil"/>
          <w:bar w:val="nil"/>
        </w:pBdr>
        <w:spacing w:before="0" w:after="240"/>
        <w:rPr>
          <w:rFonts w:eastAsia="Arial Unicode MS"/>
          <w:noProof/>
        </w:rPr>
      </w:pPr>
      <w:r>
        <w:rPr>
          <w:noProof/>
        </w:rPr>
        <w:t>Sans objet</w:t>
      </w:r>
    </w:p>
    <w:p w:rsidR="00B355F9" w:rsidRDefault="00C21BBF">
      <w:pPr>
        <w:pStyle w:val="ManualHeading2"/>
        <w:rPr>
          <w:rFonts w:eastAsia="Arial Unicode MS"/>
          <w:noProof/>
          <w:u w:color="000000"/>
          <w:bdr w:val="nil"/>
        </w:rPr>
      </w:pPr>
      <w:r>
        <w:rPr>
          <w:noProof/>
        </w:rPr>
        <w:lastRenderedPageBreak/>
        <w:t>•</w:t>
      </w:r>
      <w:r>
        <w:rPr>
          <w:noProof/>
        </w:rPr>
        <w:tab/>
        <w:t>Droits fondamentaux</w:t>
      </w:r>
    </w:p>
    <w:p w:rsidR="00B355F9" w:rsidRDefault="00C21BBF">
      <w:pPr>
        <w:pBdr>
          <w:top w:val="nil"/>
          <w:left w:val="nil"/>
          <w:bottom w:val="nil"/>
          <w:right w:val="nil"/>
          <w:between w:val="nil"/>
          <w:bar w:val="nil"/>
        </w:pBdr>
        <w:spacing w:before="0" w:after="240"/>
        <w:rPr>
          <w:rFonts w:eastAsia="Arial Unicode MS"/>
          <w:noProof/>
        </w:rPr>
      </w:pPr>
      <w:r>
        <w:rPr>
          <w:noProof/>
        </w:rPr>
        <w:t>La proposition n’a pas d’incidence sur les droits fondamentaux.</w:t>
      </w:r>
    </w:p>
    <w:p w:rsidR="00B355F9" w:rsidRDefault="00C21BBF">
      <w:pPr>
        <w:pStyle w:val="ManualHeading1"/>
        <w:rPr>
          <w:noProof/>
        </w:rPr>
      </w:pPr>
      <w:r>
        <w:rPr>
          <w:noProof/>
        </w:rPr>
        <w:t>4.</w:t>
      </w:r>
      <w:r>
        <w:rPr>
          <w:noProof/>
        </w:rPr>
        <w:tab/>
        <w:t>INCIDENCE BUDGÉTAIRE</w:t>
      </w:r>
    </w:p>
    <w:p w:rsidR="00B355F9" w:rsidRDefault="00C21BBF">
      <w:pPr>
        <w:rPr>
          <w:noProof/>
        </w:rPr>
      </w:pPr>
      <w:r>
        <w:rPr>
          <w:noProof/>
        </w:rPr>
        <w:t>La présente proposition est sans incidence financière sur les dépenses, mais a une incidence financière sur les recettes. Les droits de douane no</w:t>
      </w:r>
      <w:r>
        <w:rPr>
          <w:noProof/>
        </w:rPr>
        <w:t>n perçus s'élèvent à un montant total d'environ 32,9 millions d'EUR par an. L'incidence sur les ressources propres traditionnelles du budget est une perte de 24,7 millions d'EUR par an (soit 75 % x 32,9 millions d'EUR par an). La fiche financière législati</w:t>
      </w:r>
      <w:r>
        <w:rPr>
          <w:noProof/>
        </w:rPr>
        <w:t xml:space="preserve">ve contient de plus amples informations sur les incidences budgétaires de la proposition. </w:t>
      </w:r>
    </w:p>
    <w:p w:rsidR="00B355F9" w:rsidRDefault="00C21BBF">
      <w:pPr>
        <w:rPr>
          <w:noProof/>
        </w:rPr>
      </w:pPr>
      <w:r>
        <w:rPr>
          <w:noProof/>
        </w:rPr>
        <w:t>Cette perte de recettes pour les ressources propres traditionnelles devra être compensée par les contributions des États membres calculées sur la base du RNB.</w:t>
      </w:r>
    </w:p>
    <w:p w:rsidR="00B355F9" w:rsidRDefault="00C21BBF">
      <w:pPr>
        <w:pStyle w:val="ManualHeading1"/>
        <w:rPr>
          <w:noProof/>
        </w:rPr>
      </w:pPr>
      <w:r>
        <w:rPr>
          <w:noProof/>
        </w:rPr>
        <w:t>5.</w:t>
      </w:r>
      <w:r>
        <w:rPr>
          <w:noProof/>
        </w:rPr>
        <w:tab/>
      </w:r>
      <w:r>
        <w:rPr>
          <w:noProof/>
        </w:rPr>
        <w:t>AUTRES ÉLÉMENTS</w:t>
      </w:r>
    </w:p>
    <w:p w:rsidR="00B355F9" w:rsidRDefault="00C21BBF">
      <w:pPr>
        <w:pStyle w:val="ManualHeading2"/>
        <w:rPr>
          <w:rFonts w:eastAsia="Arial Unicode MS"/>
          <w:noProof/>
          <w:u w:color="000000"/>
          <w:bdr w:val="nil"/>
        </w:rPr>
      </w:pPr>
      <w:r>
        <w:rPr>
          <w:noProof/>
        </w:rPr>
        <w:t>•</w:t>
      </w:r>
      <w:r>
        <w:rPr>
          <w:noProof/>
        </w:rPr>
        <w:tab/>
        <w:t>Plans de mise en œuvre et modalités de suivi, d’évaluation et d’information</w:t>
      </w:r>
    </w:p>
    <w:p w:rsidR="00B355F9" w:rsidRDefault="00C21BBF">
      <w:pPr>
        <w:pBdr>
          <w:top w:val="nil"/>
          <w:left w:val="nil"/>
          <w:bottom w:val="nil"/>
          <w:right w:val="nil"/>
          <w:between w:val="nil"/>
          <w:bar w:val="nil"/>
        </w:pBdr>
        <w:spacing w:before="0" w:after="240"/>
        <w:rPr>
          <w:noProof/>
        </w:rPr>
      </w:pPr>
      <w:r>
        <w:rPr>
          <w:noProof/>
        </w:rPr>
        <w:t>Les mesures proposées sont traitées dans le cadre du TARIC (Tarif intégré de l’Union européenne) et appliquées par les administrations douanières des États membre</w:t>
      </w:r>
      <w:r>
        <w:rPr>
          <w:noProof/>
        </w:rPr>
        <w:t>s.</w:t>
      </w:r>
    </w:p>
    <w:p w:rsidR="00B355F9" w:rsidRDefault="00C21BBF">
      <w:pPr>
        <w:pBdr>
          <w:top w:val="nil"/>
          <w:left w:val="nil"/>
          <w:bottom w:val="nil"/>
          <w:right w:val="nil"/>
          <w:between w:val="nil"/>
          <w:bar w:val="nil"/>
        </w:pBdr>
        <w:spacing w:before="0" w:after="240"/>
        <w:rPr>
          <w:rFonts w:eastAsia="Arial Unicode MS"/>
          <w:noProof/>
        </w:rPr>
      </w:pPr>
      <w:r>
        <w:rPr>
          <w:noProof/>
        </w:rPr>
        <w:t xml:space="preserve">Le contrôle de la destination particulière de certains des produits visés par le présent règlement du Conseil s'effectuera conformément aux articles 291 à 300 du règlement (CEE) n° 2454/93 de la Commission fixant certaines dispositions d'application du </w:t>
      </w:r>
      <w:r>
        <w:rPr>
          <w:noProof/>
        </w:rPr>
        <w:t>code des douanes communautaire.</w:t>
      </w:r>
    </w:p>
    <w:p w:rsidR="00B355F9" w:rsidRDefault="00C21BBF">
      <w:pPr>
        <w:pStyle w:val="ManualHeading2"/>
        <w:rPr>
          <w:rFonts w:eastAsia="Arial Unicode MS"/>
          <w:noProof/>
          <w:u w:color="000000"/>
          <w:bdr w:val="nil"/>
        </w:rPr>
      </w:pPr>
      <w:r>
        <w:rPr>
          <w:noProof/>
        </w:rPr>
        <w:t>•</w:t>
      </w:r>
      <w:r>
        <w:rPr>
          <w:noProof/>
        </w:rPr>
        <w:tab/>
        <w:t>Documents explicatifs (pour les directives)</w:t>
      </w:r>
    </w:p>
    <w:p w:rsidR="00B355F9" w:rsidRDefault="00C21BBF">
      <w:pPr>
        <w:pBdr>
          <w:top w:val="nil"/>
          <w:left w:val="nil"/>
          <w:bottom w:val="nil"/>
          <w:right w:val="nil"/>
          <w:between w:val="nil"/>
          <w:bar w:val="nil"/>
        </w:pBdr>
        <w:spacing w:before="0" w:after="240"/>
        <w:rPr>
          <w:rFonts w:eastAsia="Arial Unicode MS"/>
          <w:noProof/>
        </w:rPr>
      </w:pPr>
      <w:r>
        <w:rPr>
          <w:noProof/>
        </w:rPr>
        <w:t>Sans objet</w:t>
      </w:r>
    </w:p>
    <w:p w:rsidR="00B355F9" w:rsidRDefault="00C21BBF">
      <w:pPr>
        <w:pStyle w:val="ManualHeading2"/>
        <w:rPr>
          <w:rFonts w:eastAsia="Arial Unicode MS"/>
          <w:noProof/>
          <w:u w:color="000000"/>
          <w:bdr w:val="nil"/>
        </w:rPr>
      </w:pPr>
      <w:r>
        <w:rPr>
          <w:noProof/>
        </w:rPr>
        <w:t>•</w:t>
      </w:r>
      <w:r>
        <w:rPr>
          <w:noProof/>
        </w:rPr>
        <w:tab/>
        <w:t>Explication détaillée des différentes dispositions de la proposition</w:t>
      </w:r>
    </w:p>
    <w:p w:rsidR="00B355F9" w:rsidRDefault="00C21BBF">
      <w:pPr>
        <w:pStyle w:val="Text1"/>
        <w:ind w:left="0"/>
        <w:rPr>
          <w:noProof/>
        </w:rPr>
      </w:pPr>
      <w:r>
        <w:rPr>
          <w:noProof/>
        </w:rPr>
        <w:t>Sans objet</w:t>
      </w:r>
    </w:p>
    <w:p w:rsidR="00B355F9" w:rsidRDefault="00B355F9">
      <w:pPr>
        <w:rPr>
          <w:noProof/>
        </w:rPr>
        <w:sectPr w:rsidR="00B355F9" w:rsidSect="00C21BBF">
          <w:footerReference w:type="default" r:id="rId16"/>
          <w:footerReference w:type="first" r:id="rId17"/>
          <w:pgSz w:w="11907" w:h="16839"/>
          <w:pgMar w:top="1134" w:right="1417" w:bottom="1134" w:left="1417" w:header="709" w:footer="709" w:gutter="0"/>
          <w:cols w:space="708"/>
          <w:docGrid w:linePitch="360"/>
        </w:sectPr>
      </w:pPr>
    </w:p>
    <w:p w:rsidR="00B355F9" w:rsidRDefault="00C21BBF">
      <w:pPr>
        <w:pStyle w:val="Rfrenceinterinstitutionnelle"/>
        <w:rPr>
          <w:noProof/>
        </w:rPr>
      </w:pPr>
      <w:r>
        <w:rPr>
          <w:noProof/>
        </w:rPr>
        <w:t>2015/0279 (NLE)</w:t>
      </w:r>
    </w:p>
    <w:p w:rsidR="00B355F9" w:rsidRDefault="00C21BBF">
      <w:pPr>
        <w:pStyle w:val="Statut"/>
        <w:rPr>
          <w:noProof/>
        </w:rPr>
      </w:pPr>
      <w:r>
        <w:rPr>
          <w:noProof/>
        </w:rPr>
        <w:t>Proposition de</w:t>
      </w:r>
    </w:p>
    <w:p w:rsidR="00B355F9" w:rsidRDefault="00C21BBF">
      <w:pPr>
        <w:pStyle w:val="Typedudocument"/>
        <w:rPr>
          <w:noProof/>
        </w:rPr>
      </w:pPr>
      <w:r>
        <w:rPr>
          <w:noProof/>
        </w:rPr>
        <w:t>RÈGLEMENT DU CONSEIL</w:t>
      </w:r>
    </w:p>
    <w:p w:rsidR="00B355F9" w:rsidRDefault="00C21BBF">
      <w:pPr>
        <w:pStyle w:val="Titreobjet"/>
        <w:rPr>
          <w:noProof/>
        </w:rPr>
      </w:pPr>
      <w:r>
        <w:rPr>
          <w:noProof/>
        </w:rPr>
        <w:t>modifiant le règlement (UE) n° 1387/2013 portant suspension des droits autonomes du tarif douanier commun sur certains produits agricoles et industriels</w:t>
      </w:r>
    </w:p>
    <w:p w:rsidR="00B355F9" w:rsidRDefault="00C21BBF">
      <w:pPr>
        <w:pStyle w:val="Institutionquiagit"/>
        <w:rPr>
          <w:noProof/>
        </w:rPr>
      </w:pPr>
      <w:r>
        <w:rPr>
          <w:noProof/>
        </w:rPr>
        <w:t>LE CONSEIL DE L'UNION EUROPÉENNE</w:t>
      </w:r>
      <w:r>
        <w:rPr>
          <w:noProof/>
        </w:rPr>
        <w:t>,</w:t>
      </w:r>
    </w:p>
    <w:p w:rsidR="00B355F9" w:rsidRDefault="00C21BBF">
      <w:pPr>
        <w:rPr>
          <w:noProof/>
        </w:rPr>
      </w:pPr>
      <w:r>
        <w:rPr>
          <w:noProof/>
        </w:rPr>
        <w:t>vu le traité sur le fonctionnement de l'Union européenne, et notamment son article 31,</w:t>
      </w:r>
    </w:p>
    <w:p w:rsidR="00B355F9" w:rsidRDefault="00C21BBF">
      <w:pPr>
        <w:rPr>
          <w:noProof/>
        </w:rPr>
      </w:pPr>
      <w:r>
        <w:rPr>
          <w:noProof/>
        </w:rPr>
        <w:t>vu la proposition de la Commission européenne,</w:t>
      </w:r>
    </w:p>
    <w:p w:rsidR="00B355F9" w:rsidRDefault="00C21BBF">
      <w:pPr>
        <w:rPr>
          <w:noProof/>
        </w:rPr>
      </w:pPr>
      <w:r>
        <w:rPr>
          <w:noProof/>
        </w:rPr>
        <w:t>considérant ce qui suit:</w:t>
      </w:r>
    </w:p>
    <w:p w:rsidR="00B355F9" w:rsidRDefault="00C21BBF">
      <w:pPr>
        <w:pStyle w:val="ManualConsidrant"/>
        <w:rPr>
          <w:noProof/>
        </w:rPr>
      </w:pPr>
      <w:r>
        <w:t>(1)</w:t>
      </w:r>
      <w:r>
        <w:tab/>
      </w:r>
      <w:r>
        <w:rPr>
          <w:noProof/>
        </w:rPr>
        <w:t xml:space="preserve">Il est dans l'intérêt de l'Union de suspendre totalement les droits autonomes du tarif </w:t>
      </w:r>
      <w:r>
        <w:rPr>
          <w:noProof/>
        </w:rPr>
        <w:t>douanier commun pour 110 produits qui ne figurent pas actuellement à l'annexe I du règlement (UE) n° 1387/2013 du Conseil</w:t>
      </w:r>
      <w:r>
        <w:rPr>
          <w:rStyle w:val="FootnoteReference"/>
          <w:noProof/>
        </w:rPr>
        <w:footnoteReference w:id="1"/>
      </w:r>
      <w:r>
        <w:rPr>
          <w:noProof/>
        </w:rPr>
        <w:t xml:space="preserve">. </w:t>
      </w:r>
    </w:p>
    <w:p w:rsidR="00B355F9" w:rsidRDefault="00C21BBF">
      <w:pPr>
        <w:pStyle w:val="ManualConsidrant"/>
        <w:rPr>
          <w:noProof/>
        </w:rPr>
      </w:pPr>
      <w:r>
        <w:t>(2)</w:t>
      </w:r>
      <w:r>
        <w:tab/>
      </w:r>
      <w:r>
        <w:rPr>
          <w:noProof/>
        </w:rPr>
        <w:t xml:space="preserve">Il n'est plus dans l'intérêt de l'Union de maintenir la suspension des droits autonomes du tarif douanier commun pour 41 des produits qui figurent actuellement à l'annexe I du règlement (UE) n° 1387/2013. </w:t>
      </w:r>
    </w:p>
    <w:p w:rsidR="00B355F9" w:rsidRDefault="00C21BBF">
      <w:pPr>
        <w:pStyle w:val="ManualConsidrant"/>
        <w:rPr>
          <w:noProof/>
        </w:rPr>
      </w:pPr>
      <w:r>
        <w:t>(3)</w:t>
      </w:r>
      <w:r>
        <w:tab/>
      </w:r>
      <w:r>
        <w:rPr>
          <w:noProof/>
        </w:rPr>
        <w:t>Il est nécessaire de modifier la désignation d</w:t>
      </w:r>
      <w:r>
        <w:rPr>
          <w:noProof/>
        </w:rPr>
        <w:t xml:space="preserve">es marchandises pour 45 suspensions qui figure actuellement à l'annexe I du règlement (UE) n° 1387/2013 afin de tenir compte des évolutions techniques des produits et des tendances économiques du marché ou de procéder à des adaptations linguistiques. À la </w:t>
      </w:r>
      <w:r>
        <w:rPr>
          <w:noProof/>
        </w:rPr>
        <w:t>lumière des modifications qui seront apportées à la nomenclature combinée au 1er janvier 2016, il convient en outre de modifier les codes NC de 22 produits.</w:t>
      </w:r>
    </w:p>
    <w:p w:rsidR="00B355F9" w:rsidRDefault="00C21BBF">
      <w:pPr>
        <w:pStyle w:val="ManualConsidrant"/>
        <w:rPr>
          <w:noProof/>
          <w:specVanish/>
        </w:rPr>
      </w:pPr>
      <w:r>
        <w:t>(4)</w:t>
      </w:r>
      <w:r>
        <w:tab/>
      </w:r>
      <w:r>
        <w:rPr>
          <w:noProof/>
        </w:rPr>
        <w:t>Dans l'intérêt de l'Union, il est également nécessaire de modifier la date de fin du réexamen o</w:t>
      </w:r>
      <w:r>
        <w:rPr>
          <w:noProof/>
        </w:rPr>
        <w:t>bligatoire pour 148 produits qui figurent actuellement à l'annexe I du règlement (UE) n° 1387/2013 afin d'autoriser les importations en franchise de droits après cette date. Les suspensions pour ces produits ont été réexaminées et de nouvelles dates révisé</w:t>
      </w:r>
      <w:r>
        <w:rPr>
          <w:noProof/>
        </w:rPr>
        <w:t xml:space="preserve">es devraient être fixées pour leur prochain réexamen obligatoire. </w:t>
      </w:r>
    </w:p>
    <w:p w:rsidR="00B355F9" w:rsidRDefault="00C21BBF">
      <w:pPr>
        <w:pStyle w:val="ManualConsidrant"/>
        <w:rPr>
          <w:noProof/>
        </w:rPr>
      </w:pPr>
      <w:r>
        <w:t>(5)</w:t>
      </w:r>
      <w:r>
        <w:tab/>
      </w:r>
      <w:r>
        <w:rPr>
          <w:noProof/>
        </w:rPr>
        <w:t>Afin de permettre un suivi statistique approprié, il y a lieu de mettre à jour l'annexe II actuelle du règlement (UE) n° 1387/2013 en tenant compte des modifications apportées à la list</w:t>
      </w:r>
      <w:r>
        <w:rPr>
          <w:noProof/>
        </w:rPr>
        <w:t>e des produits figurant à l'annexe I dudit règlement.</w:t>
      </w:r>
    </w:p>
    <w:p w:rsidR="00B355F9" w:rsidRDefault="00C21BBF">
      <w:pPr>
        <w:pStyle w:val="ManualConsidrant"/>
        <w:rPr>
          <w:noProof/>
        </w:rPr>
      </w:pPr>
      <w:r>
        <w:t>(6)</w:t>
      </w:r>
      <w:r>
        <w:tab/>
      </w:r>
      <w:r>
        <w:rPr>
          <w:noProof/>
        </w:rPr>
        <w:t xml:space="preserve">Dans un souci de clarté et de rationalité, il convient de fusionner les annexes I et II actuelles du règlement (UE) n° 1387/2013. </w:t>
      </w:r>
    </w:p>
    <w:p w:rsidR="00B355F9" w:rsidRDefault="00C21BBF">
      <w:pPr>
        <w:pStyle w:val="ManualConsidrant"/>
        <w:rPr>
          <w:noProof/>
        </w:rPr>
      </w:pPr>
      <w:r>
        <w:t>(7)</w:t>
      </w:r>
      <w:r>
        <w:tab/>
      </w:r>
      <w:r>
        <w:rPr>
          <w:noProof/>
        </w:rPr>
        <w:t>À la suite de la fusion des annexes I et II du règlement (UE) n</w:t>
      </w:r>
      <w:r>
        <w:rPr>
          <w:noProof/>
        </w:rPr>
        <w:t>° 1387/2013 et dans le souci d'une meilleure gestion du régime des suspensions tarifaires, il y a lieu de modifier le libellé de certaines dispositions dudit règlement.</w:t>
      </w:r>
    </w:p>
    <w:p w:rsidR="00B355F9" w:rsidRDefault="00C21BBF">
      <w:pPr>
        <w:pStyle w:val="ManualConsidrant"/>
        <w:rPr>
          <w:noProof/>
        </w:rPr>
      </w:pPr>
      <w:r>
        <w:t>(8)</w:t>
      </w:r>
      <w:r>
        <w:tab/>
      </w:r>
      <w:r>
        <w:rPr>
          <w:noProof/>
        </w:rPr>
        <w:t>Il convient dès lors de modifier le règlement (UE) n° 1387/2013 en conséquence.</w:t>
      </w:r>
    </w:p>
    <w:p w:rsidR="00B355F9" w:rsidRDefault="00C21BBF">
      <w:pPr>
        <w:pStyle w:val="ManualConsidrant"/>
        <w:rPr>
          <w:noProof/>
        </w:rPr>
      </w:pPr>
      <w:r>
        <w:t>(9)</w:t>
      </w:r>
      <w:r>
        <w:tab/>
      </w:r>
      <w:r>
        <w:rPr>
          <w:noProof/>
        </w:rPr>
        <w:t>Étant donné que les modifications portant sur les suspensions pour les produits concernés prévues au présent règlement doivent s'appliquer à partir du 1er janvier 2016, l’entrée en vigueur du présent règlement revêt un caractère d’urgence.</w:t>
      </w:r>
    </w:p>
    <w:p w:rsidR="00B355F9" w:rsidRDefault="00C21BBF">
      <w:pPr>
        <w:pStyle w:val="Formuledadoption"/>
        <w:rPr>
          <w:noProof/>
        </w:rPr>
      </w:pPr>
      <w:r>
        <w:rPr>
          <w:noProof/>
        </w:rPr>
        <w:t>A ADOPTÉ LE PRÉ</w:t>
      </w:r>
      <w:r>
        <w:rPr>
          <w:noProof/>
        </w:rPr>
        <w:t>SENT RÈGLEMENT:</w:t>
      </w:r>
    </w:p>
    <w:p w:rsidR="00B355F9" w:rsidRDefault="00C21BBF">
      <w:pPr>
        <w:pStyle w:val="Titrearticle"/>
        <w:rPr>
          <w:noProof/>
        </w:rPr>
      </w:pPr>
      <w:r>
        <w:rPr>
          <w:noProof/>
        </w:rPr>
        <w:t>Article premier</w:t>
      </w:r>
    </w:p>
    <w:p w:rsidR="00B355F9" w:rsidRDefault="00C21BBF">
      <w:pPr>
        <w:rPr>
          <w:rFonts w:eastAsia="Times New Roman"/>
          <w:noProof/>
          <w:szCs w:val="24"/>
        </w:rPr>
      </w:pPr>
      <w:r>
        <w:rPr>
          <w:noProof/>
        </w:rPr>
        <w:t>Le règlement (UE) n° 1387/2013 est modifié comme suit:</w:t>
      </w:r>
    </w:p>
    <w:p w:rsidR="00B355F9" w:rsidRDefault="00C21BBF">
      <w:pPr>
        <w:ind w:left="720" w:hanging="720"/>
        <w:rPr>
          <w:noProof/>
        </w:rPr>
      </w:pPr>
      <w:r>
        <w:rPr>
          <w:noProof/>
        </w:rPr>
        <w:t>1)</w:t>
      </w:r>
      <w:r>
        <w:rPr>
          <w:noProof/>
        </w:rPr>
        <w:tab/>
        <w:t>à l'article 1</w:t>
      </w:r>
      <w:r>
        <w:rPr>
          <w:noProof/>
          <w:vertAlign w:val="superscript"/>
        </w:rPr>
        <w:t>er</w:t>
      </w:r>
      <w:r>
        <w:rPr>
          <w:noProof/>
        </w:rPr>
        <w:t>, les termes «annexe I» sont remplacés par les termes «l'annexe»;</w:t>
      </w:r>
    </w:p>
    <w:p w:rsidR="00B355F9" w:rsidRDefault="00C21BBF">
      <w:pPr>
        <w:rPr>
          <w:noProof/>
        </w:rPr>
      </w:pPr>
      <w:r>
        <w:rPr>
          <w:noProof/>
        </w:rPr>
        <w:t>2)</w:t>
      </w:r>
      <w:r>
        <w:rPr>
          <w:noProof/>
        </w:rPr>
        <w:tab/>
        <w:t>L’article 2 est modifié comme suit:</w:t>
      </w:r>
    </w:p>
    <w:p w:rsidR="00B355F9" w:rsidRDefault="00C21BBF">
      <w:pPr>
        <w:pStyle w:val="Point1letter"/>
        <w:numPr>
          <w:ilvl w:val="3"/>
          <w:numId w:val="13"/>
        </w:numPr>
        <w:rPr>
          <w:noProof/>
        </w:rPr>
      </w:pPr>
      <w:r>
        <w:rPr>
          <w:noProof/>
        </w:rPr>
        <w:t xml:space="preserve"> au paragraphe 1, les termes «annexe I» sont r</w:t>
      </w:r>
      <w:r>
        <w:rPr>
          <w:noProof/>
        </w:rPr>
        <w:t>emplacés par les termes «l'annexe»;</w:t>
      </w:r>
    </w:p>
    <w:p w:rsidR="00B355F9" w:rsidRDefault="00C21BBF">
      <w:pPr>
        <w:pStyle w:val="Point1letter"/>
        <w:rPr>
          <w:noProof/>
        </w:rPr>
      </w:pPr>
      <w:r>
        <w:rPr>
          <w:noProof/>
        </w:rPr>
        <w:t xml:space="preserve"> Le paragraphe 2 est remplacé par le texte suivant:</w:t>
      </w:r>
    </w:p>
    <w:p w:rsidR="00B355F9" w:rsidRDefault="00C21BBF">
      <w:pPr>
        <w:ind w:left="720"/>
        <w:rPr>
          <w:noProof/>
        </w:rPr>
      </w:pPr>
      <w:r>
        <w:rPr>
          <w:noProof/>
        </w:rPr>
        <w:t>«2.</w:t>
      </w:r>
      <w:r>
        <w:rPr>
          <w:noProof/>
        </w:rPr>
        <w:tab/>
        <w:t>La Commission examine les suspensions pour les produits qui figurent à l'annexe au cours de l'année qui précède la date de fin du réexamen obligatoire prévue dans l</w:t>
      </w:r>
      <w:r>
        <w:rPr>
          <w:noProof/>
        </w:rPr>
        <w:t>adite annexe.»;</w:t>
      </w:r>
    </w:p>
    <w:p w:rsidR="00B355F9" w:rsidRDefault="00B355F9">
      <w:pPr>
        <w:rPr>
          <w:noProof/>
        </w:rPr>
      </w:pPr>
    </w:p>
    <w:p w:rsidR="00B355F9" w:rsidRDefault="00C21BBF">
      <w:pPr>
        <w:rPr>
          <w:noProof/>
          <w:color w:val="444444"/>
          <w:sz w:val="27"/>
          <w:szCs w:val="27"/>
        </w:rPr>
      </w:pPr>
      <w:r>
        <w:rPr>
          <w:noProof/>
        </w:rPr>
        <w:t>3)</w:t>
      </w:r>
      <w:r>
        <w:rPr>
          <w:noProof/>
        </w:rPr>
        <w:tab/>
        <w:t>L'article 3 est remplacé par le texte suivant:</w:t>
      </w:r>
    </w:p>
    <w:p w:rsidR="00B355F9" w:rsidRDefault="00B355F9">
      <w:pPr>
        <w:rPr>
          <w:noProof/>
        </w:rPr>
      </w:pPr>
    </w:p>
    <w:p w:rsidR="00B355F9" w:rsidRDefault="00C21BBF">
      <w:pPr>
        <w:pStyle w:val="Titrearticle"/>
        <w:rPr>
          <w:noProof/>
        </w:rPr>
      </w:pPr>
      <w:r>
        <w:rPr>
          <w:noProof/>
        </w:rPr>
        <w:t>«Article 3</w:t>
      </w:r>
    </w:p>
    <w:p w:rsidR="00B355F9" w:rsidRDefault="00C21BBF">
      <w:pPr>
        <w:ind w:left="400" w:right="400"/>
        <w:rPr>
          <w:noProof/>
        </w:rPr>
      </w:pPr>
      <w:r>
        <w:rPr>
          <w:noProof/>
        </w:rPr>
        <w:t>Lors de la présentation de la déclaration de mise en libre pratique pour les produits pour lesquels des unités de mesure supplémentaires ont été indiquées dans l'annexe, le volu</w:t>
      </w:r>
      <w:r>
        <w:rPr>
          <w:noProof/>
        </w:rPr>
        <w:t>me exact des produits importés est inscrit dans la «case 41: unités supplémentaires» de ladite déclaration en utilisant l'unité de mesure prévue dans l'annexe.»;</w:t>
      </w:r>
    </w:p>
    <w:p w:rsidR="00B355F9" w:rsidRDefault="00B355F9">
      <w:pPr>
        <w:ind w:left="400" w:right="400"/>
        <w:rPr>
          <w:noProof/>
        </w:rPr>
      </w:pPr>
    </w:p>
    <w:p w:rsidR="00B355F9" w:rsidRDefault="00C21BBF">
      <w:pPr>
        <w:ind w:left="720" w:hanging="720"/>
        <w:rPr>
          <w:noProof/>
        </w:rPr>
      </w:pPr>
      <w:r>
        <w:rPr>
          <w:noProof/>
        </w:rPr>
        <w:t>4)</w:t>
      </w:r>
      <w:r>
        <w:rPr>
          <w:noProof/>
        </w:rPr>
        <w:tab/>
        <w:t>Les annexes I et II du règlement (UE) n° 1387/2013 sont remplacées par le texte figurant à</w:t>
      </w:r>
      <w:r>
        <w:rPr>
          <w:noProof/>
        </w:rPr>
        <w:t xml:space="preserve"> l'annexe du présent règlement.</w:t>
      </w:r>
    </w:p>
    <w:p w:rsidR="00B355F9" w:rsidRDefault="00C21BBF">
      <w:pPr>
        <w:pStyle w:val="Titrearticle"/>
        <w:rPr>
          <w:noProof/>
        </w:rPr>
      </w:pPr>
      <w:r>
        <w:rPr>
          <w:noProof/>
        </w:rPr>
        <w:t xml:space="preserve">Article 2 </w:t>
      </w:r>
    </w:p>
    <w:p w:rsidR="00B355F9" w:rsidRDefault="00C21BBF">
      <w:pPr>
        <w:rPr>
          <w:noProof/>
        </w:rPr>
      </w:pPr>
      <w:r>
        <w:rPr>
          <w:noProof/>
        </w:rPr>
        <w:t xml:space="preserve">Le présent règlement entre en vigueur le jour de sa publication au </w:t>
      </w:r>
      <w:r>
        <w:rPr>
          <w:i/>
          <w:noProof/>
        </w:rPr>
        <w:t>Journal officiel de l'Union européenne</w:t>
      </w:r>
      <w:r>
        <w:rPr>
          <w:noProof/>
        </w:rPr>
        <w:t>.</w:t>
      </w:r>
    </w:p>
    <w:p w:rsidR="00B355F9" w:rsidRDefault="00C21BBF">
      <w:pPr>
        <w:rPr>
          <w:noProof/>
        </w:rPr>
      </w:pPr>
      <w:r>
        <w:rPr>
          <w:noProof/>
        </w:rPr>
        <w:t>Il s'applique à compter du 1</w:t>
      </w:r>
      <w:r>
        <w:rPr>
          <w:noProof/>
          <w:vertAlign w:val="superscript"/>
        </w:rPr>
        <w:t>er</w:t>
      </w:r>
      <w:r>
        <w:rPr>
          <w:noProof/>
        </w:rPr>
        <w:t xml:space="preserve"> janvier 2016. </w:t>
      </w:r>
    </w:p>
    <w:p w:rsidR="00B355F9" w:rsidRDefault="00C21BBF">
      <w:pPr>
        <w:pStyle w:val="Applicationdirecte"/>
        <w:keepNext/>
        <w:keepLines/>
        <w:rPr>
          <w:noProof/>
        </w:rPr>
      </w:pPr>
      <w:r>
        <w:rPr>
          <w:noProof/>
        </w:rPr>
        <w:t xml:space="preserve">Le présent règlement est obligatoire dans tous ses éléments </w:t>
      </w:r>
      <w:r>
        <w:rPr>
          <w:noProof/>
        </w:rPr>
        <w:t>et directement applicable dans tout État membre.</w:t>
      </w:r>
    </w:p>
    <w:p w:rsidR="00B355F9" w:rsidRDefault="00C21BBF">
      <w:pPr>
        <w:pStyle w:val="Fait"/>
        <w:rPr>
          <w:noProof/>
        </w:rPr>
      </w:pPr>
      <w:r>
        <w:rPr>
          <w:noProof/>
        </w:rPr>
        <w:t>Fait à Bruxelles, le</w:t>
      </w:r>
    </w:p>
    <w:p w:rsidR="00B355F9" w:rsidRDefault="00C21BBF">
      <w:pPr>
        <w:pStyle w:val="Institutionquisigne"/>
        <w:rPr>
          <w:noProof/>
        </w:rPr>
      </w:pPr>
      <w:r>
        <w:rPr>
          <w:noProof/>
        </w:rPr>
        <w:tab/>
        <w:t>Par le Conseil</w:t>
      </w:r>
    </w:p>
    <w:p w:rsidR="00B355F9" w:rsidRDefault="00C21BBF">
      <w:pPr>
        <w:pStyle w:val="Personnequisigne"/>
        <w:rPr>
          <w:noProof/>
        </w:rPr>
      </w:pPr>
      <w:r>
        <w:rPr>
          <w:noProof/>
        </w:rPr>
        <w:tab/>
        <w:t>Le président</w:t>
      </w:r>
    </w:p>
    <w:p w:rsidR="00B355F9" w:rsidRDefault="00B355F9">
      <w:pPr>
        <w:rPr>
          <w:noProof/>
        </w:rPr>
        <w:sectPr w:rsidR="00B355F9" w:rsidSect="00C21BBF">
          <w:pgSz w:w="11907" w:h="16839"/>
          <w:pgMar w:top="1134" w:right="1417" w:bottom="1134" w:left="1417" w:header="709" w:footer="709" w:gutter="0"/>
          <w:cols w:space="708"/>
          <w:docGrid w:linePitch="360"/>
        </w:sectPr>
      </w:pPr>
    </w:p>
    <w:p w:rsidR="00B355F9" w:rsidRDefault="00C21BBF">
      <w:pPr>
        <w:pStyle w:val="Fichefinanciretitre"/>
        <w:rPr>
          <w:noProof/>
        </w:rPr>
      </w:pPr>
      <w:r>
        <w:rPr>
          <w:noProof/>
        </w:rPr>
        <w:t>FICHE FINANCIÈRE LÉGISLATIVE</w:t>
      </w:r>
    </w:p>
    <w:p w:rsidR="00B355F9" w:rsidRDefault="00C21BBF">
      <w:pPr>
        <w:pStyle w:val="ManualHeading1"/>
        <w:rPr>
          <w:noProof/>
        </w:rPr>
      </w:pPr>
      <w:r>
        <w:rPr>
          <w:noProof/>
        </w:rPr>
        <w:t>1.</w:t>
      </w:r>
      <w:r>
        <w:rPr>
          <w:noProof/>
        </w:rPr>
        <w:tab/>
        <w:t>DÉNOMINATION DE LA PROPOSITION:</w:t>
      </w:r>
    </w:p>
    <w:p w:rsidR="00B355F9" w:rsidRDefault="00C21BBF">
      <w:pPr>
        <w:pStyle w:val="Text1"/>
        <w:rPr>
          <w:b/>
          <w:bCs/>
          <w:smallCaps/>
          <w:noProof/>
        </w:rPr>
      </w:pPr>
      <w:r>
        <w:rPr>
          <w:noProof/>
        </w:rPr>
        <w:t xml:space="preserve">Règlement du Conseil modifiant le règlement (UE) n° 1387/2013 portant </w:t>
      </w:r>
      <w:r>
        <w:rPr>
          <w:noProof/>
        </w:rPr>
        <w:t>suspension des droits autonomes du tarif douanier commun sur certains produits agricoles et industriels</w:t>
      </w:r>
    </w:p>
    <w:p w:rsidR="00B355F9" w:rsidRDefault="00C21BBF">
      <w:pPr>
        <w:pStyle w:val="ManualHeading1"/>
        <w:rPr>
          <w:noProof/>
          <w:szCs w:val="24"/>
        </w:rPr>
      </w:pPr>
      <w:r>
        <w:rPr>
          <w:noProof/>
        </w:rPr>
        <w:t>2.</w:t>
      </w:r>
      <w:r>
        <w:rPr>
          <w:noProof/>
        </w:rPr>
        <w:tab/>
        <w:t>LIGNES BUDGÉTAIRES</w:t>
      </w:r>
    </w:p>
    <w:p w:rsidR="00B355F9" w:rsidRDefault="00C21BBF">
      <w:pPr>
        <w:pStyle w:val="Text1"/>
        <w:rPr>
          <w:noProof/>
        </w:rPr>
      </w:pPr>
      <w:r>
        <w:rPr>
          <w:noProof/>
        </w:rPr>
        <w:t>Chapitre et article: chapitre 12, article 120</w:t>
      </w:r>
    </w:p>
    <w:p w:rsidR="00B355F9" w:rsidRDefault="00C21BBF">
      <w:pPr>
        <w:pStyle w:val="Text1"/>
        <w:rPr>
          <w:noProof/>
        </w:rPr>
      </w:pPr>
      <w:r>
        <w:rPr>
          <w:noProof/>
        </w:rPr>
        <w:t>Montant inscrit au budget pour l’exercice 2016: 18 465 300 000 EUR (B 2016)</w:t>
      </w:r>
    </w:p>
    <w:p w:rsidR="00B355F9" w:rsidRDefault="00C21BBF">
      <w:pPr>
        <w:pStyle w:val="ManualHeading1"/>
        <w:rPr>
          <w:noProof/>
          <w:szCs w:val="24"/>
        </w:rPr>
      </w:pPr>
      <w:r>
        <w:rPr>
          <w:noProof/>
        </w:rPr>
        <w:t>3.</w:t>
      </w:r>
      <w:r>
        <w:rPr>
          <w:noProof/>
        </w:rPr>
        <w:tab/>
        <w:t>INCID</w:t>
      </w:r>
      <w:r>
        <w:rPr>
          <w:noProof/>
        </w:rPr>
        <w:t>ENCE FINANCIÈRE</w:t>
      </w:r>
    </w:p>
    <w:p w:rsidR="00B355F9" w:rsidRDefault="00C21BBF">
      <w:pPr>
        <w:pStyle w:val="Text1"/>
        <w:rPr>
          <w:noProof/>
        </w:rPr>
      </w:pPr>
      <w:r>
        <w:rPr>
          <w:noProof/>
        </w:rPr>
        <w:sym w:font="Wingdings" w:char="F0A8"/>
      </w:r>
      <w:r>
        <w:rPr>
          <w:noProof/>
        </w:rPr>
        <w:tab/>
        <w:t>La proposition est sans incidence financière.</w:t>
      </w:r>
    </w:p>
    <w:p w:rsidR="00B355F9" w:rsidRDefault="00C21BBF">
      <w:pPr>
        <w:pStyle w:val="Text1"/>
        <w:rPr>
          <w:noProof/>
        </w:rPr>
      </w:pPr>
      <w:r>
        <w:rPr>
          <w:noProof/>
        </w:rPr>
        <w:t>X</w:t>
      </w:r>
      <w:r>
        <w:rPr>
          <w:noProof/>
        </w:rPr>
        <w:tab/>
        <w:t>La proposition est sans incidence financière sur les dépenses, mais a une incidence financière sur les recettes – l'effet étant le suivant:</w:t>
      </w:r>
    </w:p>
    <w:p w:rsidR="00B355F9" w:rsidRDefault="00C21BBF">
      <w:pPr>
        <w:jc w:val="right"/>
        <w:rPr>
          <w:noProof/>
          <w:snapToGrid w:val="0"/>
        </w:rPr>
      </w:pPr>
      <w:r>
        <w:rPr>
          <w:noProof/>
        </w:rPr>
        <w:t>(en Mio EUR à la première décimale)</w:t>
      </w:r>
    </w:p>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2"/>
        <w:gridCol w:w="2880"/>
        <w:gridCol w:w="2070"/>
        <w:gridCol w:w="2070"/>
      </w:tblGrid>
      <w:tr w:rsidR="00B355F9">
        <w:trPr>
          <w:gridAfter w:val="2"/>
          <w:wAfter w:w="4140" w:type="dxa"/>
          <w:cantSplit/>
        </w:trPr>
        <w:tc>
          <w:tcPr>
            <w:tcW w:w="1322" w:type="dxa"/>
          </w:tcPr>
          <w:p w:rsidR="00B355F9" w:rsidRDefault="00B355F9">
            <w:pPr>
              <w:spacing w:before="0" w:after="0"/>
              <w:jc w:val="left"/>
              <w:rPr>
                <w:noProof/>
                <w:snapToGrid w:val="0"/>
                <w:sz w:val="18"/>
              </w:rPr>
            </w:pPr>
          </w:p>
        </w:tc>
        <w:tc>
          <w:tcPr>
            <w:tcW w:w="2880" w:type="dxa"/>
          </w:tcPr>
          <w:p w:rsidR="00B355F9" w:rsidRDefault="00B355F9">
            <w:pPr>
              <w:spacing w:before="0" w:after="0"/>
              <w:jc w:val="left"/>
              <w:rPr>
                <w:noProof/>
                <w:snapToGrid w:val="0"/>
                <w:sz w:val="18"/>
              </w:rPr>
            </w:pPr>
          </w:p>
        </w:tc>
      </w:tr>
      <w:tr w:rsidR="00B355F9">
        <w:trPr>
          <w:cantSplit/>
        </w:trPr>
        <w:tc>
          <w:tcPr>
            <w:tcW w:w="1322" w:type="dxa"/>
          </w:tcPr>
          <w:p w:rsidR="00B355F9" w:rsidRDefault="00C21BBF">
            <w:pPr>
              <w:spacing w:before="0" w:after="0"/>
              <w:jc w:val="left"/>
              <w:rPr>
                <w:noProof/>
                <w:snapToGrid w:val="0"/>
              </w:rPr>
            </w:pPr>
            <w:r>
              <w:rPr>
                <w:noProof/>
                <w:sz w:val="22"/>
              </w:rPr>
              <w:t xml:space="preserve">Ligne </w:t>
            </w:r>
            <w:r>
              <w:rPr>
                <w:noProof/>
                <w:sz w:val="22"/>
              </w:rPr>
              <w:t>budgétaire</w:t>
            </w:r>
          </w:p>
        </w:tc>
        <w:tc>
          <w:tcPr>
            <w:tcW w:w="2880" w:type="dxa"/>
          </w:tcPr>
          <w:p w:rsidR="00B355F9" w:rsidRDefault="00C21BBF">
            <w:pPr>
              <w:spacing w:before="0" w:after="0"/>
              <w:jc w:val="center"/>
              <w:rPr>
                <w:noProof/>
                <w:snapToGrid w:val="0"/>
              </w:rPr>
            </w:pPr>
            <w:r>
              <w:rPr>
                <w:noProof/>
                <w:sz w:val="22"/>
              </w:rPr>
              <w:t>Recettes</w:t>
            </w:r>
            <w:r>
              <w:rPr>
                <w:rStyle w:val="FootnoteReference"/>
                <w:noProof/>
                <w:snapToGrid w:val="0"/>
                <w:sz w:val="22"/>
              </w:rPr>
              <w:footnoteReference w:id="2"/>
            </w:r>
          </w:p>
          <w:p w:rsidR="00B355F9" w:rsidRDefault="00B355F9">
            <w:pPr>
              <w:spacing w:before="0" w:after="0"/>
              <w:jc w:val="center"/>
              <w:rPr>
                <w:noProof/>
                <w:snapToGrid w:val="0"/>
              </w:rPr>
            </w:pPr>
          </w:p>
        </w:tc>
        <w:tc>
          <w:tcPr>
            <w:tcW w:w="2070" w:type="dxa"/>
            <w:shd w:val="clear" w:color="auto" w:fill="auto"/>
          </w:tcPr>
          <w:p w:rsidR="00B355F9" w:rsidRDefault="00C21BBF">
            <w:pPr>
              <w:spacing w:before="0" w:after="0"/>
              <w:jc w:val="center"/>
              <w:rPr>
                <w:noProof/>
                <w:snapToGrid w:val="0"/>
              </w:rPr>
            </w:pPr>
            <w:r>
              <w:rPr>
                <w:noProof/>
                <w:sz w:val="22"/>
              </w:rPr>
              <w:t>Période de 12 mois à partir de jj/mm/aaaa</w:t>
            </w:r>
          </w:p>
        </w:tc>
        <w:tc>
          <w:tcPr>
            <w:tcW w:w="2070" w:type="dxa"/>
            <w:shd w:val="clear" w:color="auto" w:fill="auto"/>
          </w:tcPr>
          <w:p w:rsidR="00B355F9" w:rsidRDefault="00C21BBF">
            <w:pPr>
              <w:spacing w:before="0" w:after="0"/>
              <w:jc w:val="center"/>
              <w:rPr>
                <w:noProof/>
                <w:snapToGrid w:val="0"/>
              </w:rPr>
            </w:pPr>
            <w:r>
              <w:rPr>
                <w:noProof/>
                <w:sz w:val="22"/>
              </w:rPr>
              <w:t>[année: 2016]</w:t>
            </w:r>
          </w:p>
        </w:tc>
      </w:tr>
      <w:tr w:rsidR="00B355F9">
        <w:trPr>
          <w:cantSplit/>
        </w:trPr>
        <w:tc>
          <w:tcPr>
            <w:tcW w:w="1322" w:type="dxa"/>
            <w:shd w:val="clear" w:color="auto" w:fill="auto"/>
          </w:tcPr>
          <w:p w:rsidR="00B355F9" w:rsidRDefault="00C21BBF">
            <w:pPr>
              <w:spacing w:before="0" w:after="0"/>
              <w:jc w:val="left"/>
              <w:rPr>
                <w:noProof/>
              </w:rPr>
            </w:pPr>
            <w:r>
              <w:rPr>
                <w:noProof/>
                <w:sz w:val="22"/>
              </w:rPr>
              <w:t xml:space="preserve">Article 120 </w:t>
            </w:r>
          </w:p>
          <w:p w:rsidR="00B355F9" w:rsidRDefault="00B355F9">
            <w:pPr>
              <w:spacing w:before="0" w:after="0"/>
              <w:jc w:val="left"/>
              <w:rPr>
                <w:noProof/>
                <w:snapToGrid w:val="0"/>
              </w:rPr>
            </w:pPr>
          </w:p>
        </w:tc>
        <w:tc>
          <w:tcPr>
            <w:tcW w:w="2880" w:type="dxa"/>
          </w:tcPr>
          <w:p w:rsidR="00B355F9" w:rsidRDefault="00C21BBF">
            <w:pPr>
              <w:spacing w:before="0" w:after="0"/>
              <w:jc w:val="left"/>
              <w:rPr>
                <w:i/>
                <w:noProof/>
                <w:snapToGrid w:val="0"/>
              </w:rPr>
            </w:pPr>
            <w:r>
              <w:rPr>
                <w:i/>
                <w:noProof/>
                <w:sz w:val="22"/>
              </w:rPr>
              <w:t>Incidence sur les ressources propres</w:t>
            </w:r>
          </w:p>
        </w:tc>
        <w:tc>
          <w:tcPr>
            <w:tcW w:w="2070" w:type="dxa"/>
            <w:shd w:val="clear" w:color="auto" w:fill="auto"/>
          </w:tcPr>
          <w:p w:rsidR="00B355F9" w:rsidRDefault="00C21BBF">
            <w:pPr>
              <w:spacing w:before="0" w:after="0"/>
              <w:jc w:val="left"/>
              <w:rPr>
                <w:noProof/>
                <w:snapToGrid w:val="0"/>
              </w:rPr>
            </w:pPr>
            <w:r>
              <w:rPr>
                <w:noProof/>
                <w:snapToGrid w:val="0"/>
                <w:sz w:val="22"/>
              </w:rPr>
              <w:t xml:space="preserve">      1.1.2016</w:t>
            </w:r>
          </w:p>
        </w:tc>
        <w:tc>
          <w:tcPr>
            <w:tcW w:w="2070" w:type="dxa"/>
            <w:shd w:val="clear" w:color="auto" w:fill="auto"/>
          </w:tcPr>
          <w:p w:rsidR="00B355F9" w:rsidRDefault="00C21BBF">
            <w:pPr>
              <w:spacing w:before="0" w:after="0"/>
              <w:jc w:val="left"/>
              <w:rPr>
                <w:noProof/>
                <w:snapToGrid w:val="0"/>
              </w:rPr>
            </w:pPr>
            <w:r>
              <w:rPr>
                <w:noProof/>
                <w:snapToGrid w:val="0"/>
                <w:sz w:val="22"/>
              </w:rPr>
              <w:t xml:space="preserve">           -</w:t>
            </w:r>
            <w:r>
              <w:rPr>
                <w:noProof/>
                <w:sz w:val="22"/>
              </w:rPr>
              <w:t>24,7</w:t>
            </w:r>
          </w:p>
        </w:tc>
      </w:tr>
    </w:tbl>
    <w:p w:rsidR="00B355F9" w:rsidRDefault="00B355F9">
      <w:pPr>
        <w:rPr>
          <w:b/>
          <w:i/>
          <w:noProof/>
          <w:snapToGrid w:val="0"/>
        </w:rPr>
      </w:pPr>
    </w:p>
    <w:tbl>
      <w:tblPr>
        <w:tblW w:w="84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1322"/>
        <w:gridCol w:w="7078"/>
      </w:tblGrid>
      <w:tr w:rsidR="00B355F9">
        <w:trPr>
          <w:cantSplit/>
        </w:trPr>
        <w:tc>
          <w:tcPr>
            <w:tcW w:w="8402" w:type="dxa"/>
            <w:gridSpan w:val="2"/>
            <w:tcBorders>
              <w:top w:val="single" w:sz="4" w:space="0" w:color="auto"/>
              <w:left w:val="single" w:sz="4" w:space="0" w:color="auto"/>
              <w:bottom w:val="single" w:sz="4" w:space="0" w:color="auto"/>
              <w:right w:val="single" w:sz="4" w:space="0" w:color="auto"/>
            </w:tcBorders>
          </w:tcPr>
          <w:p w:rsidR="00B355F9" w:rsidRDefault="00C21BBF">
            <w:pPr>
              <w:spacing w:line="276" w:lineRule="auto"/>
              <w:jc w:val="center"/>
              <w:rPr>
                <w:noProof/>
                <w:szCs w:val="24"/>
              </w:rPr>
            </w:pPr>
            <w:r>
              <w:rPr>
                <w:noProof/>
                <w:sz w:val="22"/>
              </w:rPr>
              <w:t>Situation après l'action</w:t>
            </w:r>
          </w:p>
        </w:tc>
      </w:tr>
      <w:tr w:rsidR="00B355F9">
        <w:trPr>
          <w:cantSplit/>
        </w:trPr>
        <w:tc>
          <w:tcPr>
            <w:tcW w:w="1322" w:type="dxa"/>
            <w:tcBorders>
              <w:top w:val="single" w:sz="4" w:space="0" w:color="auto"/>
              <w:left w:val="single" w:sz="4" w:space="0" w:color="auto"/>
              <w:bottom w:val="single" w:sz="4" w:space="0" w:color="auto"/>
              <w:right w:val="single" w:sz="4" w:space="0" w:color="auto"/>
            </w:tcBorders>
          </w:tcPr>
          <w:p w:rsidR="00B355F9" w:rsidRDefault="00B355F9">
            <w:pPr>
              <w:spacing w:line="276" w:lineRule="auto"/>
              <w:jc w:val="center"/>
              <w:rPr>
                <w:noProof/>
                <w:szCs w:val="24"/>
              </w:rPr>
            </w:pPr>
          </w:p>
        </w:tc>
        <w:tc>
          <w:tcPr>
            <w:tcW w:w="7080" w:type="dxa"/>
            <w:tcBorders>
              <w:top w:val="single" w:sz="4" w:space="0" w:color="auto"/>
              <w:left w:val="single" w:sz="4" w:space="0" w:color="auto"/>
              <w:bottom w:val="single" w:sz="4" w:space="0" w:color="auto"/>
              <w:right w:val="single" w:sz="4" w:space="0" w:color="auto"/>
            </w:tcBorders>
          </w:tcPr>
          <w:p w:rsidR="00B355F9" w:rsidRDefault="00C21BBF">
            <w:pPr>
              <w:spacing w:line="276" w:lineRule="auto"/>
              <w:jc w:val="center"/>
              <w:rPr>
                <w:noProof/>
                <w:szCs w:val="24"/>
              </w:rPr>
            </w:pPr>
            <w:r>
              <w:rPr>
                <w:noProof/>
                <w:sz w:val="22"/>
              </w:rPr>
              <w:t>[Années: 2015 – 2020]</w:t>
            </w:r>
          </w:p>
        </w:tc>
      </w:tr>
      <w:tr w:rsidR="00B355F9">
        <w:trPr>
          <w:cantSplit/>
        </w:trPr>
        <w:tc>
          <w:tcPr>
            <w:tcW w:w="1322" w:type="dxa"/>
            <w:tcBorders>
              <w:top w:val="single" w:sz="4" w:space="0" w:color="auto"/>
              <w:left w:val="single" w:sz="4" w:space="0" w:color="auto"/>
              <w:bottom w:val="single" w:sz="4" w:space="0" w:color="auto"/>
              <w:right w:val="single" w:sz="4" w:space="0" w:color="auto"/>
            </w:tcBorders>
          </w:tcPr>
          <w:p w:rsidR="00B355F9" w:rsidRDefault="00C21BBF">
            <w:pPr>
              <w:spacing w:line="276" w:lineRule="auto"/>
              <w:rPr>
                <w:noProof/>
                <w:szCs w:val="24"/>
              </w:rPr>
            </w:pPr>
            <w:r>
              <w:rPr>
                <w:noProof/>
                <w:sz w:val="22"/>
              </w:rPr>
              <w:t>Article 120</w:t>
            </w:r>
          </w:p>
        </w:tc>
        <w:tc>
          <w:tcPr>
            <w:tcW w:w="7080" w:type="dxa"/>
            <w:tcBorders>
              <w:top w:val="single" w:sz="4" w:space="0" w:color="auto"/>
              <w:left w:val="single" w:sz="4" w:space="0" w:color="auto"/>
              <w:bottom w:val="single" w:sz="4" w:space="0" w:color="auto"/>
              <w:right w:val="single" w:sz="4" w:space="0" w:color="auto"/>
            </w:tcBorders>
          </w:tcPr>
          <w:p w:rsidR="00B355F9" w:rsidRDefault="00C21BBF">
            <w:pPr>
              <w:spacing w:line="276" w:lineRule="auto"/>
              <w:jc w:val="center"/>
              <w:rPr>
                <w:noProof/>
                <w:szCs w:val="24"/>
              </w:rPr>
            </w:pPr>
            <w:r>
              <w:rPr>
                <w:noProof/>
                <w:sz w:val="22"/>
              </w:rPr>
              <w:t>-24,7/ an</w:t>
            </w:r>
          </w:p>
        </w:tc>
      </w:tr>
    </w:tbl>
    <w:p w:rsidR="00B355F9" w:rsidRDefault="00C21BBF">
      <w:pPr>
        <w:pStyle w:val="ManualHeading1"/>
        <w:rPr>
          <w:noProof/>
        </w:rPr>
      </w:pPr>
      <w:r>
        <w:rPr>
          <w:noProof/>
        </w:rPr>
        <w:t>4.</w:t>
      </w:r>
      <w:r>
        <w:rPr>
          <w:noProof/>
        </w:rPr>
        <w:tab/>
        <w:t xml:space="preserve">MESURES </w:t>
      </w:r>
      <w:r>
        <w:rPr>
          <w:noProof/>
        </w:rPr>
        <w:t>ANTIFRAUDE</w:t>
      </w:r>
    </w:p>
    <w:p w:rsidR="00B355F9" w:rsidRDefault="00C21BBF">
      <w:pPr>
        <w:pStyle w:val="Text1"/>
        <w:rPr>
          <w:rFonts w:eastAsia="Times New Roman"/>
          <w:noProof/>
          <w:szCs w:val="24"/>
        </w:rPr>
      </w:pPr>
      <w:r>
        <w:rPr>
          <w:noProof/>
        </w:rPr>
        <w:t>Le contrôle de la destination particulière de certains des produits visés par le présent règlement du Conseil s'effectuera conformément aux articles 291 à 300 du règlement (CEE) n° 2454/93 de la Commission fixant certaines dispositions d'applica</w:t>
      </w:r>
      <w:r>
        <w:rPr>
          <w:noProof/>
        </w:rPr>
        <w:t>tion du code des douanes communautaire.</w:t>
      </w:r>
    </w:p>
    <w:p w:rsidR="00B355F9" w:rsidRDefault="00C21BBF">
      <w:pPr>
        <w:pStyle w:val="ManualHeading1"/>
        <w:rPr>
          <w:noProof/>
          <w:kern w:val="32"/>
        </w:rPr>
      </w:pPr>
      <w:r>
        <w:rPr>
          <w:noProof/>
        </w:rPr>
        <w:t>5.</w:t>
      </w:r>
      <w:r>
        <w:rPr>
          <w:noProof/>
        </w:rPr>
        <w:tab/>
        <w:t>AUTRES REMARQUES</w:t>
      </w:r>
    </w:p>
    <w:p w:rsidR="00B355F9" w:rsidRDefault="00C21BBF">
      <w:pPr>
        <w:pStyle w:val="Text1"/>
        <w:rPr>
          <w:noProof/>
        </w:rPr>
      </w:pPr>
      <w:r>
        <w:rPr>
          <w:noProof/>
        </w:rPr>
        <w:t>La présente proposition présente les modifications à apporter à l'annexe du règlement existant pour tenir compte des éléments suivants:</w:t>
      </w:r>
    </w:p>
    <w:p w:rsidR="00B355F9" w:rsidRDefault="00C21BBF">
      <w:pPr>
        <w:pStyle w:val="Text1"/>
        <w:rPr>
          <w:noProof/>
        </w:rPr>
      </w:pPr>
      <w:r>
        <w:rPr>
          <w:noProof/>
        </w:rPr>
        <w:t>1.</w:t>
      </w:r>
      <w:r>
        <w:rPr>
          <w:noProof/>
        </w:rPr>
        <w:tab/>
        <w:t>les nouvelles demandes de suspension présentées et adopté</w:t>
      </w:r>
      <w:r>
        <w:rPr>
          <w:noProof/>
        </w:rPr>
        <w:t>es;</w:t>
      </w:r>
    </w:p>
    <w:p w:rsidR="00B355F9" w:rsidRDefault="00C21BBF">
      <w:pPr>
        <w:pStyle w:val="Text1"/>
        <w:rPr>
          <w:noProof/>
        </w:rPr>
      </w:pPr>
      <w:r>
        <w:rPr>
          <w:noProof/>
        </w:rPr>
        <w:t>2.</w:t>
      </w:r>
      <w:r>
        <w:rPr>
          <w:noProof/>
        </w:rPr>
        <w:tab/>
        <w:t>les évolutions techniques des produits et les tendances économiques du marché se traduisant par la suppression de certaines suspensions existantes.</w:t>
      </w:r>
    </w:p>
    <w:p w:rsidR="00B355F9" w:rsidRDefault="00C21BBF">
      <w:pPr>
        <w:pStyle w:val="Text1"/>
        <w:rPr>
          <w:noProof/>
          <w:u w:val="single"/>
        </w:rPr>
      </w:pPr>
      <w:r>
        <w:rPr>
          <w:noProof/>
          <w:u w:val="single"/>
        </w:rPr>
        <w:t>Ajouts</w:t>
      </w:r>
    </w:p>
    <w:p w:rsidR="00B355F9" w:rsidRDefault="00C21BBF">
      <w:pPr>
        <w:pStyle w:val="Text1"/>
        <w:rPr>
          <w:noProof/>
        </w:rPr>
      </w:pPr>
      <w:r>
        <w:rPr>
          <w:noProof/>
        </w:rPr>
        <w:t>Outre les modifications résultant des changements apportés aux désignations des marchandises o</w:t>
      </w:r>
      <w:r>
        <w:rPr>
          <w:noProof/>
        </w:rPr>
        <w:t>u aux codes, la présente annexe comporte 110 nouveaux produits. Les droits non perçus correspondant à ces suspensions, calculés en fonction des prévisions d'importation dans l'État membre demandeur pour la période allant de 2015 à 2019, s'élèvent à 19,3 mi</w:t>
      </w:r>
      <w:r>
        <w:rPr>
          <w:noProof/>
        </w:rPr>
        <w:t>llions d'EUR par an.</w:t>
      </w:r>
    </w:p>
    <w:p w:rsidR="00B355F9" w:rsidRDefault="00C21BBF">
      <w:pPr>
        <w:pStyle w:val="Text1"/>
        <w:rPr>
          <w:noProof/>
        </w:rPr>
      </w:pPr>
      <w:r>
        <w:rPr>
          <w:noProof/>
        </w:rPr>
        <w:t>Eu égard aux statistiques établies pour les années antérieures, il apparaît toutefois nécessaire d’augmenter ce montant d’un facteur moyen estimé à 1,8 afin de tenir compte des importations effectuées dans d’autres États membres appliq</w:t>
      </w:r>
      <w:r>
        <w:rPr>
          <w:noProof/>
        </w:rPr>
        <w:t>uant les mêmes suspensions. Il en résulte une perte de recettes due aux droits non perçus d'environ 34,7 millions d'EUR par an.</w:t>
      </w:r>
    </w:p>
    <w:p w:rsidR="00B355F9" w:rsidRDefault="00C21BBF">
      <w:pPr>
        <w:pStyle w:val="Text1"/>
        <w:rPr>
          <w:noProof/>
          <w:u w:val="single"/>
        </w:rPr>
      </w:pPr>
      <w:r>
        <w:rPr>
          <w:noProof/>
          <w:u w:val="single"/>
        </w:rPr>
        <w:t>Suppressions:</w:t>
      </w:r>
    </w:p>
    <w:p w:rsidR="00B355F9" w:rsidRDefault="00C21BBF">
      <w:pPr>
        <w:pStyle w:val="Text1"/>
        <w:rPr>
          <w:noProof/>
        </w:rPr>
      </w:pPr>
      <w:r>
        <w:rPr>
          <w:noProof/>
        </w:rPr>
        <w:t>41 produits ont été retirés de l’annexe du règlement existant, par suite du rétablissement des droits de douane, c</w:t>
      </w:r>
      <w:r>
        <w:rPr>
          <w:noProof/>
        </w:rPr>
        <w:t>e qui représente une augmentation de recettes de 1,8 million d’EUR, estimée sur la base des statistiques de 2014.</w:t>
      </w:r>
    </w:p>
    <w:p w:rsidR="00B355F9" w:rsidRDefault="00C21BBF">
      <w:pPr>
        <w:pStyle w:val="Text1"/>
        <w:rPr>
          <w:noProof/>
          <w:u w:val="single"/>
        </w:rPr>
      </w:pPr>
      <w:r>
        <w:rPr>
          <w:noProof/>
          <w:u w:val="single"/>
        </w:rPr>
        <w:t>Coût estimé de la mesure</w:t>
      </w:r>
    </w:p>
    <w:p w:rsidR="00B355F9" w:rsidRDefault="00C21BBF">
      <w:pPr>
        <w:pStyle w:val="Text1"/>
        <w:rPr>
          <w:noProof/>
        </w:rPr>
      </w:pPr>
      <w:r>
        <w:rPr>
          <w:noProof/>
        </w:rPr>
        <w:t>Compte tenu de ce qui précède, l'effet de perte de recettes résultant de l'application du présent règlement peut être</w:t>
      </w:r>
      <w:r>
        <w:rPr>
          <w:noProof/>
        </w:rPr>
        <w:t xml:space="preserve"> estimé comme suit: 34,7 – 1,8 = 32,9 millions d'EUR (montant brut, frais de perception inclus) x 0,75 = 24,7 millions d'EUR par an pour la période comprise entre le 1</w:t>
      </w:r>
      <w:r>
        <w:rPr>
          <w:noProof/>
          <w:vertAlign w:val="superscript"/>
        </w:rPr>
        <w:t>er</w:t>
      </w:r>
      <w:r>
        <w:rPr>
          <w:noProof/>
        </w:rPr>
        <w:t> janvier 2016 et le 31 décembre 2020.</w:t>
      </w:r>
    </w:p>
    <w:p w:rsidR="00B355F9" w:rsidRDefault="00C21BBF">
      <w:pPr>
        <w:ind w:left="850"/>
        <w:rPr>
          <w:noProof/>
        </w:rPr>
      </w:pPr>
      <w:r>
        <w:rPr>
          <w:noProof/>
        </w:rPr>
        <w:t>Cette perte de recettes pour les ressources propr</w:t>
      </w:r>
      <w:r>
        <w:rPr>
          <w:noProof/>
        </w:rPr>
        <w:t>es traditionnelles devra être compensée par les contributions des États membres calculées sur la base du RNB.</w:t>
      </w:r>
    </w:p>
    <w:sectPr w:rsidR="00B355F9" w:rsidSect="00C21BBF">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5F9" w:rsidRDefault="00C21BBF">
      <w:pPr>
        <w:spacing w:before="0" w:after="0"/>
      </w:pPr>
      <w:r>
        <w:separator/>
      </w:r>
    </w:p>
  </w:endnote>
  <w:endnote w:type="continuationSeparator" w:id="0">
    <w:p w:rsidR="00B355F9" w:rsidRDefault="00C21B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BF" w:rsidRPr="00C21BBF" w:rsidRDefault="00C21BBF" w:rsidP="00C21B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5F9" w:rsidRPr="00C21BBF" w:rsidRDefault="00C21BBF" w:rsidP="00C21BBF">
    <w:pPr>
      <w:pStyle w:val="Footer"/>
      <w:rPr>
        <w:rFonts w:ascii="Arial" w:hAnsi="Arial" w:cs="Arial"/>
        <w:b/>
        <w:sz w:val="48"/>
      </w:rPr>
    </w:pPr>
    <w:r w:rsidRPr="00C21BBF">
      <w:rPr>
        <w:rFonts w:ascii="Arial" w:hAnsi="Arial" w:cs="Arial"/>
        <w:b/>
        <w:sz w:val="48"/>
      </w:rPr>
      <w:t>FR</w:t>
    </w:r>
    <w:r w:rsidRPr="00C21BBF">
      <w:rPr>
        <w:rFonts w:ascii="Arial" w:hAnsi="Arial" w:cs="Arial"/>
        <w:b/>
        <w:sz w:val="48"/>
      </w:rPr>
      <w:tab/>
    </w:r>
    <w:r w:rsidRPr="00C21BBF">
      <w:rPr>
        <w:rFonts w:ascii="Arial" w:hAnsi="Arial" w:cs="Arial"/>
        <w:b/>
        <w:sz w:val="48"/>
      </w:rPr>
      <w:tab/>
    </w:r>
    <w:fldSimple w:instr=" DOCVARIABLE &quot;LW_Confidence&quot; \* MERGEFORMAT ">
      <w:r>
        <w:t xml:space="preserve"> </w:t>
      </w:r>
    </w:fldSimple>
    <w:r w:rsidRPr="00C21BBF">
      <w:tab/>
    </w:r>
    <w:proofErr w:type="spellStart"/>
    <w:r w:rsidRPr="00C21BBF">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BF" w:rsidRPr="00C21BBF" w:rsidRDefault="00C21BBF" w:rsidP="00C21BB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BF" w:rsidRPr="00C21BBF" w:rsidRDefault="00C21BBF" w:rsidP="00C21BBF">
    <w:pPr>
      <w:pStyle w:val="Footer"/>
      <w:rPr>
        <w:rFonts w:ascii="Arial" w:hAnsi="Arial" w:cs="Arial"/>
        <w:b/>
        <w:sz w:val="48"/>
      </w:rPr>
    </w:pPr>
    <w:r w:rsidRPr="00C21BBF">
      <w:rPr>
        <w:rFonts w:ascii="Arial" w:hAnsi="Arial" w:cs="Arial"/>
        <w:b/>
        <w:sz w:val="48"/>
      </w:rPr>
      <w:t>FR</w:t>
    </w:r>
    <w:r w:rsidRPr="00C21BBF">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fldSimple w:instr=" DOCVARIABLE &quot;LW_Confidence&quot; \* MERGEFORMAT ">
      <w:r>
        <w:t xml:space="preserve"> </w:t>
      </w:r>
    </w:fldSimple>
    <w:r w:rsidRPr="00C21BBF">
      <w:tab/>
    </w:r>
    <w:r w:rsidRPr="00C21BBF">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BF" w:rsidRPr="00C21BBF" w:rsidRDefault="00C21BBF" w:rsidP="00C21B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5F9" w:rsidRDefault="00C21BBF">
      <w:pPr>
        <w:spacing w:before="0" w:after="0"/>
      </w:pPr>
      <w:r>
        <w:separator/>
      </w:r>
    </w:p>
  </w:footnote>
  <w:footnote w:type="continuationSeparator" w:id="0">
    <w:p w:rsidR="00B355F9" w:rsidRDefault="00C21BBF">
      <w:pPr>
        <w:spacing w:before="0" w:after="0"/>
      </w:pPr>
      <w:r>
        <w:continuationSeparator/>
      </w:r>
    </w:p>
  </w:footnote>
  <w:footnote w:id="1">
    <w:p w:rsidR="00B355F9" w:rsidRDefault="00C21BBF">
      <w:pPr>
        <w:pStyle w:val="FootnoteText"/>
      </w:pPr>
      <w:r>
        <w:rPr>
          <w:rStyle w:val="FootnoteReference"/>
        </w:rPr>
        <w:footnoteRef/>
      </w:r>
      <w:r>
        <w:tab/>
        <w:t>Règlement (UE) n° 1387/2013 du Conseil du 17 décembre 2013 portant suspension des droits autonomes du tarif douanier commun sur certains pro</w:t>
      </w:r>
      <w:r>
        <w:t>duits agricoles et industriels et abrogeant le règlement (UE) n° 1344/2011 (JO L 354 du 28.12.2013, p. 201).</w:t>
      </w:r>
    </w:p>
    <w:p w:rsidR="00B355F9" w:rsidRDefault="00B355F9">
      <w:pPr>
        <w:pStyle w:val="FootnoteText"/>
      </w:pPr>
    </w:p>
  </w:footnote>
  <w:footnote w:id="2">
    <w:p w:rsidR="00B355F9" w:rsidRDefault="00C21BBF">
      <w:pPr>
        <w:pStyle w:val="FootnoteText"/>
      </w:pPr>
      <w:r>
        <w:rPr>
          <w:rStyle w:val="FootnoteReference"/>
        </w:rPr>
        <w:footnoteRef/>
      </w:r>
      <w:r>
        <w:tab/>
        <w:t xml:space="preserve">En ce qui concerne les ressources propres traditionnelles (droits agricoles, cotisations sur le sucre, droits de douane), les montants indiqués </w:t>
      </w:r>
      <w:r>
        <w:t>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BF" w:rsidRPr="00C21BBF" w:rsidRDefault="00C21BBF" w:rsidP="00C21B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BF" w:rsidRPr="00C21BBF" w:rsidRDefault="00C21BBF" w:rsidP="00C21B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BF" w:rsidRPr="00C21BBF" w:rsidRDefault="00C21BBF" w:rsidP="00C21B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1B463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49E6498"/>
    <w:lvl w:ilvl="0">
      <w:start w:val="1"/>
      <w:numFmt w:val="decimal"/>
      <w:pStyle w:val="ListNumber3"/>
      <w:lvlText w:val="%1."/>
      <w:lvlJc w:val="left"/>
      <w:pPr>
        <w:tabs>
          <w:tab w:val="num" w:pos="926"/>
        </w:tabs>
        <w:ind w:left="926" w:hanging="360"/>
      </w:pPr>
    </w:lvl>
  </w:abstractNum>
  <w:abstractNum w:abstractNumId="2">
    <w:nsid w:val="FFFFFF7F"/>
    <w:multiLevelType w:val="singleLevel"/>
    <w:tmpl w:val="316C81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8AC21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7A07A8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4"/>
    <w:lvlOverride w:ilvl="0">
      <w:startOverride w:val="1"/>
    </w:lvlOverride>
  </w:num>
  <w:num w:numId="10">
    <w:abstractNumId w:val="2"/>
  </w:num>
  <w:num w:numId="11">
    <w:abstractNumId w:val="1"/>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0"/>
  </w:num>
  <w:num w:numId="16">
    <w:abstractNumId w:val="21"/>
  </w:num>
  <w:num w:numId="17">
    <w:abstractNumId w:val="9"/>
  </w:num>
  <w:num w:numId="18">
    <w:abstractNumId w:val="11"/>
  </w:num>
  <w:num w:numId="19">
    <w:abstractNumId w:val="7"/>
  </w:num>
  <w:num w:numId="20">
    <w:abstractNumId w:val="20"/>
  </w:num>
  <w:num w:numId="21">
    <w:abstractNumId w:val="6"/>
  </w:num>
  <w:num w:numId="22">
    <w:abstractNumId w:val="12"/>
  </w:num>
  <w:num w:numId="23">
    <w:abstractNumId w:val="16"/>
  </w:num>
  <w:num w:numId="24">
    <w:abstractNumId w:val="17"/>
  </w:num>
  <w:num w:numId="25">
    <w:abstractNumId w:val="8"/>
  </w:num>
  <w:num w:numId="26">
    <w:abstractNumId w:val="15"/>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oNotTrackMoves/>
  <w:defaultTabStop w:val="720"/>
  <w:characterSpacingControl w:val="doNotCompress"/>
  <w:hdrShapeDefaults>
    <o:shapedefaults v:ext="edit" spidmax="2560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11-27 13:54: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D1F726A7D9E8490691818EE0B31F6EDA"/>
    <w:docVar w:name="LW_CROSSREFERENCE" w:val="&lt;UNUSED&gt;"/>
    <w:docVar w:name="LW_DocType" w:val="COM"/>
    <w:docVar w:name="LW_EMISSION" w:val="4.12.2015"/>
    <w:docVar w:name="LW_EMISSION_ISODATE" w:val="2015-12-04"/>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79"/>
    <w:docVar w:name="LW_REF.II.NEW.CP_YEAR" w:val="2015"/>
    <w:docVar w:name="LW_REF.INST.NEW" w:val="COM"/>
    <w:docVar w:name="LW_REF.INST.NEW_ADOPTED" w:val="final"/>
    <w:docVar w:name="LW_REF.INST.NEW_TEXT" w:val="(2015) 620"/>
    <w:docVar w:name="LW_REF.INTERNE" w:val="&lt;UNUSED&gt;"/>
    <w:docVar w:name="LW_SOUS.TITRE.OBJ.CP" w:val="&lt;UNUSED&gt;"/>
    <w:docVar w:name="LW_STATUT.CP" w:val="Proposition de"/>
    <w:docVar w:name="LW_SUPERTITRE" w:val="&lt;UNUSED&gt;"/>
    <w:docVar w:name="LW_TITRE.OBJ.CP" w:val="modifiant le règlement (UE) n° 1387/2013 portant suspension des droits autonomes du tarif douanier commun sur certains produits agricoles et industriels"/>
    <w:docVar w:name="LW_TYPE.DOC.CP" w:val="RÈGLEMENT DU CONSEIL"/>
  </w:docVars>
  <w:rsids>
    <w:rsidRoot w:val="00B355F9"/>
    <w:rsid w:val="00B355F9"/>
    <w:rsid w:val="00C2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41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A41D0-C02F-4137-A612-1483137F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2152</Words>
  <Characters>11969</Characters>
  <Application>Microsoft Office Word</Application>
  <DocSecurity>0</DocSecurity>
  <Lines>249</Lines>
  <Paragraphs>139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JANSEN Colette (SG)</cp:lastModifiedBy>
  <cp:revision>19</cp:revision>
  <cp:lastPrinted>2015-11-27T17:09:00Z</cp:lastPrinted>
  <dcterms:created xsi:type="dcterms:W3CDTF">2015-11-18T10:33:00Z</dcterms:created>
  <dcterms:modified xsi:type="dcterms:W3CDTF">2015-11-27T17:09:00Z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Yellow (DQC version 03)</vt:lpwstr>
  </property>
</Properties>
</file>