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2B57C6A484C41FB8C1B448EC2726965"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За да се осигури задоволително и непрекъснато снабдяване с някои стоки, които са недостатъчни или липсват в Съюза, и за да се избегнат смущенията на пазара на определени селскостопански и промишлени продукти, с Регламент (ЕС) № 1387/2013 на Съвета бяха частично или изцяло суспендирани някои автономни мита по Общата митническа тарифа. </w:t>
      </w:r>
    </w:p>
    <w:p>
      <w:pPr>
        <w:rPr>
          <w:noProof/>
        </w:rPr>
      </w:pPr>
      <w:r>
        <w:rPr>
          <w:noProof/>
        </w:rPr>
        <w:t>Регламентът се осъвременява на всеки шест месеца, за да може да отговаря на нуждите на промишлеността на ЕС. Подпомагана от Групата по икономически тарифни въпроси (ГИТВ), Комисията разгледа всички искания за временно суспендиране на автономни мита по Общата митническа тарифа, които ѝ бяха представени от държавите членки.</w:t>
      </w:r>
    </w:p>
    <w:p>
      <w:pPr>
        <w:rPr>
          <w:noProof/>
        </w:rPr>
      </w:pPr>
      <w:r>
        <w:rPr>
          <w:noProof/>
        </w:rPr>
        <w:t xml:space="preserve">След разглеждането Комисията смята, че суспендирането на митата е обосновано за някои нови продукти, които понастоящем не са посочени в приложение І към Регламент (ЕС) № 1387/2013 на Съвета. Относно някои други продукти трябва да се промени формулировката при описанието им или следва да им се определят нови кодове по КН или ТАРИК. Предлага се да се заличат от приложението продуктите, за които суспендирането на митата повече не отговаря на икономическите интереси на Съюза. </w:t>
      </w:r>
    </w:p>
    <w:p>
      <w:pPr>
        <w:rPr>
          <w:noProof/>
        </w:rPr>
      </w:pPr>
      <w:r>
        <w:rPr>
          <w:noProof/>
        </w:rPr>
        <w:t>За по-голяма яснота е целесъобразно да се публикува консолидирана версия на приложението към Регламент (ЕС) № 1387/2013 на Съвета, която ще замени изцяло приложения І и ІІ от същия регламент. Поради това формулировката на съответните правни разпоредби следва да се промени.</w:t>
      </w:r>
    </w:p>
    <w:p>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не е за сметка на страните, ползващи се с преференциални търговски споразумения с ЕС (напр. Общата система за преференции — ОСП, режима на Споразумението за партньорство със страните от Африка, Карибите и Тихоокеанския басейн — АКТБ, споразуменията с държавите кандидатки и потенциалните държави кандидатки).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Предложението е в съответствие с политиката в областта на селското стопанство, търговията, предприятията, развитието и външните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Предложението попада в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С настоящото предложение се спазва принципът на пропорционалност, тъй като мерките отговарят на установените принципи за опростяване на процедурите за операторите с предмет на дейност във външната търговия и са в съответствие със съобщението на Комисията относно суспендирането на автономни мита и относно автономните тарифни квоти (C 363, 13.12.2011 г., стр. 6). С настоящия регламент не се надхвърля необходимото за постигане на поставените цели в съответствие с член 5, параграф 4 от Договора за Европейския съюз.</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По силата на член 31 от ДФЕС решенията за суспендирането на автономни мита и за автономните тарифни квоти се вземат от Съвета с квалифицирано мнозинство въз основа на предложение на Комисията. По тази причина подходящият инструмент е регламент.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Цялата схема на суспендиране на автономните мита беше предмет на оценка, проведена през 2013 г. При нея се заключи, че основната причина за съществуването на схемата е все още валидна. Предприятията от ЕС, внасящи стоки по схемата, могат да спестят значителни средства, които е възможно да доведат до ползи в по-широк контекст (като по-голяма конкурентоспособност, по-ефективни производствени методи, създаване или запазване на работните места в ЕС и др.) в зависимост от съответния продукт, дружество и сектор.</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Настоящото предложение беше оценено с помощта на ГИТВ, която се състои от делегации от всичките държави членки и от Турция. Тя проведе три заседания, преди да бъдат договорени промените в настоящото предложение.</w:t>
      </w:r>
    </w:p>
    <w:p>
      <w:pPr>
        <w:rPr>
          <w:noProof/>
        </w:rPr>
      </w:pPr>
      <w:r>
        <w:rPr>
          <w:noProof/>
        </w:rPr>
        <w:t>ГИТВ оцени задълбочено всяко искане (ново или изменено). По-специално, предотвратяването на каквато и да е вреда за производителите от ЕС и увеличаването и консолидирането на конкурентоспособността на производството на ЕС са съображения, които се отчитат при всеки един отделен случай. В рамките на тази оценка се проведоха обсъждания в ГИТВ, а държавите членки проведоха консултации със засегнатите сектори, сдружения, търговски камари и други заинтересовани страни.</w:t>
      </w:r>
    </w:p>
    <w:p>
      <w:pPr>
        <w:rPr>
          <w:noProof/>
        </w:rPr>
      </w:pPr>
      <w:r>
        <w:rPr>
          <w:noProof/>
        </w:rPr>
        <w:t>Всички посочени суспендирания са съобразени със споразуменията или компромисите, постигнати по време на обсъждането в ГИТВ. Не бяха откроени потенциално сериозни рискове с необратими последици.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Предложеното изменение е от техническо естество и касае само обхвата на суспендиранията, посочени в приложението. Ако се изключи това, Регламентът е идентичен на съществуващия регламент на Съвета. Поради това не беше извършена оценка на въздействието за настоящото предложение.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финансово въздействие върху разходите, но има отражение върху приходите. Общата приблизителна стойност на несъбраните мита е 32,9 млн. евро годишно. Отражението върху традиционните собствени ресурси в бюджета възлиза на 24,7 милиона евро годишно (75 % от 32,9 милиона евро годишно). В законодателната финансова обосновка се съдържа повече информация за отражението върху бюджета, което ще окаже предложението. </w:t>
      </w:r>
    </w:p>
    <w:p>
      <w:pPr>
        <w:rPr>
          <w:noProof/>
        </w:rPr>
      </w:pPr>
      <w:r>
        <w:rPr>
          <w:noProof/>
        </w:rPr>
        <w:t>Загубата на приходи от традиционните собствени ресурси се компенсира от вноските на държавите членки въз основа на БНД.</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noProof/>
        </w:rPr>
      </w:pPr>
      <w:r>
        <w:rPr>
          <w:noProof/>
        </w:rPr>
        <w:t xml:space="preserve">Предложените мерки се разглеждат в рамките на ТАРИК (Интегрираната тарифа на Европейския съюз) и се прилагат от митническите администрации на държавите членки. </w:t>
      </w:r>
    </w:p>
    <w:p>
      <w:pPr>
        <w:pBdr>
          <w:top w:val="nil"/>
          <w:left w:val="nil"/>
          <w:bottom w:val="nil"/>
          <w:right w:val="nil"/>
          <w:between w:val="nil"/>
          <w:bar w:val="nil"/>
        </w:pBdr>
        <w:spacing w:before="0" w:after="240"/>
        <w:rPr>
          <w:rFonts w:eastAsia="Arial Unicode MS"/>
          <w:noProof/>
        </w:rPr>
      </w:pPr>
      <w:r>
        <w:rPr>
          <w:noProof/>
        </w:rPr>
        <w:t>В съответствие с членове 291 — 300 от Регламент (ЕИО) № 2454/93 на Комисията за определяне на разпоредби за прилагане на Митническия кодекс на Общността ще се извършват проверки на крайната употреба на някои от продуктите, обхванати от настоящия регламент на Съвета.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Style w:val="Text1"/>
        <w:ind w:left="0"/>
        <w:rPr>
          <w:noProof/>
        </w:rPr>
      </w:pPr>
      <w:r>
        <w:rPr>
          <w:noProof/>
        </w:rPr>
        <w:t>Не е приложимо.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2015/0279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интерес на Съюза е да се суспендират напълно автономните мита по Общата митническа тарифа за 110 продукта, които към момента не са посочени в приложение I към Регламент (ЕС) № 1387/2013 на Съвета</w:t>
      </w:r>
      <w:r>
        <w:rPr>
          <w:rStyle w:val="FootnoteReference"/>
          <w:noProof/>
        </w:rPr>
        <w:footnoteReference w:id="1"/>
      </w:r>
      <w:r>
        <w:rPr>
          <w:noProof/>
        </w:rPr>
        <w:t xml:space="preserve">. </w:t>
      </w:r>
    </w:p>
    <w:p>
      <w:pPr>
        <w:pStyle w:val="ManualConsidrant"/>
        <w:rPr>
          <w:noProof/>
        </w:rPr>
      </w:pPr>
      <w:r>
        <w:t>(2)</w:t>
      </w:r>
      <w:r>
        <w:tab/>
      </w:r>
      <w:r>
        <w:rPr>
          <w:noProof/>
        </w:rPr>
        <w:t xml:space="preserve">Съюзът вече няма интерес да поддържа суспендирането на автономните мита по Общата митническа тарифа за 41 от продуктите, които понастоящем са изброени в приложение I към Регламент (ЕС) № 1387/2013. </w:t>
      </w:r>
    </w:p>
    <w:p>
      <w:pPr>
        <w:pStyle w:val="ManualConsidrant"/>
        <w:rPr>
          <w:noProof/>
        </w:rPr>
      </w:pPr>
      <w:r>
        <w:t>(3)</w:t>
      </w:r>
      <w:r>
        <w:tab/>
      </w:r>
      <w:r>
        <w:rPr>
          <w:noProof/>
        </w:rPr>
        <w:t>Необходимо е да се направят промени в продуктовите описания на 45 суспендирания, включени към момента в приложение I към Регламент (ЕС) № 1387/2013, за да се отчетат техническите промени в продуктите и икономическите тенденции на пазара или за да се извърши езикова адаптация. Освен това следва да се изменят кодовете по КН за 22 продукта с оглед на предстоящите промени в Комбинираната номенклатура от 1 януари 2016 г.</w:t>
      </w:r>
    </w:p>
    <w:p>
      <w:pPr>
        <w:pStyle w:val="ManualConsidrant"/>
        <w:rPr>
          <w:noProof/>
        </w:rPr>
      </w:pPr>
      <w:r>
        <w:t>(4)</w:t>
      </w:r>
      <w:r>
        <w:tab/>
      </w:r>
      <w:r>
        <w:rPr>
          <w:noProof/>
        </w:rPr>
        <w:t xml:space="preserve">В интерес на Съюза е необходимо също така да се промени крайната дата за задължителното преразглеждане за 148 продукта, които понастоящем са посочени в приложение І към Регламент (ЕС) № 1387/2013, за да се позволи безмитният им внос след тази дата. Суспендиранията за тези продукти бяха преразгледани и следва да се определят нови променени дати за следващото им задължително преразглеждане. </w:t>
      </w:r>
    </w:p>
    <w:p>
      <w:pPr>
        <w:pStyle w:val="ManualConsidrant"/>
        <w:rPr>
          <w:noProof/>
        </w:rPr>
      </w:pPr>
      <w:r>
        <w:t>(5)</w:t>
      </w:r>
      <w:r>
        <w:tab/>
      </w:r>
      <w:r>
        <w:rPr>
          <w:noProof/>
        </w:rPr>
        <w:t>За да е възможно подходящото статистическо наблюдение, следва да се актуализира настоящото приложение ІІ към Регламент (ЕС) № 1387/2013, като се вземат под внимание промените в списъка на продуктите в приложение І към посочения регламент.</w:t>
      </w:r>
    </w:p>
    <w:p>
      <w:pPr>
        <w:pStyle w:val="ManualConsidrant"/>
        <w:rPr>
          <w:noProof/>
        </w:rPr>
      </w:pPr>
      <w:r>
        <w:t>(6)</w:t>
      </w:r>
      <w:r>
        <w:tab/>
      </w:r>
      <w:r>
        <w:rPr>
          <w:noProof/>
        </w:rPr>
        <w:t xml:space="preserve">В интерес на яснотата и рационалността следва да се обединят сегашните приложения І и ІІ към Регламент (ЕС) № 1387/2013. </w:t>
      </w:r>
    </w:p>
    <w:p>
      <w:pPr>
        <w:pStyle w:val="ManualConsidrant"/>
        <w:rPr>
          <w:noProof/>
        </w:rPr>
      </w:pPr>
      <w:r>
        <w:t>(7)</w:t>
      </w:r>
      <w:r>
        <w:tab/>
      </w:r>
      <w:r>
        <w:rPr>
          <w:noProof/>
        </w:rPr>
        <w:t>В резултат на обединението на приложения І и ІІ към Регламент (ЕС) № 1387/2013 и за да се управлява по-добре схемата за суспендиране на автономните мита, следва да се промени формулировката на някои разпоредби от посочения регламент.</w:t>
      </w:r>
    </w:p>
    <w:p>
      <w:pPr>
        <w:pStyle w:val="ManualConsidrant"/>
        <w:rPr>
          <w:noProof/>
        </w:rPr>
      </w:pPr>
      <w:r>
        <w:t>(8)</w:t>
      </w:r>
      <w:r>
        <w:tab/>
      </w:r>
      <w:r>
        <w:rPr>
          <w:noProof/>
        </w:rPr>
        <w:t>Поради това Регламент (ЕС) № 1387/2013 следва съответно да се измени.</w:t>
      </w:r>
    </w:p>
    <w:p>
      <w:pPr>
        <w:pStyle w:val="ManualConsidrant"/>
        <w:rPr>
          <w:noProof/>
        </w:rPr>
      </w:pPr>
      <w:r>
        <w:t>(9)</w:t>
      </w:r>
      <w:r>
        <w:tab/>
      </w:r>
      <w:r>
        <w:rPr>
          <w:noProof/>
        </w:rPr>
        <w:t>Тъй като промените относно суспендиранията за засегнатите продукти, предвидени в настоящия регламент, трябва да се прилагат от 1 януари 2016 г., той следва да влезе в сила незабавно,</w:t>
      </w:r>
    </w:p>
    <w:p>
      <w:pPr>
        <w:pStyle w:val="Formuledadoption"/>
        <w:rPr>
          <w:noProof/>
        </w:rPr>
      </w:pPr>
      <w:r>
        <w:rPr>
          <w:noProof/>
        </w:rPr>
        <w:t>ПРИЕ НАСТОЯЩИЯ РЕГЛАМЕНТ:</w:t>
      </w:r>
    </w:p>
    <w:p>
      <w:pPr>
        <w:pStyle w:val="Titrearticle"/>
        <w:rPr>
          <w:noProof/>
        </w:rPr>
      </w:pPr>
      <w:r>
        <w:rPr>
          <w:noProof/>
        </w:rPr>
        <w:t>Член 1</w:t>
      </w:r>
    </w:p>
    <w:p>
      <w:pPr>
        <w:rPr>
          <w:rFonts w:eastAsia="Times New Roman"/>
          <w:noProof/>
          <w:szCs w:val="24"/>
        </w:rPr>
      </w:pPr>
      <w:r>
        <w:rPr>
          <w:noProof/>
        </w:rPr>
        <w:t>Регламент (ЕС) № 1387/2013 се изменя, както следва:</w:t>
      </w:r>
    </w:p>
    <w:p>
      <w:pPr>
        <w:ind w:left="720" w:hanging="720"/>
        <w:rPr>
          <w:noProof/>
        </w:rPr>
      </w:pPr>
      <w:r>
        <w:rPr>
          <w:noProof/>
        </w:rPr>
        <w:t>(1)</w:t>
      </w:r>
      <w:r>
        <w:rPr>
          <w:noProof/>
        </w:rPr>
        <w:tab/>
        <w:t>в член 1 „приложение І“ се заменя с „приложението“;</w:t>
      </w:r>
    </w:p>
    <w:p>
      <w:pPr>
        <w:rPr>
          <w:noProof/>
        </w:rPr>
      </w:pPr>
      <w:r>
        <w:rPr>
          <w:noProof/>
        </w:rPr>
        <w:t>(2)</w:t>
      </w:r>
      <w:r>
        <w:rPr>
          <w:noProof/>
        </w:rPr>
        <w:tab/>
        <w:t>член 2 се изменя, както следва:</w:t>
      </w:r>
    </w:p>
    <w:p>
      <w:pPr>
        <w:pStyle w:val="Point1letter"/>
        <w:numPr>
          <w:ilvl w:val="3"/>
          <w:numId w:val="13"/>
        </w:numPr>
        <w:rPr>
          <w:noProof/>
        </w:rPr>
      </w:pPr>
      <w:r>
        <w:rPr>
          <w:noProof/>
        </w:rPr>
        <w:t xml:space="preserve"> в параграф 1 „приложение І“ се заменя с „приложението“,</w:t>
      </w:r>
    </w:p>
    <w:p>
      <w:pPr>
        <w:pStyle w:val="Point1letter"/>
        <w:rPr>
          <w:noProof/>
        </w:rPr>
      </w:pPr>
      <w:r>
        <w:rPr>
          <w:noProof/>
        </w:rPr>
        <w:t xml:space="preserve"> параграф 2 се заменя със следното:</w:t>
      </w:r>
    </w:p>
    <w:p>
      <w:pPr>
        <w:ind w:left="720"/>
        <w:rPr>
          <w:noProof/>
        </w:rPr>
      </w:pPr>
      <w:r>
        <w:rPr>
          <w:noProof/>
        </w:rPr>
        <w:t>„2.</w:t>
      </w:r>
      <w:r>
        <w:rPr>
          <w:noProof/>
        </w:rPr>
        <w:tab/>
        <w:t>Комисията преразглежда суспендиранията за продуктите, посочени в приложението, през годината, която предшества крайната дата за задължително преразглеждане по приложението.“;</w:t>
      </w:r>
    </w:p>
    <w:p>
      <w:pPr>
        <w:rPr>
          <w:noProof/>
        </w:rPr>
      </w:pPr>
    </w:p>
    <w:p>
      <w:pPr>
        <w:rPr>
          <w:noProof/>
          <w:color w:val="444444"/>
          <w:sz w:val="27"/>
          <w:szCs w:val="27"/>
        </w:rPr>
      </w:pPr>
      <w:r>
        <w:rPr>
          <w:noProof/>
        </w:rPr>
        <w:t>(3)</w:t>
      </w:r>
      <w:r>
        <w:rPr>
          <w:noProof/>
        </w:rPr>
        <w:tab/>
        <w:t>член 3 се заменя със следното:</w:t>
      </w:r>
    </w:p>
    <w:p>
      <w:pPr>
        <w:rPr>
          <w:noProof/>
        </w:rPr>
      </w:pPr>
    </w:p>
    <w:p>
      <w:pPr>
        <w:pStyle w:val="Titrearticle"/>
        <w:rPr>
          <w:noProof/>
        </w:rPr>
      </w:pPr>
      <w:r>
        <w:rPr>
          <w:noProof/>
        </w:rPr>
        <w:t>„Член 3</w:t>
      </w:r>
    </w:p>
    <w:p>
      <w:pPr>
        <w:ind w:left="400" w:right="400"/>
        <w:rPr>
          <w:noProof/>
        </w:rPr>
      </w:pPr>
      <w:r>
        <w:rPr>
          <w:noProof/>
        </w:rPr>
        <w:t>Когато се представя декларация за допускане за свободно обращение за продуктите, във връзка с които са предвидени допълнителни мерни единици в приложението, точното количество на внесените продукти се вписва в „клетка 41: допълнителни мерни единици“ от тази декларация, като се използва мерната единица, която е определена в приложението.“;</w:t>
      </w:r>
    </w:p>
    <w:p>
      <w:pPr>
        <w:ind w:left="400" w:right="400"/>
        <w:rPr>
          <w:noProof/>
        </w:rPr>
      </w:pPr>
    </w:p>
    <w:p>
      <w:pPr>
        <w:ind w:left="720" w:hanging="720"/>
        <w:rPr>
          <w:noProof/>
        </w:rPr>
      </w:pPr>
      <w:r>
        <w:rPr>
          <w:noProof/>
        </w:rPr>
        <w:t>(4)</w:t>
      </w:r>
      <w:r>
        <w:rPr>
          <w:noProof/>
        </w:rPr>
        <w:tab/>
        <w:t>приложения I и II към Регламент (ЕС) № 1387/2013 се заменят с текста в приложението към настоящия регламент.</w:t>
      </w:r>
    </w:p>
    <w:p>
      <w:pPr>
        <w:pStyle w:val="Titrearticle"/>
        <w:rPr>
          <w:noProof/>
        </w:rPr>
      </w:pPr>
      <w:r>
        <w:rPr>
          <w:noProof/>
        </w:rPr>
        <w:t xml:space="preserve">Член 2 </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rPr>
          <w:noProof/>
        </w:rPr>
      </w:pPr>
      <w:r>
        <w:rPr>
          <w:noProof/>
        </w:rPr>
        <w:t xml:space="preserve">Той се прилага от 1 януари 2016 г.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НАИМЕНОВАНИЕ НА ПРЕДЛОЖЕНИЕТО</w:t>
      </w:r>
    </w:p>
    <w:p>
      <w:pPr>
        <w:pStyle w:val="Text1"/>
        <w:rPr>
          <w:b/>
          <w:bCs/>
          <w:smallCaps/>
          <w:noProof/>
        </w:rPr>
      </w:pPr>
      <w:r>
        <w:rPr>
          <w:noProof/>
        </w:rPr>
        <w:t>Регламент на Съвета 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ManualHeading1"/>
        <w:rPr>
          <w:noProof/>
          <w:szCs w:val="24"/>
        </w:rPr>
      </w:pPr>
      <w:r>
        <w:rPr>
          <w:noProof/>
        </w:rPr>
        <w:t>2.</w:t>
      </w:r>
      <w:r>
        <w:rPr>
          <w:noProof/>
        </w:rPr>
        <w:tab/>
        <w:t>БЮДЖЕТНИ РЕДОВЕ:</w:t>
      </w:r>
    </w:p>
    <w:p>
      <w:pPr>
        <w:pStyle w:val="Text1"/>
        <w:rPr>
          <w:noProof/>
        </w:rPr>
      </w:pPr>
      <w:r>
        <w:rPr>
          <w:noProof/>
        </w:rPr>
        <w:t>Глава и статия: глава 12, статия 120</w:t>
      </w:r>
    </w:p>
    <w:p>
      <w:pPr>
        <w:pStyle w:val="Text1"/>
        <w:rPr>
          <w:noProof/>
        </w:rPr>
      </w:pPr>
      <w:r>
        <w:rPr>
          <w:noProof/>
        </w:rPr>
        <w:t>Сума, предвидена в бюджета за 2016 г.: 18 465 300 000 EUR (Бюджет 2016 г.)</w:t>
      </w:r>
    </w:p>
    <w:p>
      <w:pPr>
        <w:pStyle w:val="ManualHeading1"/>
        <w:rPr>
          <w:noProof/>
          <w:szCs w:val="24"/>
        </w:rPr>
      </w:pPr>
      <w:r>
        <w:rPr>
          <w:noProof/>
        </w:rPr>
        <w:t>3.</w:t>
      </w:r>
      <w:r>
        <w:rPr>
          <w:noProof/>
        </w:rPr>
        <w:tab/>
        <w:t>ФИНАНСОВО ОТРАЖЕНИЕ</w:t>
      </w:r>
    </w:p>
    <w:p>
      <w:pPr>
        <w:pStyle w:val="Text1"/>
        <w:rPr>
          <w:noProof/>
        </w:rPr>
      </w:pPr>
      <w:r>
        <w:rPr>
          <w:noProof/>
        </w:rPr>
        <w:sym w:font="Wingdings" w:char="F0A8"/>
      </w:r>
      <w:r>
        <w:rPr>
          <w:noProof/>
        </w:rPr>
        <w:t xml:space="preserve"> Предложението няма финансово отражение</w:t>
      </w:r>
    </w:p>
    <w:p>
      <w:pPr>
        <w:pStyle w:val="Text1"/>
        <w:rPr>
          <w:noProof/>
        </w:rPr>
      </w:pPr>
      <w:r>
        <w:rPr>
          <w:noProof/>
        </w:rPr>
        <w:t>X</w:t>
      </w:r>
      <w:r>
        <w:rPr>
          <w:noProof/>
        </w:rPr>
        <w:tab/>
        <w:t>Предложението няма финансово отражение върху разходите, но има върху приходите, както следва:</w:t>
      </w:r>
    </w:p>
    <w:p>
      <w:pPr>
        <w:jc w:val="right"/>
        <w:rPr>
          <w:noProof/>
          <w:snapToGrid w:val="0"/>
        </w:rPr>
      </w:pPr>
      <w:r>
        <w:rPr>
          <w:noProof/>
        </w:rPr>
        <w:t>(в милиони евро до един знак след десетичната запетая)</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Бюджетен ред</w:t>
            </w:r>
          </w:p>
        </w:tc>
        <w:tc>
          <w:tcPr>
            <w:tcW w:w="2880" w:type="dxa"/>
          </w:tcPr>
          <w:p>
            <w:pPr>
              <w:spacing w:before="0" w:after="0"/>
              <w:jc w:val="center"/>
              <w:rPr>
                <w:noProof/>
                <w:snapToGrid w:val="0"/>
              </w:rPr>
            </w:pPr>
            <w:r>
              <w:rPr>
                <w:noProof/>
                <w:sz w:val="22"/>
              </w:rPr>
              <w:t>Приходи</w:t>
            </w:r>
            <w:r>
              <w:rPr>
                <w:rStyle w:val="FootnoteReference"/>
                <w:noProof/>
                <w:snapToGrid w:val="0"/>
                <w:sz w:val="22"/>
              </w:rPr>
              <w:footnoteReference w:id="2"/>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12-месечен период, считано от дд/мм/гггг</w:t>
            </w:r>
          </w:p>
        </w:tc>
        <w:tc>
          <w:tcPr>
            <w:tcW w:w="2070" w:type="dxa"/>
            <w:shd w:val="clear" w:color="auto" w:fill="auto"/>
          </w:tcPr>
          <w:p>
            <w:pPr>
              <w:spacing w:before="0" w:after="0"/>
              <w:jc w:val="center"/>
              <w:rPr>
                <w:noProof/>
                <w:snapToGrid w:val="0"/>
              </w:rPr>
            </w:pPr>
            <w:r>
              <w:rPr>
                <w:noProof/>
                <w:sz w:val="22"/>
              </w:rPr>
              <w:t xml:space="preserve">[Година: 2016 г.] </w:t>
            </w:r>
          </w:p>
        </w:tc>
      </w:tr>
      <w:tr>
        <w:trPr>
          <w:cantSplit/>
        </w:trPr>
        <w:tc>
          <w:tcPr>
            <w:tcW w:w="1322" w:type="dxa"/>
            <w:shd w:val="clear" w:color="auto" w:fill="auto"/>
          </w:tcPr>
          <w:p>
            <w:pPr>
              <w:spacing w:before="0" w:after="0"/>
              <w:jc w:val="left"/>
              <w:rPr>
                <w:noProof/>
              </w:rPr>
            </w:pPr>
            <w:r>
              <w:rPr>
                <w:noProof/>
                <w:sz w:val="22"/>
              </w:rPr>
              <w:t xml:space="preserve">Статия 120 </w:t>
            </w:r>
          </w:p>
          <w:p>
            <w:pPr>
              <w:spacing w:before="0" w:after="0"/>
              <w:jc w:val="left"/>
              <w:rPr>
                <w:noProof/>
                <w:snapToGrid w:val="0"/>
              </w:rPr>
            </w:pPr>
          </w:p>
        </w:tc>
        <w:tc>
          <w:tcPr>
            <w:tcW w:w="2880" w:type="dxa"/>
          </w:tcPr>
          <w:p>
            <w:pPr>
              <w:spacing w:before="0" w:after="0"/>
              <w:jc w:val="left"/>
              <w:rPr>
                <w:i/>
                <w:noProof/>
                <w:snapToGrid w:val="0"/>
              </w:rPr>
            </w:pPr>
            <w:r>
              <w:rPr>
                <w:i/>
                <w:noProof/>
                <w:sz w:val="22"/>
              </w:rPr>
              <w:t>Отражение върху собствените ресурси</w:t>
            </w:r>
          </w:p>
        </w:tc>
        <w:tc>
          <w:tcPr>
            <w:tcW w:w="2070" w:type="dxa"/>
            <w:shd w:val="clear" w:color="auto" w:fill="auto"/>
          </w:tcPr>
          <w:p>
            <w:pPr>
              <w:spacing w:before="0" w:after="0"/>
              <w:jc w:val="left"/>
              <w:rPr>
                <w:noProof/>
                <w:snapToGrid w:val="0"/>
              </w:rPr>
            </w:pPr>
            <w:r>
              <w:rPr>
                <w:noProof/>
                <w:snapToGrid w:val="0"/>
                <w:sz w:val="22"/>
              </w:rPr>
              <w:t>1/1/2016 г.</w:t>
            </w:r>
          </w:p>
        </w:tc>
        <w:tc>
          <w:tcPr>
            <w:tcW w:w="2070" w:type="dxa"/>
            <w:shd w:val="clear" w:color="auto" w:fill="auto"/>
          </w:tcPr>
          <w:p>
            <w:pPr>
              <w:spacing w:before="0" w:after="0"/>
              <w:jc w:val="left"/>
              <w:rPr>
                <w:noProof/>
                <w:snapToGrid w:val="0"/>
              </w:rPr>
            </w:pPr>
            <w:r>
              <w:rPr>
                <w:noProof/>
                <w:snapToGrid w:val="0"/>
                <w:sz w:val="22"/>
              </w:rPr>
              <w:t>-</w:t>
            </w:r>
            <w:r>
              <w:rPr>
                <w:noProof/>
                <w:sz w:val="22"/>
              </w:rPr>
              <w:t>24,7</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2"/>
        <w:gridCol w:w="7078"/>
      </w:tblGrid>
      <w:tr>
        <w:trPr>
          <w:cantSplit/>
        </w:trPr>
        <w:tc>
          <w:tcPr>
            <w:tcW w:w="8402" w:type="dxa"/>
            <w:gridSpan w:val="2"/>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Състояние след действието</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[2015 г. — 2020 г.]</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Статия 120</w:t>
            </w: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- 24,7 / годишно</w:t>
            </w:r>
          </w:p>
        </w:tc>
      </w:tr>
    </w:tbl>
    <w:p>
      <w:pPr>
        <w:pStyle w:val="ManualHeading1"/>
        <w:rPr>
          <w:noProof/>
        </w:rPr>
      </w:pPr>
      <w:r>
        <w:rPr>
          <w:noProof/>
        </w:rPr>
        <w:t>4.</w:t>
      </w:r>
      <w:r>
        <w:rPr>
          <w:noProof/>
        </w:rPr>
        <w:tab/>
        <w:t>МЕРКИ ЗА БОРБА С ИЗМАМИТЕ</w:t>
      </w:r>
    </w:p>
    <w:p>
      <w:pPr>
        <w:pStyle w:val="Text1"/>
        <w:rPr>
          <w:rFonts w:eastAsia="Times New Roman"/>
          <w:noProof/>
          <w:szCs w:val="24"/>
        </w:rPr>
      </w:pPr>
      <w:r>
        <w:rPr>
          <w:noProof/>
        </w:rPr>
        <w:t>В съответствие с членове 291 — 300 от Регламент (ЕИО) № 2454/93 на Комисията за определяне на разпоредби за прилагане на Митническия кодекс на Общността ще се извършват проверки на крайната употреба на някои от продуктите, обхванати от настоящия регламент на Съвета.</w:t>
      </w:r>
    </w:p>
    <w:p>
      <w:pPr>
        <w:pStyle w:val="ManualHeading1"/>
        <w:rPr>
          <w:noProof/>
          <w:kern w:val="32"/>
        </w:rPr>
      </w:pPr>
      <w:r>
        <w:rPr>
          <w:noProof/>
        </w:rPr>
        <w:t>5.</w:t>
      </w:r>
      <w:r>
        <w:rPr>
          <w:noProof/>
        </w:rPr>
        <w:tab/>
        <w:t>ДРУГИ ЗАБЕЛЕЖКИ</w:t>
      </w:r>
    </w:p>
    <w:p>
      <w:pPr>
        <w:pStyle w:val="Text1"/>
        <w:rPr>
          <w:noProof/>
        </w:rPr>
      </w:pPr>
      <w:r>
        <w:rPr>
          <w:noProof/>
        </w:rPr>
        <w:t>Настоящото предложение съдържа измененията, които трябва да се внесат в приложението към съществуващия регламент, за да се отчетат:</w:t>
      </w:r>
    </w:p>
    <w:p>
      <w:pPr>
        <w:pStyle w:val="Text1"/>
        <w:rPr>
          <w:noProof/>
        </w:rPr>
      </w:pPr>
      <w:r>
        <w:rPr>
          <w:noProof/>
        </w:rPr>
        <w:t>1.</w:t>
      </w:r>
      <w:r>
        <w:rPr>
          <w:noProof/>
        </w:rPr>
        <w:tab/>
        <w:t>новите искания за суспендиране, които са били представени и приети;</w:t>
      </w:r>
    </w:p>
    <w:p>
      <w:pPr>
        <w:pStyle w:val="Text1"/>
        <w:rPr>
          <w:noProof/>
        </w:rPr>
      </w:pPr>
      <w:r>
        <w:rPr>
          <w:noProof/>
        </w:rPr>
        <w:t>2.</w:t>
      </w:r>
      <w:r>
        <w:rPr>
          <w:noProof/>
        </w:rPr>
        <w:tab/>
        <w:t>техническите промени в продуктите и икономическите тенденции на пазара, довели до преустановяване на определени съществуващи суспендирания.</w:t>
      </w:r>
    </w:p>
    <w:p>
      <w:pPr>
        <w:pStyle w:val="Text1"/>
        <w:rPr>
          <w:noProof/>
          <w:u w:val="single"/>
        </w:rPr>
      </w:pPr>
      <w:r>
        <w:rPr>
          <w:noProof/>
          <w:u w:val="single"/>
        </w:rPr>
        <w:t>Добавяне</w:t>
      </w:r>
    </w:p>
    <w:p>
      <w:pPr>
        <w:pStyle w:val="Text1"/>
        <w:rPr>
          <w:noProof/>
        </w:rPr>
      </w:pPr>
      <w:r>
        <w:rPr>
          <w:noProof/>
        </w:rPr>
        <w:t>Освен измененията, които са в резултат на промените в описанието или кода, приложението съдържа 110 нови продукта. Несъбраните мита вследствие на тези суспендирания, изчислени на база на прогнозите на подалите искания държави членки за периода 2015 г. — 2019 г., възлизат на 19,3 милиона евро годишно.</w:t>
      </w:r>
    </w:p>
    <w:p>
      <w:pPr>
        <w:pStyle w:val="Text1"/>
        <w:rPr>
          <w:noProof/>
        </w:rPr>
      </w:pPr>
      <w:r>
        <w:rPr>
          <w:noProof/>
        </w:rPr>
        <w:t>Въпреки това, въз основа на съществуващите статистически данни за предходните години изглежда, че тази сума трябва да се увеличи, като се умножи със среден коефициент, изчислен на 1,8, за да се отчете вносът в други държави членки, които прилагат същите суспендирания. Това означава загуба на приходи от несъбрани мита в размер на около 34,7 милиона евро годишно.</w:t>
      </w:r>
    </w:p>
    <w:p>
      <w:pPr>
        <w:pStyle w:val="Text1"/>
        <w:rPr>
          <w:noProof/>
          <w:u w:val="single"/>
        </w:rPr>
      </w:pPr>
      <w:r>
        <w:rPr>
          <w:noProof/>
          <w:u w:val="single"/>
        </w:rPr>
        <w:t>Заличаване от приложението</w:t>
      </w:r>
    </w:p>
    <w:p>
      <w:pPr>
        <w:pStyle w:val="Text1"/>
        <w:rPr>
          <w:noProof/>
        </w:rPr>
      </w:pPr>
      <w:r>
        <w:rPr>
          <w:noProof/>
        </w:rPr>
        <w:t>От настоящото приложение са заличени 41 продукта вследствие на повторното въвеждане на мита. Това представлява увеличение на ресурсите с 1,8 милиона евро, изчислено въз основа на статистическите данни за 2014 г.</w:t>
      </w:r>
    </w:p>
    <w:p>
      <w:pPr>
        <w:pStyle w:val="Text1"/>
        <w:rPr>
          <w:noProof/>
          <w:u w:val="single"/>
        </w:rPr>
      </w:pPr>
      <w:r>
        <w:rPr>
          <w:noProof/>
          <w:u w:val="single"/>
        </w:rPr>
        <w:t>Очаквано отражение от тази мярка</w:t>
      </w:r>
    </w:p>
    <w:p>
      <w:pPr>
        <w:pStyle w:val="Text1"/>
        <w:rPr>
          <w:noProof/>
        </w:rPr>
      </w:pPr>
      <w:r>
        <w:rPr>
          <w:noProof/>
        </w:rPr>
        <w:t>Въз основа на гореизложеното отражението на настоящия регламент върху загубата на приходи може да се изчисли, както следва: 34,7 – 1,8 = 32,9 млн. EUR (брутна сума, включително разходите по събирането) x 0,75 = 24,7 млн. EUR годишно за периода 1.1.2016 г. — 31.12.2020 г.</w:t>
      </w:r>
    </w:p>
    <w:p>
      <w:pPr>
        <w:ind w:left="850"/>
        <w:rPr>
          <w:noProof/>
        </w:rPr>
      </w:pPr>
      <w:r>
        <w:rPr>
          <w:noProof/>
        </w:rPr>
        <w:t>Загубата на приходи от традиционните собствени ресурси се компенсира от вноските на държавите членки въз основа на БНД.</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1387/2013 на Съвета от 17 декември 2013 г. за суспендиране на автономните мита по Общата митническа тарифа за определени селскостопански и промишлени продукти и за отмяна на Регламент (ЕС) № 1344/2011 (ОВ L 354, 28.12.2013 г., стр. 201).</w:t>
      </w:r>
    </w:p>
    <w:p>
      <w:pPr>
        <w:pStyle w:val="FootnoteText"/>
      </w:pPr>
    </w:p>
  </w:footnote>
  <w:footnote w:id="2">
    <w:p>
      <w:pPr>
        <w:pStyle w:val="FootnoteText"/>
      </w:pPr>
      <w:r>
        <w:rPr>
          <w:rStyle w:val="FootnoteReference"/>
        </w:rPr>
        <w:footnoteRef/>
      </w:r>
      <w:r>
        <w:tab/>
        <w:t>Що се отнася до традиционните собствени ресурси (мита върху селскостопански продукти, налози върху захарта, мита), посочените суми трябва да бъдат нетни, т.е. брутни суми, от които са приспаднати 25 % за разходи по събирането.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B46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9E64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6C81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AC21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A07A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1-30 15:0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2B57C6A484C41FB8C1B448EC2726965"/>
    <w:docVar w:name="LW_CROSSREFERENCE" w:val="&lt;UNUSED&gt;"/>
    <w:docVar w:name="LW_DocType" w:val="COM"/>
    <w:docVar w:name="LW_EMISSION" w:val="4.12.2015"/>
    <w:docVar w:name="LW_EMISSION_ISODATE" w:val="2015-12-0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9"/>
    <w:docVar w:name="LW_REF.II.NEW.CP_YEAR" w:val="2015"/>
    <w:docVar w:name="LW_REF.INST.NEW" w:val="COM"/>
    <w:docVar w:name="LW_REF.INST.NEW_ADOPTED" w:val="final"/>
    <w:docVar w:name="LW_REF.INST.NEW_TEXT" w:val="(2015) 620"/>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0CAA-90B6-411C-BD74-BCDA815F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1931</Words>
  <Characters>11240</Characters>
  <Application>Microsoft Office Word</Application>
  <DocSecurity>0</DocSecurity>
  <Lines>261</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2015-11-03T09:56:00Z</cp:lastPrinted>
  <dcterms:created xsi:type="dcterms:W3CDTF">2015-11-27T09:13:00Z</dcterms:created>
  <dcterms:modified xsi:type="dcterms:W3CDTF">2015-11-30T14:01:00Z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