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1E03C11E311F4FE8977A0DD733022B9D" style="width:450.8pt;height:400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2012/30/UE (adapté)</w:t>
      </w:r>
    </w:p>
    <w:p>
      <w:pPr>
        <w:pStyle w:val="Annexetitre"/>
        <w:rPr>
          <w:noProof/>
        </w:rPr>
      </w:pPr>
      <w:r>
        <w:rPr>
          <w:noProof/>
        </w:rPr>
        <w:t>ANNEXE I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t xml:space="preserve">Formes de sociétés visées 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Ö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Ö</w:t>
      </w:r>
      <w:r>
        <w:rPr>
          <w:b/>
          <w:noProof/>
        </w:rPr>
        <w:fldChar w:fldCharType="end"/>
      </w:r>
      <w:r>
        <w:rPr>
          <w:b/>
          <w:noProof/>
        </w:rPr>
        <w:t> à l'article 2, paragraphes 1 et 2, aux articles 3 et 43 et aux articles 44, paragraphe 2, 86, paragraphe 1 et 135, paragraphe 1 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Õ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Õ</w:t>
      </w:r>
      <w:r>
        <w:rPr>
          <w:b/>
          <w:noProof/>
        </w:rPr>
        <w:fldChar w:fldCharType="end"/>
      </w:r>
    </w:p>
    <w:p>
      <w:pPr>
        <w:pStyle w:val="Tiret0"/>
        <w:numPr>
          <w:ilvl w:val="0"/>
          <w:numId w:val="46"/>
        </w:numPr>
        <w:ind w:left="851"/>
        <w:rPr>
          <w:noProof/>
        </w:rPr>
      </w:pPr>
      <w:r>
        <w:rPr>
          <w:noProof/>
        </w:rPr>
        <w:t>pour la Belgique:</w:t>
      </w:r>
    </w:p>
    <w:p>
      <w:pPr>
        <w:pStyle w:val="Text1"/>
        <w:rPr>
          <w:noProof/>
        </w:rPr>
      </w:pPr>
      <w:r>
        <w:rPr>
          <w:noProof/>
        </w:rPr>
        <w:t>société anonyme / naamloze vennootschap;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Bulgarie:</w:t>
      </w:r>
    </w:p>
    <w:p>
      <w:pPr>
        <w:pStyle w:val="Text1"/>
        <w:rPr>
          <w:noProof/>
        </w:rPr>
      </w:pPr>
      <w:r>
        <w:rPr>
          <w:noProof/>
        </w:rPr>
        <w:t>акционерно дружество;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République tchèque:</w:t>
      </w:r>
    </w:p>
    <w:p>
      <w:pPr>
        <w:pStyle w:val="Text1"/>
        <w:rPr>
          <w:noProof/>
        </w:rPr>
      </w:pPr>
      <w:r>
        <w:rPr>
          <w:noProof/>
        </w:rPr>
        <w:t>akciová společnost;</w:t>
      </w:r>
    </w:p>
    <w:p>
      <w:pPr>
        <w:pStyle w:val="Tiret0"/>
        <w:ind w:left="851"/>
        <w:rPr>
          <w:noProof/>
        </w:rPr>
      </w:pPr>
      <w:r>
        <w:rPr>
          <w:noProof/>
        </w:rPr>
        <w:t>pour le Danemark:</w:t>
      </w:r>
    </w:p>
    <w:p>
      <w:pPr>
        <w:pStyle w:val="Text1"/>
        <w:rPr>
          <w:noProof/>
        </w:rPr>
      </w:pPr>
      <w:r>
        <w:rPr>
          <w:noProof/>
        </w:rPr>
        <w:t>aktieselskab;</w:t>
      </w:r>
    </w:p>
    <w:p>
      <w:pPr>
        <w:pStyle w:val="Tiret0"/>
        <w:ind w:left="851"/>
        <w:rPr>
          <w:noProof/>
        </w:rPr>
      </w:pPr>
      <w:r>
        <w:rPr>
          <w:noProof/>
        </w:rPr>
        <w:t>pour l'Allemagne:</w:t>
      </w:r>
    </w:p>
    <w:p>
      <w:pPr>
        <w:pStyle w:val="Text1"/>
        <w:rPr>
          <w:noProof/>
        </w:rPr>
      </w:pPr>
      <w:r>
        <w:rPr>
          <w:noProof/>
        </w:rPr>
        <w:t>Aktiengesellschaft;</w:t>
      </w:r>
    </w:p>
    <w:p>
      <w:pPr>
        <w:pStyle w:val="Tiret0"/>
        <w:ind w:left="851"/>
        <w:rPr>
          <w:noProof/>
        </w:rPr>
      </w:pPr>
      <w:r>
        <w:rPr>
          <w:noProof/>
        </w:rPr>
        <w:t>pour l'Estonie:</w:t>
      </w:r>
    </w:p>
    <w:p>
      <w:pPr>
        <w:pStyle w:val="Text1"/>
        <w:rPr>
          <w:noProof/>
        </w:rPr>
      </w:pPr>
      <w:r>
        <w:rPr>
          <w:noProof/>
        </w:rPr>
        <w:t>aktsiaselts;</w:t>
      </w:r>
    </w:p>
    <w:p>
      <w:pPr>
        <w:pStyle w:val="Tiret0"/>
        <w:ind w:left="851"/>
        <w:rPr>
          <w:noProof/>
        </w:rPr>
      </w:pPr>
      <w:r>
        <w:rPr>
          <w:noProof/>
        </w:rPr>
        <w:t>pour l'Irlande:</w:t>
      </w:r>
    </w:p>
    <w:p>
      <w:pPr>
        <w:pStyle w:val="Text1"/>
        <w:rPr>
          <w:noProof/>
          <w:lang w:val="en-US"/>
        </w:rPr>
      </w:pPr>
      <w:r>
        <w:rPr>
          <w:noProof/>
          <w:lang w:val="en-US"/>
        </w:rPr>
        <w:t>public company limited by shares,</w:t>
      </w:r>
    </w:p>
    <w:p>
      <w:pPr>
        <w:pStyle w:val="Text1"/>
        <w:rPr>
          <w:noProof/>
          <w:lang w:val="en-US"/>
        </w:rPr>
      </w:pPr>
      <w:r>
        <w:rPr>
          <w:noProof/>
          <w:lang w:val="en-US"/>
        </w:rPr>
        <w:t>public company limited by guarantee and having a share capital;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Grèce:</w:t>
      </w:r>
    </w:p>
    <w:p>
      <w:pPr>
        <w:pStyle w:val="Text1"/>
        <w:rPr>
          <w:noProof/>
        </w:rPr>
      </w:pPr>
      <w:r>
        <w:rPr>
          <w:noProof/>
        </w:rPr>
        <w:t>ανώνυμη εταιρεία;</w:t>
      </w:r>
    </w:p>
    <w:p>
      <w:pPr>
        <w:pStyle w:val="Tiret0"/>
        <w:ind w:left="851"/>
        <w:rPr>
          <w:noProof/>
        </w:rPr>
      </w:pPr>
      <w:r>
        <w:rPr>
          <w:noProof/>
        </w:rPr>
        <w:t>pour l'Espagne:</w:t>
      </w:r>
    </w:p>
    <w:p>
      <w:pPr>
        <w:pStyle w:val="Text1"/>
        <w:rPr>
          <w:noProof/>
        </w:rPr>
      </w:pPr>
      <w:r>
        <w:rPr>
          <w:noProof/>
        </w:rPr>
        <w:t>sociedad anónima;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France:</w:t>
      </w:r>
    </w:p>
    <w:p>
      <w:pPr>
        <w:pStyle w:val="Text1"/>
        <w:rPr>
          <w:noProof/>
        </w:rPr>
      </w:pPr>
      <w:r>
        <w:rPr>
          <w:noProof/>
        </w:rPr>
        <w:t>société anonyme;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2013/24/UE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Croatie:</w:t>
      </w:r>
    </w:p>
    <w:p>
      <w:pPr>
        <w:pStyle w:val="Text1"/>
        <w:rPr>
          <w:noProof/>
        </w:rPr>
      </w:pPr>
      <w:r>
        <w:rPr>
          <w:noProof/>
        </w:rPr>
        <w:t>dioničko društvo;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2012/30/UE</w:t>
      </w:r>
    </w:p>
    <w:p>
      <w:pPr>
        <w:pStyle w:val="Tiret0"/>
        <w:keepNext/>
        <w:ind w:left="851" w:hanging="851"/>
        <w:rPr>
          <w:noProof/>
        </w:rPr>
      </w:pPr>
      <w:r>
        <w:rPr>
          <w:noProof/>
        </w:rPr>
        <w:t>pour l'Italie:</w:t>
      </w:r>
    </w:p>
    <w:p>
      <w:pPr>
        <w:pStyle w:val="Text1"/>
        <w:rPr>
          <w:noProof/>
        </w:rPr>
      </w:pPr>
      <w:r>
        <w:rPr>
          <w:noProof/>
        </w:rPr>
        <w:t>società per azioni;</w:t>
      </w:r>
    </w:p>
    <w:p>
      <w:pPr>
        <w:pStyle w:val="Tiret0"/>
        <w:keepNext/>
        <w:ind w:left="851" w:hanging="851"/>
        <w:rPr>
          <w:noProof/>
        </w:rPr>
      </w:pPr>
      <w:r>
        <w:rPr>
          <w:noProof/>
        </w:rPr>
        <w:t>pour Chypre:</w:t>
      </w:r>
    </w:p>
    <w:p>
      <w:pPr>
        <w:pStyle w:val="Text1"/>
        <w:rPr>
          <w:noProof/>
          <w:lang w:val="el-GR"/>
        </w:rPr>
      </w:pPr>
      <w:r>
        <w:rPr>
          <w:noProof/>
          <w:lang w:val="el-GR"/>
        </w:rPr>
        <w:t>δημόσιες εταιρείες περιορισμένης ευθύνης με μετοχές,</w:t>
      </w:r>
    </w:p>
    <w:p>
      <w:pPr>
        <w:pStyle w:val="Text1"/>
        <w:rPr>
          <w:noProof/>
          <w:lang w:val="el-GR"/>
        </w:rPr>
      </w:pPr>
      <w:r>
        <w:rPr>
          <w:noProof/>
          <w:lang w:val="el-GR"/>
        </w:rPr>
        <w:t>δημόσιες εταιρείες περιορισμένης ευθύνης με εγγύηση που διαθέτουν μετοχικό κεφάλαιο;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Lettonie:</w:t>
      </w:r>
    </w:p>
    <w:p>
      <w:pPr>
        <w:pStyle w:val="Text1"/>
        <w:rPr>
          <w:noProof/>
        </w:rPr>
      </w:pPr>
      <w:r>
        <w:rPr>
          <w:noProof/>
        </w:rPr>
        <w:t>akciju sabiedrība;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Lituanie:</w:t>
      </w:r>
    </w:p>
    <w:p>
      <w:pPr>
        <w:pStyle w:val="Text1"/>
        <w:rPr>
          <w:noProof/>
        </w:rPr>
      </w:pPr>
      <w:r>
        <w:rPr>
          <w:noProof/>
        </w:rPr>
        <w:t>akcinė bendrovė;</w:t>
      </w:r>
    </w:p>
    <w:p>
      <w:pPr>
        <w:pStyle w:val="Tiret0"/>
        <w:ind w:left="851"/>
        <w:rPr>
          <w:noProof/>
        </w:rPr>
      </w:pPr>
      <w:r>
        <w:rPr>
          <w:noProof/>
        </w:rPr>
        <w:t>pour le Luxembourg:</w:t>
      </w:r>
    </w:p>
    <w:p>
      <w:pPr>
        <w:pStyle w:val="Text1"/>
        <w:rPr>
          <w:noProof/>
        </w:rPr>
      </w:pPr>
      <w:r>
        <w:rPr>
          <w:noProof/>
        </w:rPr>
        <w:t>société anonyme;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Hongrie:</w:t>
      </w:r>
    </w:p>
    <w:p>
      <w:pPr>
        <w:pStyle w:val="Text1"/>
        <w:rPr>
          <w:noProof/>
        </w:rPr>
      </w:pPr>
      <w:r>
        <w:rPr>
          <w:noProof/>
        </w:rPr>
        <w:t>nyilvánosan működő részvénytársaság;</w:t>
      </w:r>
    </w:p>
    <w:p>
      <w:pPr>
        <w:pStyle w:val="Tiret0"/>
        <w:ind w:left="851"/>
        <w:rPr>
          <w:noProof/>
        </w:rPr>
      </w:pPr>
      <w:r>
        <w:rPr>
          <w:noProof/>
        </w:rPr>
        <w:t>pour Malte:</w:t>
      </w:r>
    </w:p>
    <w:p>
      <w:pPr>
        <w:pStyle w:val="Text1"/>
        <w:rPr>
          <w:noProof/>
          <w:lang w:val="en-US"/>
        </w:rPr>
      </w:pPr>
      <w:r>
        <w:rPr>
          <w:noProof/>
          <w:lang w:val="en-US"/>
        </w:rPr>
        <w:t>kumpanija pubblika / public limited liability company;</w:t>
      </w:r>
    </w:p>
    <w:p>
      <w:pPr>
        <w:pStyle w:val="Tiret0"/>
        <w:ind w:left="851"/>
        <w:rPr>
          <w:noProof/>
        </w:rPr>
      </w:pPr>
      <w:r>
        <w:rPr>
          <w:noProof/>
        </w:rPr>
        <w:t>pour les Pays-Bas:</w:t>
      </w:r>
    </w:p>
    <w:p>
      <w:pPr>
        <w:pStyle w:val="Text1"/>
        <w:rPr>
          <w:noProof/>
        </w:rPr>
      </w:pPr>
      <w:r>
        <w:rPr>
          <w:noProof/>
        </w:rPr>
        <w:t>naamloze vennootschap;</w:t>
      </w:r>
    </w:p>
    <w:p>
      <w:pPr>
        <w:pStyle w:val="Tiret0"/>
        <w:ind w:left="851"/>
        <w:rPr>
          <w:noProof/>
        </w:rPr>
      </w:pPr>
      <w:r>
        <w:rPr>
          <w:noProof/>
        </w:rPr>
        <w:t>pour l'Autriche:</w:t>
      </w:r>
    </w:p>
    <w:p>
      <w:pPr>
        <w:pStyle w:val="Text1"/>
        <w:rPr>
          <w:noProof/>
        </w:rPr>
      </w:pPr>
      <w:r>
        <w:rPr>
          <w:noProof/>
        </w:rPr>
        <w:t>Aktiengesellschaft;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Pologne:</w:t>
      </w:r>
    </w:p>
    <w:p>
      <w:pPr>
        <w:pStyle w:val="Text1"/>
        <w:rPr>
          <w:noProof/>
        </w:rPr>
      </w:pPr>
      <w:r>
        <w:rPr>
          <w:noProof/>
        </w:rPr>
        <w:t>spółka akcyjna;</w:t>
      </w:r>
    </w:p>
    <w:p>
      <w:pPr>
        <w:pStyle w:val="Tiret0"/>
        <w:ind w:left="851"/>
        <w:rPr>
          <w:noProof/>
        </w:rPr>
      </w:pPr>
      <w:r>
        <w:rPr>
          <w:noProof/>
        </w:rPr>
        <w:t>pour le Portugal:</w:t>
      </w:r>
    </w:p>
    <w:p>
      <w:pPr>
        <w:pStyle w:val="Text1"/>
        <w:rPr>
          <w:noProof/>
        </w:rPr>
      </w:pPr>
      <w:r>
        <w:rPr>
          <w:noProof/>
        </w:rPr>
        <w:t>sociedade anónima;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Roumanie:</w:t>
      </w:r>
    </w:p>
    <w:p>
      <w:pPr>
        <w:pStyle w:val="Text1"/>
        <w:rPr>
          <w:noProof/>
        </w:rPr>
      </w:pPr>
      <w:r>
        <w:rPr>
          <w:noProof/>
        </w:rPr>
        <w:t>societate pe acțiuni;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Slovénie:</w:t>
      </w:r>
    </w:p>
    <w:p>
      <w:pPr>
        <w:pStyle w:val="Text1"/>
        <w:rPr>
          <w:noProof/>
        </w:rPr>
      </w:pPr>
      <w:r>
        <w:rPr>
          <w:noProof/>
        </w:rPr>
        <w:t>delniška družba;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Slovaquie:</w:t>
      </w:r>
    </w:p>
    <w:p>
      <w:pPr>
        <w:pStyle w:val="Text1"/>
        <w:rPr>
          <w:noProof/>
        </w:rPr>
      </w:pPr>
      <w:r>
        <w:rPr>
          <w:noProof/>
        </w:rPr>
        <w:t>akciová spoločnost';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Finlande:</w:t>
      </w:r>
    </w:p>
    <w:p>
      <w:pPr>
        <w:pStyle w:val="Text1"/>
        <w:rPr>
          <w:noProof/>
        </w:rPr>
      </w:pPr>
      <w:r>
        <w:rPr>
          <w:noProof/>
        </w:rPr>
        <w:t>julkinen osakeyhtiö / publikt aktiebolag;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Suède:</w:t>
      </w:r>
    </w:p>
    <w:p>
      <w:pPr>
        <w:pStyle w:val="Text1"/>
        <w:rPr>
          <w:noProof/>
        </w:rPr>
      </w:pPr>
      <w:r>
        <w:rPr>
          <w:noProof/>
        </w:rPr>
        <w:t>aktiebolag;</w:t>
      </w:r>
    </w:p>
    <w:p>
      <w:pPr>
        <w:pStyle w:val="Tiret0"/>
        <w:ind w:left="851"/>
        <w:rPr>
          <w:noProof/>
        </w:rPr>
      </w:pPr>
      <w:r>
        <w:rPr>
          <w:noProof/>
        </w:rPr>
        <w:t>pour le Royaume-Uni:</w:t>
      </w:r>
    </w:p>
    <w:p>
      <w:pPr>
        <w:pStyle w:val="Text1"/>
        <w:rPr>
          <w:noProof/>
          <w:lang w:val="en-US"/>
        </w:rPr>
      </w:pPr>
      <w:r>
        <w:rPr>
          <w:noProof/>
          <w:lang w:val="en-US"/>
        </w:rPr>
        <w:t>public company limited by shares,</w:t>
      </w:r>
    </w:p>
    <w:p>
      <w:pPr>
        <w:pStyle w:val="Text1"/>
        <w:rPr>
          <w:noProof/>
          <w:lang w:val="en-US"/>
        </w:rPr>
      </w:pPr>
      <w:r>
        <w:rPr>
          <w:noProof/>
          <w:lang w:val="en-US"/>
        </w:rPr>
        <w:t>public company limited by guarantee and having a share capital.</w:t>
      </w:r>
    </w:p>
    <w:p>
      <w:pPr>
        <w:pStyle w:val="NormalCentered"/>
        <w:rPr>
          <w:rFonts w:eastAsia="Calibri"/>
          <w:noProof/>
          <w:lang w:eastAsia="fr-FR"/>
        </w:rPr>
      </w:pPr>
      <w:r>
        <w:rPr>
          <w:rFonts w:eastAsia="Times New Roman"/>
          <w:noProof/>
          <w:lang w:val="fr-BE"/>
        </w:rPr>
        <w:t>_____________</w:t>
      </w:r>
    </w:p>
    <w:p>
      <w:pPr>
        <w:rPr>
          <w:rFonts w:eastAsia="Calibri"/>
          <w:noProof/>
          <w:lang w:eastAsia="fr-FR"/>
        </w:rPr>
        <w:sectPr>
          <w:footerReference w:type="defaul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1134" w:left="1134" w:header="567" w:footer="567" w:gutter="0"/>
          <w:cols w:space="720"/>
          <w:docGrid w:linePitch="326"/>
        </w:sectPr>
      </w:pPr>
    </w:p>
    <w:p>
      <w:pPr>
        <w:pStyle w:val="CRSeparator"/>
        <w:rPr>
          <w:noProof/>
        </w:rPr>
      </w:pPr>
    </w:p>
    <w:p>
      <w:pPr>
        <w:pStyle w:val="CRReference"/>
        <w:jc w:val="left"/>
        <w:rPr>
          <w:noProof/>
          <w:lang w:val="fr-BE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2009/101/CE chap. 1, art. 1 (adapté)</w:t>
      </w:r>
    </w:p>
    <w:p>
      <w:pPr>
        <w:pStyle w:val="Annexetitre"/>
        <w:rPr>
          <w:noProof/>
          <w:lang w:val="fr-BE"/>
        </w:rPr>
      </w:pPr>
      <w:r>
        <w:rPr>
          <w:noProof/>
          <w:lang w:val="fr-BE"/>
        </w:rPr>
        <w:t>ANNEXE II</w:t>
      </w:r>
    </w:p>
    <w:p>
      <w:pPr>
        <w:pStyle w:val="NormalCentered"/>
        <w:rPr>
          <w:b/>
          <w:noProof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Ö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Ö</w:t>
      </w:r>
      <w:r>
        <w:rPr>
          <w:b/>
          <w:noProof/>
        </w:rPr>
        <w:fldChar w:fldCharType="end"/>
      </w:r>
      <w:r>
        <w:rPr>
          <w:b/>
          <w:noProof/>
        </w:rPr>
        <w:t> Formes de sociétés visées aux articles 7 et 13, aux articles 28, paragraphe 1, 35, paragraphe 1 et 66, paragraphe 1 et à l’article 118, point 1) 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QUOTE "</w:instrText>
      </w:r>
      <w:r>
        <w:rPr>
          <w:rStyle w:val="CRMarker"/>
          <w:b/>
          <w:noProof/>
        </w:rPr>
        <w:instrText>Õ</w:instrText>
      </w: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>
        <w:rPr>
          <w:rStyle w:val="CRMarker"/>
          <w:b/>
          <w:noProof/>
        </w:rPr>
        <w:t>Õ</w:t>
      </w:r>
      <w:r>
        <w:rPr>
          <w:b/>
          <w:noProof/>
        </w:rPr>
        <w:fldChar w:fldCharType="end"/>
      </w:r>
    </w:p>
    <w:p>
      <w:pPr>
        <w:pStyle w:val="Tiret0"/>
        <w:numPr>
          <w:ilvl w:val="0"/>
          <w:numId w:val="17"/>
        </w:numPr>
        <w:rPr>
          <w:rFonts w:eastAsia="Calibri"/>
          <w:noProof/>
          <w:lang w:eastAsia="fr-FR"/>
        </w:rPr>
      </w:pPr>
      <w:r>
        <w:rPr>
          <w:noProof/>
        </w:rPr>
        <w:t>pour la Belgique:</w:t>
      </w:r>
    </w:p>
    <w:p>
      <w:pPr>
        <w:pStyle w:val="Text1"/>
        <w:rPr>
          <w:noProof/>
          <w:lang w:eastAsia="fr-FR"/>
        </w:rPr>
      </w:pPr>
      <w:r>
        <w:rPr>
          <w:noProof/>
          <w:lang w:eastAsia="fr-FR"/>
        </w:rPr>
        <w:t>naamloze vennootschap / société anonyme,</w:t>
      </w:r>
    </w:p>
    <w:p>
      <w:pPr>
        <w:pStyle w:val="Text1"/>
        <w:rPr>
          <w:noProof/>
          <w:lang w:eastAsia="fr-FR"/>
        </w:rPr>
      </w:pPr>
      <w:r>
        <w:rPr>
          <w:noProof/>
          <w:lang w:eastAsia="fr-FR"/>
        </w:rPr>
        <w:t>commanditaire vennootschap op aandelen / société en commandite par actions,</w:t>
      </w:r>
    </w:p>
    <w:p>
      <w:pPr>
        <w:pStyle w:val="Text1"/>
        <w:rPr>
          <w:noProof/>
          <w:lang w:eastAsia="fr-FR"/>
        </w:rPr>
      </w:pPr>
      <w:r>
        <w:rPr>
          <w:noProof/>
          <w:spacing w:val="-4"/>
          <w:lang w:eastAsia="fr-FR"/>
        </w:rPr>
        <w:t>personenvennootschap met beperkte aansprakelijkheid / société de personnes à responsabilité</w:t>
      </w:r>
      <w:r>
        <w:rPr>
          <w:noProof/>
          <w:lang w:eastAsia="fr-FR"/>
        </w:rPr>
        <w:t xml:space="preserve"> limitée;</w:t>
      </w:r>
    </w:p>
    <w:p>
      <w:pPr>
        <w:pStyle w:val="Tiret0"/>
        <w:numPr>
          <w:ilvl w:val="0"/>
          <w:numId w:val="17"/>
        </w:numPr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pour la Bulgarie:</w:t>
      </w:r>
    </w:p>
    <w:p>
      <w:pPr>
        <w:pStyle w:val="Text1"/>
        <w:rPr>
          <w:noProof/>
        </w:rPr>
      </w:pPr>
      <w:r>
        <w:rPr>
          <w:noProof/>
        </w:rPr>
        <w:t>акционерно дружество, дружество с ограничена отговорност, командитно дружество с акции;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République tchèque:</w:t>
      </w:r>
    </w:p>
    <w:p>
      <w:pPr>
        <w:pStyle w:val="Text1"/>
        <w:rPr>
          <w:noProof/>
        </w:rPr>
      </w:pPr>
      <w:r>
        <w:rPr>
          <w:noProof/>
        </w:rPr>
        <w:t>společnost s ručením omezeným, akciová společnost;</w:t>
      </w:r>
    </w:p>
    <w:p>
      <w:pPr>
        <w:pStyle w:val="Tiret0"/>
        <w:ind w:left="851"/>
        <w:rPr>
          <w:noProof/>
        </w:rPr>
      </w:pPr>
      <w:r>
        <w:rPr>
          <w:noProof/>
        </w:rPr>
        <w:t>pour le Danemark:</w:t>
      </w:r>
    </w:p>
    <w:p>
      <w:pPr>
        <w:pStyle w:val="Text1"/>
        <w:rPr>
          <w:noProof/>
        </w:rPr>
      </w:pPr>
      <w:r>
        <w:rPr>
          <w:noProof/>
        </w:rPr>
        <w:t>aktieselskab, kommanditaktieselskab, anpartsselskab;</w:t>
      </w:r>
    </w:p>
    <w:p>
      <w:pPr>
        <w:pStyle w:val="Tiret0"/>
        <w:ind w:left="851"/>
        <w:rPr>
          <w:noProof/>
        </w:rPr>
      </w:pPr>
      <w:r>
        <w:rPr>
          <w:noProof/>
        </w:rPr>
        <w:t>pour l’Allemagne:</w:t>
      </w:r>
    </w:p>
    <w:p>
      <w:pPr>
        <w:pStyle w:val="Text1"/>
        <w:rPr>
          <w:noProof/>
          <w:lang w:val="de-DE"/>
        </w:rPr>
      </w:pPr>
      <w:r>
        <w:rPr>
          <w:noProof/>
          <w:lang w:val="de-DE"/>
        </w:rPr>
        <w:t>die Aktiengesellschaft, die Kommanditgesellschaft auf Aktien, die Gesellschaft mit beschränkter Haftung;</w:t>
      </w:r>
    </w:p>
    <w:p>
      <w:pPr>
        <w:pStyle w:val="Tiret0"/>
        <w:ind w:left="851"/>
        <w:rPr>
          <w:noProof/>
        </w:rPr>
      </w:pPr>
      <w:r>
        <w:rPr>
          <w:noProof/>
        </w:rPr>
        <w:t>pour l’Estonie:</w:t>
      </w:r>
    </w:p>
    <w:p>
      <w:pPr>
        <w:pStyle w:val="Text1"/>
        <w:rPr>
          <w:noProof/>
        </w:rPr>
      </w:pPr>
      <w:r>
        <w:rPr>
          <w:noProof/>
        </w:rPr>
        <w:t>aktsiaselts, osaühing;</w:t>
      </w:r>
    </w:p>
    <w:p>
      <w:pPr>
        <w:pStyle w:val="Tiret0"/>
        <w:ind w:left="851"/>
        <w:rPr>
          <w:noProof/>
        </w:rPr>
      </w:pPr>
      <w:r>
        <w:rPr>
          <w:noProof/>
        </w:rPr>
        <w:t>pour l’Irlande:</w:t>
      </w:r>
    </w:p>
    <w:p>
      <w:pPr>
        <w:pStyle w:val="Text1"/>
        <w:rPr>
          <w:noProof/>
          <w:lang w:val="en-US"/>
        </w:rPr>
      </w:pPr>
      <w:r>
        <w:rPr>
          <w:noProof/>
          <w:lang w:val="en-US"/>
        </w:rPr>
        <w:t>companies incorporated with limited liability;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Grèce:</w:t>
      </w:r>
    </w:p>
    <w:p>
      <w:pPr>
        <w:pStyle w:val="Text1"/>
        <w:rPr>
          <w:noProof/>
          <w:lang w:val="el-GR"/>
        </w:rPr>
      </w:pPr>
      <w:r>
        <w:rPr>
          <w:noProof/>
          <w:lang w:val="el-GR"/>
        </w:rPr>
        <w:t>ανώνυμη εταιρία, εταιρία περι</w:t>
      </w:r>
      <w:r>
        <w:rPr>
          <w:noProof/>
          <w:lang w:val="lv-LV"/>
        </w:rPr>
        <w:t>o</w:t>
      </w:r>
      <w:r>
        <w:rPr>
          <w:noProof/>
          <w:lang w:val="el-GR"/>
        </w:rPr>
        <w:t>ρισμένης ευθύνης, ετερόρρυθμη κατά μετοχές εταιρία;</w:t>
      </w:r>
    </w:p>
    <w:p>
      <w:pPr>
        <w:pStyle w:val="Tiret0"/>
        <w:ind w:left="851"/>
        <w:rPr>
          <w:noProof/>
        </w:rPr>
      </w:pPr>
      <w:r>
        <w:rPr>
          <w:noProof/>
        </w:rPr>
        <w:t>pour l’Espagne:</w:t>
      </w:r>
    </w:p>
    <w:p>
      <w:pPr>
        <w:pStyle w:val="Text1"/>
        <w:rPr>
          <w:noProof/>
          <w:lang w:val="es-ES"/>
        </w:rPr>
      </w:pPr>
      <w:r>
        <w:rPr>
          <w:noProof/>
          <w:lang w:val="es-ES"/>
        </w:rPr>
        <w:t>la sociedad anónima, la sociedad comanditaria por acciones, la sociedad de responsabilidad limitada;</w:t>
      </w:r>
    </w:p>
    <w:p>
      <w:pPr>
        <w:pStyle w:val="Tiret0"/>
        <w:ind w:left="851"/>
        <w:rPr>
          <w:noProof/>
        </w:rPr>
      </w:pPr>
      <w:r>
        <w:rPr>
          <w:noProof/>
        </w:rPr>
        <w:t>pour la France:</w:t>
      </w:r>
    </w:p>
    <w:p>
      <w:pPr>
        <w:pStyle w:val="Text1"/>
        <w:rPr>
          <w:noProof/>
        </w:rPr>
      </w:pPr>
      <w:r>
        <w:rPr>
          <w:noProof/>
        </w:rPr>
        <w:t>société anonyme, société en commandite par actions, société à responsabilité limitée, société par actions simplifiée;</w:t>
      </w:r>
    </w:p>
    <w:p>
      <w:pPr>
        <w:pStyle w:val="CRSeparator"/>
        <w:rPr>
          <w:noProof/>
        </w:rPr>
      </w:pPr>
    </w:p>
    <w:p>
      <w:pPr>
        <w:pStyle w:val="CRReference"/>
        <w:jc w:val="left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2013/24/UE annexe, partie A, pt. 1)</w:t>
      </w:r>
    </w:p>
    <w:p>
      <w:pPr>
        <w:pStyle w:val="Tiret0"/>
        <w:keepNext/>
        <w:rPr>
          <w:rFonts w:eastAsia="Calibri"/>
          <w:noProof/>
          <w:lang w:val="fr-BE" w:eastAsia="fr-FR"/>
        </w:rPr>
      </w:pPr>
      <w:r>
        <w:rPr>
          <w:noProof/>
        </w:rPr>
        <w:t>pour la Croatie: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dioničko društvo, društvo s ograničenom odgovornošću;</w:t>
      </w:r>
    </w:p>
    <w:p>
      <w:pPr>
        <w:pStyle w:val="CRSeparator"/>
        <w:rPr>
          <w:noProof/>
          <w:lang w:val="fr-BE" w:eastAsia="fr-FR"/>
        </w:rPr>
      </w:pPr>
    </w:p>
    <w:p>
      <w:pPr>
        <w:pStyle w:val="CRReference"/>
        <w:rPr>
          <w:noProof/>
          <w:lang w:val="fr-BE" w:eastAsia="fr-FR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2009/101/CE</w:t>
      </w:r>
    </w:p>
    <w:p>
      <w:pPr>
        <w:pStyle w:val="Tiret0"/>
        <w:keepNext/>
        <w:ind w:left="851" w:hanging="851"/>
        <w:rPr>
          <w:rFonts w:eastAsia="Calibri"/>
          <w:noProof/>
          <w:lang w:val="it-IT" w:eastAsia="fr-FR"/>
        </w:rPr>
      </w:pPr>
      <w:r>
        <w:rPr>
          <w:noProof/>
        </w:rPr>
        <w:t>pour l'Italie: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società per azioni, società in accomandita per azioni, società a responsabilità limitata;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noProof/>
        </w:rPr>
        <w:t>pour Chypre: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val="el-GR" w:eastAsia="fr-FR"/>
        </w:rPr>
        <w:t>δημόσιες εταιρείες περιορισμένης ευθύνης με μετοχές ή με εγγύηση, ιδιωτικές εταιρείες περιορισμένης ευθύνης με μετοχές ή με εγγύηση;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noProof/>
        </w:rPr>
        <w:t>pour la Lettonie: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eastAsia="fr-FR"/>
        </w:rPr>
        <w:t>akciju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val="it-IT" w:eastAsia="fr-FR"/>
        </w:rPr>
        <w:t>sabiedr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val="it-IT" w:eastAsia="fr-FR"/>
        </w:rPr>
        <w:t>ba</w:t>
      </w:r>
      <w:r>
        <w:rPr>
          <w:rFonts w:eastAsia="Calibri"/>
          <w:noProof/>
          <w:lang w:val="el-GR" w:eastAsia="fr-FR"/>
        </w:rPr>
        <w:t xml:space="preserve">, </w:t>
      </w:r>
      <w:r>
        <w:rPr>
          <w:rFonts w:eastAsia="Calibri"/>
          <w:noProof/>
          <w:lang w:eastAsia="fr-FR"/>
        </w:rPr>
        <w:t>sabiedr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eastAsia="fr-FR"/>
        </w:rPr>
        <w:t>ba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ar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ierobe</w:t>
      </w:r>
      <w:r>
        <w:rPr>
          <w:rFonts w:eastAsia="Calibri"/>
          <w:noProof/>
          <w:lang w:val="el-GR" w:eastAsia="fr-FR"/>
        </w:rPr>
        <w:t>ž</w:t>
      </w:r>
      <w:r>
        <w:rPr>
          <w:rFonts w:eastAsia="Calibri"/>
          <w:noProof/>
          <w:lang w:eastAsia="fr-FR"/>
        </w:rPr>
        <w:t>otu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atbild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eastAsia="fr-FR"/>
        </w:rPr>
        <w:t>bu</w:t>
      </w:r>
      <w:r>
        <w:rPr>
          <w:rFonts w:eastAsia="Calibri"/>
          <w:noProof/>
          <w:lang w:val="el-GR" w:eastAsia="fr-FR"/>
        </w:rPr>
        <w:t xml:space="preserve">, </w:t>
      </w:r>
      <w:r>
        <w:rPr>
          <w:rFonts w:eastAsia="Calibri"/>
          <w:noProof/>
          <w:lang w:eastAsia="fr-FR"/>
        </w:rPr>
        <w:t>komanditsabiedr</w:t>
      </w:r>
      <w:r>
        <w:rPr>
          <w:rFonts w:eastAsia="Calibri"/>
          <w:noProof/>
          <w:lang w:val="el-GR" w:eastAsia="fr-FR"/>
        </w:rPr>
        <w:t>ī</w:t>
      </w:r>
      <w:r>
        <w:rPr>
          <w:rFonts w:eastAsia="Calibri"/>
          <w:noProof/>
          <w:lang w:eastAsia="fr-FR"/>
        </w:rPr>
        <w:t>ba</w:t>
      </w:r>
      <w:r>
        <w:rPr>
          <w:rFonts w:eastAsia="Calibri"/>
          <w:noProof/>
          <w:lang w:val="el-GR" w:eastAsia="fr-FR"/>
        </w:rPr>
        <w:t>;</w:t>
      </w:r>
    </w:p>
    <w:p>
      <w:pPr>
        <w:pStyle w:val="Tiret0"/>
        <w:rPr>
          <w:rFonts w:eastAsia="Calibri"/>
          <w:noProof/>
          <w:lang w:val="el-GR" w:eastAsia="fr-FR"/>
        </w:rPr>
      </w:pPr>
      <w:r>
        <w:rPr>
          <w:noProof/>
        </w:rPr>
        <w:t>pour la Lituanie:</w:t>
      </w:r>
    </w:p>
    <w:p>
      <w:pPr>
        <w:pStyle w:val="Text1"/>
        <w:rPr>
          <w:rFonts w:eastAsia="Calibri"/>
          <w:noProof/>
          <w:lang w:val="el-GR" w:eastAsia="fr-FR"/>
        </w:rPr>
      </w:pPr>
      <w:r>
        <w:rPr>
          <w:rFonts w:eastAsia="Calibri"/>
          <w:noProof/>
          <w:lang w:eastAsia="fr-FR"/>
        </w:rPr>
        <w:t>akcin</w:t>
      </w:r>
      <w:r>
        <w:rPr>
          <w:rFonts w:eastAsia="Calibri"/>
          <w:noProof/>
          <w:lang w:val="el-GR" w:eastAsia="fr-FR"/>
        </w:rPr>
        <w:t xml:space="preserve">ė </w:t>
      </w:r>
      <w:r>
        <w:rPr>
          <w:rFonts w:eastAsia="Calibri"/>
          <w:noProof/>
          <w:lang w:val="it-IT" w:eastAsia="fr-FR"/>
        </w:rPr>
        <w:t>bendrov</w:t>
      </w:r>
      <w:r>
        <w:rPr>
          <w:rFonts w:eastAsia="Calibri"/>
          <w:noProof/>
          <w:lang w:val="el-GR" w:eastAsia="fr-FR"/>
        </w:rPr>
        <w:t xml:space="preserve">ė, </w:t>
      </w:r>
      <w:r>
        <w:rPr>
          <w:rFonts w:eastAsia="Calibri"/>
          <w:noProof/>
          <w:lang w:eastAsia="fr-FR"/>
        </w:rPr>
        <w:t>u</w:t>
      </w:r>
      <w:r>
        <w:rPr>
          <w:rFonts w:eastAsia="Calibri"/>
          <w:noProof/>
          <w:lang w:val="el-GR" w:eastAsia="fr-FR"/>
        </w:rPr>
        <w:t>ž</w:t>
      </w:r>
      <w:r>
        <w:rPr>
          <w:rFonts w:eastAsia="Calibri"/>
          <w:noProof/>
          <w:lang w:eastAsia="fr-FR"/>
        </w:rPr>
        <w:t>daroji</w:t>
      </w:r>
      <w:r>
        <w:rPr>
          <w:rFonts w:eastAsia="Calibri"/>
          <w:noProof/>
          <w:lang w:val="el-GR" w:eastAsia="fr-FR"/>
        </w:rPr>
        <w:t xml:space="preserve"> </w:t>
      </w:r>
      <w:r>
        <w:rPr>
          <w:rFonts w:eastAsia="Calibri"/>
          <w:noProof/>
          <w:lang w:eastAsia="fr-FR"/>
        </w:rPr>
        <w:t>akcin</w:t>
      </w:r>
      <w:r>
        <w:rPr>
          <w:rFonts w:eastAsia="Calibri"/>
          <w:noProof/>
          <w:lang w:val="el-GR" w:eastAsia="fr-FR"/>
        </w:rPr>
        <w:t xml:space="preserve">ė </w:t>
      </w:r>
      <w:r>
        <w:rPr>
          <w:rFonts w:eastAsia="Calibri"/>
          <w:noProof/>
          <w:lang w:eastAsia="fr-FR"/>
        </w:rPr>
        <w:t>bendrov</w:t>
      </w:r>
      <w:r>
        <w:rPr>
          <w:rFonts w:eastAsia="Calibri"/>
          <w:noProof/>
          <w:lang w:val="el-GR" w:eastAsia="fr-FR"/>
        </w:rPr>
        <w:t>ė;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noProof/>
        </w:rPr>
        <w:t>pour le Luxembourg: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société anonyme, société en commandite par actions, société à responsabilité limitée;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noProof/>
        </w:rPr>
        <w:t>pour la Hongrie:</w:t>
      </w:r>
    </w:p>
    <w:p>
      <w:pPr>
        <w:pStyle w:val="Text1"/>
        <w:rPr>
          <w:noProof/>
          <w:lang w:val="fr-BE" w:eastAsia="fr-FR"/>
        </w:rPr>
      </w:pPr>
      <w:r>
        <w:rPr>
          <w:noProof/>
          <w:lang w:val="fr-BE" w:eastAsia="fr-FR"/>
        </w:rPr>
        <w:t>részvénytársaság, korlátolt felelősségű társaság;</w:t>
      </w:r>
    </w:p>
    <w:p>
      <w:pPr>
        <w:pStyle w:val="Tiret0"/>
        <w:rPr>
          <w:rFonts w:eastAsia="Calibri"/>
          <w:noProof/>
          <w:lang w:val="fr-BE" w:eastAsia="fr-FR"/>
        </w:rPr>
      </w:pPr>
      <w:r>
        <w:rPr>
          <w:noProof/>
        </w:rPr>
        <w:t>pour Malte:</w:t>
      </w:r>
    </w:p>
    <w:p>
      <w:pPr>
        <w:pStyle w:val="Text1"/>
        <w:rPr>
          <w:rFonts w:eastAsia="Calibri"/>
          <w:noProof/>
          <w:lang w:val="en-US" w:eastAsia="fr-FR"/>
        </w:rPr>
      </w:pPr>
      <w:r>
        <w:rPr>
          <w:rFonts w:eastAsia="Calibri"/>
          <w:noProof/>
          <w:lang w:val="en-US" w:eastAsia="fr-FR"/>
        </w:rPr>
        <w:t>kumpannija pubblika / public limited liability company,</w:t>
      </w:r>
    </w:p>
    <w:p>
      <w:pPr>
        <w:pStyle w:val="Text1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kumpannija privata / private limited liability company;</w:t>
      </w:r>
    </w:p>
    <w:p>
      <w:pPr>
        <w:pStyle w:val="Tiret0"/>
        <w:rPr>
          <w:rFonts w:eastAsia="Calibri"/>
          <w:noProof/>
          <w:lang w:val="nl-NL" w:eastAsia="fr-FR"/>
        </w:rPr>
      </w:pPr>
      <w:r>
        <w:rPr>
          <w:noProof/>
        </w:rPr>
        <w:t>pour les Pays-Bas:</w:t>
      </w:r>
    </w:p>
    <w:p>
      <w:pPr>
        <w:pStyle w:val="Text1"/>
        <w:rPr>
          <w:rFonts w:eastAsia="Calibri"/>
          <w:noProof/>
          <w:lang w:val="nl-NL" w:eastAsia="fr-FR"/>
        </w:rPr>
      </w:pPr>
      <w:r>
        <w:rPr>
          <w:rFonts w:eastAsia="Calibri"/>
          <w:noProof/>
          <w:lang w:val="nl-NL" w:eastAsia="fr-FR"/>
        </w:rPr>
        <w:t>naamloze vennootschap, besloten vennootschap met beperkte aansprakelijkheid;</w:t>
      </w:r>
    </w:p>
    <w:p>
      <w:pPr>
        <w:pStyle w:val="Tiret0"/>
        <w:rPr>
          <w:rFonts w:eastAsia="Calibri"/>
          <w:noProof/>
          <w:lang w:val="de-DE" w:eastAsia="fr-FR"/>
        </w:rPr>
      </w:pPr>
      <w:r>
        <w:rPr>
          <w:noProof/>
        </w:rPr>
        <w:t>pour l'Autriche:</w:t>
      </w:r>
    </w:p>
    <w:p>
      <w:pPr>
        <w:pStyle w:val="Text1"/>
        <w:rPr>
          <w:rFonts w:eastAsia="Calibri"/>
          <w:noProof/>
          <w:lang w:val="de-DE" w:eastAsia="fr-FR"/>
        </w:rPr>
      </w:pPr>
      <w:r>
        <w:rPr>
          <w:rFonts w:eastAsia="Calibri"/>
          <w:noProof/>
          <w:lang w:val="de-DE" w:eastAsia="fr-FR"/>
        </w:rPr>
        <w:t>die Aktiengesellschaft, die Gesellschaft mit beschränkter Haftung;</w:t>
      </w:r>
    </w:p>
    <w:p>
      <w:pPr>
        <w:pStyle w:val="Tiret0"/>
        <w:rPr>
          <w:rFonts w:eastAsia="Calibri"/>
          <w:noProof/>
          <w:lang w:val="pl-PL" w:eastAsia="fr-FR"/>
        </w:rPr>
      </w:pPr>
      <w:r>
        <w:rPr>
          <w:noProof/>
        </w:rPr>
        <w:t>pour la Pologne:</w:t>
      </w:r>
    </w:p>
    <w:p>
      <w:pPr>
        <w:pStyle w:val="Text1"/>
        <w:rPr>
          <w:rFonts w:eastAsia="Calibri"/>
          <w:noProof/>
          <w:lang w:val="pl-PL" w:eastAsia="fr-FR"/>
        </w:rPr>
      </w:pPr>
      <w:r>
        <w:rPr>
          <w:rFonts w:eastAsia="Calibri"/>
          <w:noProof/>
          <w:lang w:val="pl-PL" w:eastAsia="fr-FR"/>
        </w:rPr>
        <w:t>spółka z ograniczoną odpowiedzialnością, spółka komandytowo-akcyjna, spółka akcyjna;</w:t>
      </w:r>
    </w:p>
    <w:p>
      <w:pPr>
        <w:pStyle w:val="Tiret0"/>
        <w:rPr>
          <w:rFonts w:eastAsia="Calibri"/>
          <w:noProof/>
          <w:lang w:val="pt-PT" w:eastAsia="fr-FR"/>
        </w:rPr>
      </w:pPr>
      <w:r>
        <w:rPr>
          <w:noProof/>
        </w:rPr>
        <w:t>pour le Portugal:</w:t>
      </w:r>
    </w:p>
    <w:p>
      <w:pPr>
        <w:pStyle w:val="Text1"/>
        <w:rPr>
          <w:rFonts w:eastAsia="Calibri"/>
          <w:noProof/>
          <w:lang w:val="pt-PT" w:eastAsia="fr-FR"/>
        </w:rPr>
      </w:pPr>
      <w:r>
        <w:rPr>
          <w:rFonts w:eastAsia="Calibri"/>
          <w:noProof/>
          <w:lang w:val="pt-PT" w:eastAsia="fr-FR"/>
        </w:rPr>
        <w:t>sociedade anónima de responsabilidade limitada, sociedade em comandita por ações, sociedade por quotas de responsabilidade limitada;</w:t>
      </w:r>
    </w:p>
    <w:p>
      <w:pPr>
        <w:pStyle w:val="Tiret0"/>
        <w:rPr>
          <w:rFonts w:eastAsia="Calibri"/>
          <w:noProof/>
          <w:lang w:val="it-IT" w:eastAsia="fr-FR"/>
        </w:rPr>
      </w:pPr>
      <w:r>
        <w:rPr>
          <w:noProof/>
        </w:rPr>
        <w:t>pour la Roumanie: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societate pe acțiuni, societate cu răspundere limitată, societate în comandită pe acțiuni;</w:t>
      </w:r>
    </w:p>
    <w:p>
      <w:pPr>
        <w:pStyle w:val="Tiret0"/>
        <w:rPr>
          <w:rFonts w:eastAsia="Calibri"/>
          <w:noProof/>
          <w:lang w:val="it-IT" w:eastAsia="fr-FR"/>
        </w:rPr>
      </w:pPr>
      <w:r>
        <w:rPr>
          <w:noProof/>
        </w:rPr>
        <w:t>pour la Slovénie: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delniška družba, družba z omejeno odgovornostjo, komaditna delniška družba;</w:t>
      </w:r>
    </w:p>
    <w:p>
      <w:pPr>
        <w:pStyle w:val="Tiret0"/>
        <w:keepNext/>
        <w:rPr>
          <w:rFonts w:eastAsia="Calibri"/>
          <w:noProof/>
          <w:lang w:val="it-IT" w:eastAsia="fr-FR"/>
        </w:rPr>
      </w:pPr>
      <w:r>
        <w:rPr>
          <w:noProof/>
        </w:rPr>
        <w:t>pour la Slovaquie: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akciová spoločnosť, spoločnosť s ručením obmedzeným;</w:t>
      </w:r>
    </w:p>
    <w:p>
      <w:pPr>
        <w:pStyle w:val="Tiret0"/>
        <w:keepNext/>
        <w:ind w:left="851"/>
        <w:rPr>
          <w:rFonts w:eastAsia="Calibri"/>
          <w:noProof/>
          <w:lang w:val="it-IT" w:eastAsia="fr-FR"/>
        </w:rPr>
      </w:pPr>
      <w:r>
        <w:rPr>
          <w:noProof/>
        </w:rPr>
        <w:t>pour la Finlande:</w:t>
      </w:r>
    </w:p>
    <w:p>
      <w:pPr>
        <w:pStyle w:val="Text1"/>
        <w:keepNext/>
        <w:ind w:left="85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yksityinen osakeyhtiö / privat aktiebolag,</w:t>
      </w:r>
    </w:p>
    <w:p>
      <w:pPr>
        <w:pStyle w:val="Text1"/>
        <w:rPr>
          <w:rFonts w:eastAsia="Calibri"/>
          <w:noProof/>
          <w:lang w:val="it-IT" w:eastAsia="fr-FR"/>
        </w:rPr>
      </w:pPr>
      <w:r>
        <w:rPr>
          <w:rFonts w:eastAsia="Calibri"/>
          <w:noProof/>
          <w:lang w:val="it-IT" w:eastAsia="fr-FR"/>
        </w:rPr>
        <w:t>julkinen osakeyhtiö / publikt aktiebolag;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noProof/>
        </w:rPr>
        <w:t>pour la Suède:</w:t>
      </w:r>
    </w:p>
    <w:p>
      <w:pPr>
        <w:pStyle w:val="Text1"/>
        <w:rPr>
          <w:rFonts w:eastAsia="Calibri"/>
          <w:noProof/>
          <w:lang w:eastAsia="fr-FR"/>
        </w:rPr>
      </w:pPr>
      <w:r>
        <w:rPr>
          <w:rFonts w:eastAsia="Calibri"/>
          <w:noProof/>
          <w:lang w:val="it-IT" w:eastAsia="fr-FR"/>
        </w:rPr>
        <w:t>aktiebolag</w:t>
      </w:r>
      <w:r>
        <w:rPr>
          <w:rFonts w:eastAsia="Calibri"/>
          <w:noProof/>
          <w:lang w:eastAsia="fr-FR"/>
        </w:rPr>
        <w:t>;</w:t>
      </w:r>
    </w:p>
    <w:p>
      <w:pPr>
        <w:pStyle w:val="Tiret0"/>
        <w:rPr>
          <w:rFonts w:eastAsia="Calibri"/>
          <w:noProof/>
          <w:lang w:eastAsia="fr-FR"/>
        </w:rPr>
      </w:pPr>
      <w:r>
        <w:rPr>
          <w:noProof/>
        </w:rPr>
        <w:t>pour le Royaume-Uni:</w:t>
      </w:r>
    </w:p>
    <w:p>
      <w:pPr>
        <w:pStyle w:val="Text1"/>
        <w:rPr>
          <w:rFonts w:eastAsia="Calibri"/>
          <w:noProof/>
          <w:lang w:val="en-US" w:eastAsia="fr-FR"/>
        </w:rPr>
      </w:pPr>
      <w:r>
        <w:rPr>
          <w:noProof/>
          <w:lang w:val="en-GB"/>
        </w:rPr>
        <w:t>c</w:t>
      </w:r>
      <w:r>
        <w:rPr>
          <w:rFonts w:eastAsia="Calibri"/>
          <w:noProof/>
          <w:lang w:val="en-GB" w:eastAsia="fr-FR"/>
        </w:rPr>
        <w:t>ompanies</w:t>
      </w:r>
      <w:r>
        <w:rPr>
          <w:rFonts w:eastAsia="Calibri"/>
          <w:noProof/>
          <w:lang w:val="en-US" w:eastAsia="fr-FR"/>
        </w:rPr>
        <w:t xml:space="preserve"> incorporated with limited liability.</w:t>
      </w:r>
    </w:p>
    <w:p>
      <w:pPr>
        <w:pStyle w:val="NormalCentered"/>
        <w:rPr>
          <w:rFonts w:eastAsia="Times New Roman"/>
          <w:noProof/>
          <w:lang w:val="fr-BE"/>
        </w:rPr>
        <w:sectPr>
          <w:footnotePr>
            <w:numRestart w:val="eachPage"/>
          </w:footnotePr>
          <w:pgSz w:w="11906" w:h="16838" w:code="9"/>
          <w:pgMar w:top="1134" w:right="1134" w:bottom="1134" w:left="1134" w:header="567" w:footer="567" w:gutter="0"/>
          <w:cols w:space="720"/>
          <w:docGrid w:linePitch="326"/>
        </w:sectPr>
      </w:pPr>
      <w:r>
        <w:rPr>
          <w:rFonts w:eastAsia="Times New Roman"/>
          <w:noProof/>
          <w:lang w:val="fr-BE"/>
        </w:rPr>
        <w:t>_____________</w:t>
      </w:r>
    </w:p>
    <w:p>
      <w:pPr>
        <w:pStyle w:val="CRSeparator"/>
        <w:rPr>
          <w:noProof/>
          <w:lang w:val="fr-BE"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é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rFonts w:eastAsia="Calibri"/>
          <w:noProof/>
          <w:lang w:eastAsia="fr-FR"/>
        </w:rPr>
      </w:pPr>
      <w:r>
        <w:rPr>
          <w:noProof/>
          <w:lang w:eastAsia="fr-FR"/>
        </w:rPr>
        <w:t>ANNEXE</w:t>
      </w:r>
      <w:r>
        <w:rPr>
          <w:rFonts w:eastAsia="Times New Roman"/>
          <w:noProof/>
          <w:szCs w:val="24"/>
          <w:lang w:eastAsia="fr-FR"/>
        </w:rPr>
        <w:t> </w:t>
      </w:r>
      <w:r>
        <w:rPr>
          <w:rFonts w:eastAsia="Calibri"/>
          <w:noProof/>
          <w:lang w:eastAsia="fr-FR"/>
        </w:rPr>
        <w:t>III</w:t>
      </w:r>
    </w:p>
    <w:p>
      <w:pPr>
        <w:jc w:val="center"/>
        <w:rPr>
          <w:rFonts w:eastAsia="Calibri"/>
          <w:noProof/>
          <w:lang w:eastAsia="fr-FR"/>
        </w:rPr>
      </w:pPr>
      <w:r>
        <w:rPr>
          <w:rFonts w:eastAsia="Calibri"/>
          <w:noProof/>
          <w:lang w:eastAsia="fr-FR"/>
        </w:rPr>
        <w:t>Partie A</w:t>
      </w:r>
    </w:p>
    <w:p>
      <w:pPr>
        <w:jc w:val="center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 xml:space="preserve">Directives abrogées avec liste de leurs modifications successives </w:t>
      </w:r>
      <w:r>
        <w:rPr>
          <w:rFonts w:eastAsia="Calibri"/>
          <w:noProof/>
          <w:lang w:val="fr-BE" w:eastAsia="fr-FR"/>
        </w:rPr>
        <w:br/>
        <w:t>(visées à l’article 166)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"/>
        <w:gridCol w:w="5520"/>
        <w:gridCol w:w="480"/>
        <w:gridCol w:w="2520"/>
        <w:gridCol w:w="480"/>
      </w:tblGrid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 xml:space="preserve">Directive 82/891/CEE du Conseil </w:t>
            </w:r>
            <w:r>
              <w:rPr>
                <w:rFonts w:eastAsia="Calibri"/>
                <w:noProof/>
                <w:lang w:val="fr-BE" w:eastAsia="fr-FR"/>
              </w:rPr>
              <w:br/>
              <w:t>(JO L 378 du 31.12.1982, p. 47)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bCs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>Directive 2007/63/CE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300 du 17.11.2007, p. 47)</w:t>
            </w:r>
          </w:p>
        </w:tc>
        <w:tc>
          <w:tcPr>
            <w:tcW w:w="3000" w:type="dxa"/>
            <w:gridSpan w:val="2"/>
          </w:tcPr>
          <w:p>
            <w:pPr>
              <w:rPr>
                <w:rFonts w:eastAsia="Times New Roman"/>
                <w:noProof/>
                <w:lang w:val="es-ES_tradnl"/>
              </w:rPr>
            </w:pPr>
            <w:r>
              <w:rPr>
                <w:rFonts w:eastAsia="Calibri"/>
                <w:noProof/>
                <w:lang w:val="fr-BE" w:eastAsia="fr-FR"/>
              </w:rPr>
              <w:t>Article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>Directive 2009/109/CE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259 du 2.10.2009, p. 14)</w:t>
            </w:r>
          </w:p>
        </w:tc>
        <w:tc>
          <w:tcPr>
            <w:tcW w:w="3000" w:type="dxa"/>
            <w:gridSpan w:val="2"/>
          </w:tcPr>
          <w:p>
            <w:pPr>
              <w:rPr>
                <w:rFonts w:eastAsia="Times New Roman"/>
                <w:noProof/>
                <w:lang w:val="fr-BE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2014/59/UE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173 du 12.6.2014, p. 190)</w:t>
            </w:r>
          </w:p>
        </w:tc>
        <w:tc>
          <w:tcPr>
            <w:tcW w:w="3000" w:type="dxa"/>
            <w:gridSpan w:val="2"/>
          </w:tcPr>
          <w:p>
            <w:pPr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116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 xml:space="preserve">Directive 89/666/CEE du Conseil </w:t>
            </w:r>
            <w:r>
              <w:rPr>
                <w:rFonts w:eastAsia="Calibri"/>
                <w:noProof/>
                <w:lang w:val="fr-BE" w:eastAsia="fr-FR"/>
              </w:rPr>
              <w:br/>
              <w:t>(JO L 395 du 30.12.1989, p. 36)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bCs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2012/17/UE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156 du 16.6.2012,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es-ES_tradnl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>Directive 2005/56/CE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310 du 25.11.2005,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Directive 2009/109/CE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259 du 2.10.2009, p. 14)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4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2012/17/UE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156 du 16.6.2012,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2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2014/59/UE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173 du 12.6.2014, p. 190)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120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  <w:r>
              <w:rPr>
                <w:rFonts w:eastAsia="Calibri"/>
                <w:noProof/>
                <w:lang w:val="fr-BE" w:eastAsia="fr-FR"/>
              </w:rPr>
              <w:t>Directive 2009/101/CE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 xml:space="preserve">du Conseil </w:t>
            </w:r>
            <w:r>
              <w:rPr>
                <w:rFonts w:eastAsia="Calibri"/>
                <w:noProof/>
                <w:lang w:eastAsia="fr-FR"/>
              </w:rPr>
              <w:t>(JO L 258 du 1.10.2009, p. 11)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2012/17/UE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156 du 16.6.2012,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3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 xml:space="preserve">Directive 2013/24/UE du Conseil </w:t>
            </w:r>
            <w:r>
              <w:rPr>
                <w:rFonts w:eastAsia="Calibri"/>
                <w:noProof/>
                <w:lang w:eastAsia="fr-FR"/>
              </w:rPr>
              <w:br/>
              <w:t>(JO L 158 du 10.6.2013, p. 365)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 et point 1) de la partie A de l’annexe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keepNext/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2011/35/UE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110 du 29.4.2011, p. 1)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Directive 2013/24/UE du Conseil</w:t>
            </w:r>
            <w:r>
              <w:rPr>
                <w:rFonts w:eastAsia="Calibri"/>
                <w:noProof/>
                <w:lang w:eastAsia="fr-FR"/>
              </w:rPr>
              <w:br/>
              <w:t>(JO L 158 du 10.6.2013, p. 365)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 et point 3) de la partie A de l’annexe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2014/59/UE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173 du 12.6.2014, p. 190)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120</w:t>
            </w:r>
          </w:p>
        </w:tc>
      </w:tr>
      <w:tr>
        <w:trPr>
          <w:gridAfter w:val="1"/>
          <w:wAfter w:w="480" w:type="dxa"/>
          <w:cantSplit/>
        </w:trPr>
        <w:tc>
          <w:tcPr>
            <w:tcW w:w="5868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2012/30/UE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315 du 14.11.2012, p. 74)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Times New Roman"/>
                <w:noProof/>
                <w:lang w:val="fr-BE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 xml:space="preserve">Directive 2013/24/UE du Conseil </w:t>
            </w:r>
            <w:r>
              <w:rPr>
                <w:rFonts w:eastAsia="Calibri"/>
                <w:noProof/>
                <w:lang w:eastAsia="fr-FR"/>
              </w:rPr>
              <w:br/>
              <w:t>(JO L 158 du 10.6.2013, p. 365)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 et point 4) de la partie A de l’annexe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Directive 2014/59/UE du Parlement européen et</w:t>
            </w:r>
            <w:r>
              <w:rPr>
                <w:rFonts w:eastAsia="Calibri"/>
                <w:noProof/>
                <w:lang w:val="fr-BE" w:eastAsia="fr-FR"/>
              </w:rPr>
              <w:br/>
              <w:t>du Conseil (JO L 173 du 12.6.2014, p. 190)</w:t>
            </w:r>
          </w:p>
        </w:tc>
        <w:tc>
          <w:tcPr>
            <w:tcW w:w="3000" w:type="dxa"/>
            <w:gridSpan w:val="2"/>
          </w:tcPr>
          <w:p>
            <w:pPr>
              <w:jc w:val="left"/>
              <w:rPr>
                <w:rFonts w:eastAsia="Calibri"/>
                <w:noProof/>
                <w:lang w:val="fr-BE" w:eastAsia="fr-FR"/>
              </w:rPr>
            </w:pPr>
            <w:r>
              <w:rPr>
                <w:noProof/>
                <w:lang w:val="fr-BE"/>
              </w:rPr>
              <w:t>A</w:t>
            </w:r>
            <w:r>
              <w:rPr>
                <w:rFonts w:eastAsia="Calibri"/>
                <w:noProof/>
                <w:lang w:val="fr-BE" w:eastAsia="fr-FR"/>
              </w:rPr>
              <w:t>rticle 123</w:t>
            </w:r>
          </w:p>
        </w:tc>
      </w:tr>
    </w:tbl>
    <w:p>
      <w:pPr>
        <w:pStyle w:val="NormalCentered"/>
        <w:rPr>
          <w:noProof/>
          <w:lang w:val="fr-BE"/>
        </w:rPr>
      </w:pPr>
      <w:r>
        <w:rPr>
          <w:rFonts w:eastAsia="Times New Roman"/>
          <w:noProof/>
          <w:lang w:val="es-ES_tradnl"/>
        </w:rPr>
        <w:t>_____________</w:t>
      </w:r>
    </w:p>
    <w:p>
      <w:pPr>
        <w:pageBreakBefore/>
        <w:pBdr>
          <w:between w:val="single" w:sz="4" w:space="1" w:color="auto"/>
        </w:pBdr>
        <w:jc w:val="center"/>
        <w:rPr>
          <w:rFonts w:eastAsia="Calibri"/>
          <w:noProof/>
          <w:lang w:val="fr-BE" w:eastAsia="fr-FR"/>
        </w:rPr>
      </w:pPr>
      <w:r>
        <w:rPr>
          <w:rFonts w:eastAsia="Calibri"/>
          <w:noProof/>
          <w:lang w:val="fr-BE" w:eastAsia="fr-FR"/>
        </w:rPr>
        <w:t>Partie B</w:t>
      </w:r>
    </w:p>
    <w:p>
      <w:pPr>
        <w:jc w:val="center"/>
        <w:rPr>
          <w:rFonts w:eastAsia="Calibri"/>
          <w:noProof/>
          <w:lang w:val="fr-BE" w:eastAsia="fr-FR"/>
        </w:rPr>
      </w:pPr>
      <w:r>
        <w:rPr>
          <w:noProof/>
          <w:lang w:val="fr-BE"/>
        </w:rPr>
        <w:t>Délais de transposition en droit national</w:t>
      </w:r>
      <w:r>
        <w:rPr>
          <w:rFonts w:eastAsia="Calibri"/>
          <w:bCs/>
          <w:noProof/>
          <w:lang w:val="fr-BE" w:eastAsia="fr-FR"/>
        </w:rPr>
        <w:t xml:space="preserve"> et dates d’application</w:t>
      </w:r>
      <w:r>
        <w:rPr>
          <w:rFonts w:eastAsia="Calibri"/>
          <w:noProof/>
          <w:lang w:val="fr-BE" w:eastAsia="fr-FR"/>
        </w:rPr>
        <w:t xml:space="preserve"> </w:t>
      </w:r>
      <w:r>
        <w:rPr>
          <w:rFonts w:eastAsia="Calibri"/>
          <w:noProof/>
          <w:lang w:val="fr-BE" w:eastAsia="fr-FR"/>
        </w:rPr>
        <w:br/>
        <w:t>(visés à l’article</w:t>
      </w:r>
      <w:r>
        <w:rPr>
          <w:rFonts w:eastAsia="Times New Roman"/>
          <w:noProof/>
          <w:szCs w:val="24"/>
          <w:lang w:val="fr-BE" w:eastAsia="fr-FR"/>
        </w:rPr>
        <w:t> </w:t>
      </w:r>
      <w:r>
        <w:rPr>
          <w:rFonts w:eastAsia="Calibri"/>
          <w:noProof/>
          <w:lang w:val="fr-BE" w:eastAsia="fr-FR"/>
        </w:rPr>
        <w:t>166)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>
        <w:trPr>
          <w:jc w:val="center"/>
        </w:trPr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b/>
                <w:noProof/>
                <w:lang w:eastAsia="fr-FR"/>
              </w:rPr>
            </w:pPr>
            <w:r>
              <w:rPr>
                <w:rFonts w:eastAsia="Calibri"/>
                <w:b/>
                <w:noProof/>
                <w:lang w:eastAsia="fr-FR"/>
              </w:rPr>
              <w:t>Directive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eastAsia="Calibri"/>
                <w:b/>
                <w:noProof/>
                <w:lang w:eastAsia="fr-FR"/>
              </w:rPr>
            </w:pPr>
            <w:r>
              <w:rPr>
                <w:b/>
                <w:noProof/>
                <w:lang w:val="fr-BE"/>
              </w:rPr>
              <w:t>Date limite de transposition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b/>
                <w:noProof/>
                <w:lang w:eastAsia="fr-FR"/>
              </w:rPr>
            </w:pPr>
            <w:r>
              <w:rPr>
                <w:b/>
                <w:noProof/>
                <w:lang w:val="fr-BE"/>
              </w:rPr>
              <w:t>Date d'application</w:t>
            </w:r>
          </w:p>
        </w:tc>
      </w:tr>
      <w:tr>
        <w:trPr>
          <w:jc w:val="center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82/891/CEE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</w:t>
            </w:r>
            <w:r>
              <w:rPr>
                <w:rFonts w:eastAsia="Calibri"/>
                <w:noProof/>
                <w:vertAlign w:val="superscript"/>
                <w:lang w:eastAsia="fr-FR"/>
              </w:rPr>
              <w:t>er</w:t>
            </w:r>
            <w:r>
              <w:rPr>
                <w:rFonts w:eastAsia="Calibri"/>
                <w:noProof/>
                <w:lang w:eastAsia="fr-FR"/>
              </w:rPr>
              <w:t xml:space="preserve"> janvier 1986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rPr>
          <w:trHeight w:val="387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89/666/CEE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1</w:t>
            </w:r>
            <w:r>
              <w:rPr>
                <w:rFonts w:eastAsia="Calibri"/>
                <w:noProof/>
                <w:vertAlign w:val="superscript"/>
                <w:lang w:val="fr-BE" w:eastAsia="fr-FR"/>
              </w:rPr>
              <w:t>er</w:t>
            </w:r>
            <w:r>
              <w:rPr>
                <w:rFonts w:eastAsia="Calibri"/>
                <w:noProof/>
                <w:lang w:val="fr-BE" w:eastAsia="fr-FR"/>
              </w:rPr>
              <w:t xml:space="preserve"> janvier 1992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</w:t>
            </w:r>
            <w:r>
              <w:rPr>
                <w:rFonts w:eastAsia="Calibri"/>
                <w:noProof/>
                <w:vertAlign w:val="superscript"/>
                <w:lang w:eastAsia="fr-FR"/>
              </w:rPr>
              <w:t>er</w:t>
            </w:r>
            <w:r>
              <w:rPr>
                <w:rFonts w:eastAsia="Calibri"/>
                <w:noProof/>
                <w:lang w:eastAsia="fr-FR"/>
              </w:rPr>
              <w:t xml:space="preserve"> janvier 1993</w:t>
            </w:r>
            <w:r>
              <w:rPr>
                <w:rStyle w:val="FootnoteReference"/>
                <w:noProof/>
              </w:rPr>
              <w:footnoteReference w:id="1"/>
            </w:r>
          </w:p>
        </w:tc>
      </w:tr>
      <w:tr>
        <w:trPr>
          <w:trHeight w:val="397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2005/56/CE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15 décembre 2007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rPr>
          <w:trHeight w:val="402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2007/63/CE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31 décembre 2008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rPr>
          <w:trHeight w:val="457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2009/109/CE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val="fr-BE" w:eastAsia="fr-FR"/>
              </w:rPr>
              <w:t>30 juillet 2011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rPr>
          <w:trHeight w:val="491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2012/17/UE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val="fr-BE" w:eastAsia="fr-FR"/>
              </w:rPr>
            </w:pPr>
            <w:r>
              <w:rPr>
                <w:rFonts w:eastAsia="Calibri"/>
                <w:noProof/>
                <w:lang w:eastAsia="fr-FR"/>
              </w:rPr>
              <w:t>7 juillet 2014</w:t>
            </w:r>
            <w:r>
              <w:rPr>
                <w:rStyle w:val="FootnoteReference"/>
                <w:noProof/>
              </w:rPr>
              <w:footnoteReference w:id="2"/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rPr>
          <w:trHeight w:val="537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2013/24/UE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 juillet 2013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-</w:t>
            </w:r>
          </w:p>
        </w:tc>
      </w:tr>
      <w:tr>
        <w:trPr>
          <w:trHeight w:val="364"/>
          <w:jc w:val="center"/>
        </w:trPr>
        <w:tc>
          <w:tcPr>
            <w:tcW w:w="3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2014/59/UE</w:t>
            </w:r>
          </w:p>
        </w:tc>
        <w:tc>
          <w:tcPr>
            <w:tcW w:w="3259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31 décembre 2014</w:t>
            </w: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eastAsia="Calibri"/>
                <w:noProof/>
                <w:lang w:eastAsia="fr-FR"/>
              </w:rPr>
            </w:pPr>
            <w:r>
              <w:rPr>
                <w:rFonts w:eastAsia="Calibri"/>
                <w:noProof/>
                <w:lang w:eastAsia="fr-FR"/>
              </w:rPr>
              <w:t>1</w:t>
            </w:r>
            <w:r>
              <w:rPr>
                <w:rFonts w:eastAsia="Calibri"/>
                <w:noProof/>
                <w:vertAlign w:val="superscript"/>
                <w:lang w:eastAsia="fr-FR"/>
              </w:rPr>
              <w:t>er</w:t>
            </w:r>
            <w:r>
              <w:rPr>
                <w:rFonts w:eastAsia="Calibri"/>
                <w:noProof/>
                <w:lang w:eastAsia="fr-FR"/>
              </w:rPr>
              <w:t xml:space="preserve"> janvier 2015</w:t>
            </w:r>
            <w:r>
              <w:rPr>
                <w:rStyle w:val="FootnoteReference"/>
                <w:rFonts w:eastAsia="Calibri"/>
                <w:noProof/>
                <w:lang w:eastAsia="fr-FR"/>
              </w:rPr>
              <w:footnoteReference w:id="3"/>
            </w:r>
          </w:p>
        </w:tc>
      </w:tr>
    </w:tbl>
    <w:p>
      <w:pPr>
        <w:pStyle w:val="NormalCentered"/>
        <w:rPr>
          <w:rFonts w:eastAsia="Calibri"/>
          <w:noProof/>
          <w:lang w:eastAsia="fr-FR"/>
        </w:rPr>
      </w:pPr>
      <w:r>
        <w:rPr>
          <w:rFonts w:eastAsia="Times New Roman"/>
          <w:noProof/>
          <w:lang w:val="es-ES_tradnl"/>
        </w:rPr>
        <w:t>_____________</w:t>
      </w:r>
    </w:p>
    <w:p>
      <w:pPr>
        <w:rPr>
          <w:rFonts w:eastAsia="Calibri"/>
          <w:noProof/>
          <w:lang w:eastAsia="fr-FR"/>
        </w:rPr>
        <w:sectPr>
          <w:pgSz w:w="11906" w:h="16838" w:code="9"/>
          <w:pgMar w:top="1134" w:right="1134" w:bottom="1134" w:left="1134" w:header="567" w:footer="567" w:gutter="0"/>
          <w:cols w:space="720"/>
          <w:docGrid w:linePitch="326"/>
        </w:sectPr>
      </w:pPr>
    </w:p>
    <w:p>
      <w:pPr>
        <w:pStyle w:val="Annexetitre"/>
        <w:rPr>
          <w:rFonts w:eastAsia="Calibri"/>
          <w:noProof/>
          <w:lang w:eastAsia="fr-FR"/>
        </w:rPr>
      </w:pPr>
      <w:r>
        <w:rPr>
          <w:noProof/>
          <w:lang w:eastAsia="fr-FR"/>
        </w:rPr>
        <w:t>ANNEXE</w:t>
      </w:r>
      <w:r>
        <w:rPr>
          <w:rFonts w:eastAsia="Times New Roman"/>
          <w:noProof/>
          <w:szCs w:val="24"/>
          <w:lang w:val="fr-BE" w:eastAsia="fr-FR"/>
        </w:rPr>
        <w:t> </w:t>
      </w:r>
      <w:r>
        <w:rPr>
          <w:rFonts w:eastAsia="Calibri"/>
          <w:noProof/>
          <w:lang w:eastAsia="fr-FR"/>
        </w:rPr>
        <w:t>IV</w:t>
      </w:r>
    </w:p>
    <w:p>
      <w:pPr>
        <w:pStyle w:val="ManualHeading1"/>
        <w:jc w:val="center"/>
        <w:rPr>
          <w:noProof/>
          <w:lang w:eastAsia="fr-FR"/>
        </w:rPr>
      </w:pPr>
      <w:r>
        <w:rPr>
          <w:noProof/>
          <w:lang w:val="fr-BE"/>
        </w:rPr>
        <w:t>Tableau de correspondance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378"/>
        <w:gridCol w:w="1498"/>
        <w:gridCol w:w="1390"/>
        <w:gridCol w:w="1390"/>
        <w:gridCol w:w="1508"/>
      </w:tblGrid>
      <w:tr>
        <w:trPr>
          <w:tblHeader/>
        </w:trPr>
        <w:tc>
          <w:tcPr>
            <w:tcW w:w="1404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Directive 82/891/CEE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Directive 89/666/CEE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Directive 2005/56/CE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Directive 2009/101/CE</w:t>
            </w:r>
          </w:p>
        </w:tc>
        <w:tc>
          <w:tcPr>
            <w:tcW w:w="1390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Directive 2011/35/UE</w:t>
            </w:r>
          </w:p>
        </w:tc>
        <w:tc>
          <w:tcPr>
            <w:tcW w:w="1390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Directive 2012/30/UE</w:t>
            </w: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Présente Directive</w:t>
            </w:r>
          </w:p>
        </w:tc>
      </w:tr>
      <w:tr>
        <w:trPr>
          <w:trHeight w:val="402"/>
        </w:trPr>
        <w:tc>
          <w:tcPr>
            <w:tcW w:w="1404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</w:t>
            </w:r>
          </w:p>
        </w:tc>
      </w:tr>
      <w:tr>
        <w:trPr>
          <w:trHeight w:val="402"/>
        </w:trP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val="fr-BE" w:eastAsia="en-GB"/>
              </w:rPr>
              <w:t>Article 3, paragraphes 1 et 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137, paragraphes 1 et 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3, paragraphe 3, point a)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137, paragraphe 3, premier alinéa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3, paragraphe 3, point b)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137, paragraphe 3, deuxième alinéa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20, points a) et b)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154, points a) et b)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20, point 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154, point c)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22, paragraphes 1, 2 et 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156, paragraphes 1, 2 et 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22, paragraphes 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156, paragraphes 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26, paragraphe 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26, paragraphe 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160, paragraphe 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26, paragraphe 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26, paragraphe 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160, paragraphe 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26, paragraphe 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33, paragraphe 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5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, paragraphes 1, 2 et 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5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, paragraphe 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33, paragraphe 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5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, paragraphe 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33, paragraphe 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11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Article17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II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2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3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3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ter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3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quater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 quinquies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4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4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ter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4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quater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, premier et deuxième alinéas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23, premier et deuxième aliénas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4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quater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, troisième alinéa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4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quinquies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4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sexies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6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7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7, paragraphe 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7, paragraphe 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13 </w:t>
            </w:r>
            <w:r>
              <w:rPr>
                <w:rFonts w:eastAsia="Calibri"/>
                <w:i/>
                <w:noProof/>
                <w:sz w:val="20"/>
                <w:szCs w:val="20"/>
                <w:lang w:eastAsia="en-GB"/>
              </w:rPr>
              <w:t>bis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 xml:space="preserve">Article 10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29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69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39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79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80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81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82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83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84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47, paragraphe 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85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jc w:val="left"/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47, paragraphe 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165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166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49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167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50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Article 168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II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III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III</w:t>
            </w:r>
          </w:p>
        </w:tc>
      </w:tr>
      <w:tr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Calibri"/>
                <w:noProof/>
                <w:sz w:val="20"/>
                <w:szCs w:val="20"/>
                <w:lang w:eastAsia="en-GB"/>
              </w:rPr>
            </w:pP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Annexe IV</w:t>
            </w:r>
          </w:p>
        </w:tc>
      </w:tr>
    </w:tbl>
    <w:p>
      <w:pPr>
        <w:pStyle w:val="NormalCentered"/>
        <w:rPr>
          <w:b/>
          <w:noProof/>
          <w:sz w:val="18"/>
          <w:szCs w:val="18"/>
          <w:lang w:val="fr-BE"/>
        </w:rPr>
      </w:pPr>
      <w:bookmarkStart w:id="1" w:name="_CopyToNewDocument_"/>
      <w:bookmarkEnd w:id="1"/>
      <w:r>
        <w:rPr>
          <w:noProof/>
          <w:sz w:val="18"/>
          <w:szCs w:val="18"/>
          <w:lang w:eastAsia="fr-FR"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19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En application de l’article 16, paragraphe 2 de la directive 89/666/CE, les États membres doivent veiller à ce que les dispositions visées au paragraphe 1 s’appliquent à partir du 1</w:t>
      </w:r>
      <w:r>
        <w:rPr>
          <w:vertAlign w:val="superscript"/>
          <w:lang w:val="fr-BE"/>
        </w:rPr>
        <w:t>er</w:t>
      </w:r>
      <w:r>
        <w:rPr>
          <w:lang w:val="fr-BE"/>
        </w:rPr>
        <w:t xml:space="preserve"> janvier 1993 et, en ce qui concerne les documents comptables</w:t>
      </w:r>
      <w:r>
        <w:rPr>
          <w:rFonts w:hint="eastAsia"/>
          <w:lang w:val="fr-BE"/>
        </w:rPr>
        <w:t xml:space="preserve">, </w:t>
      </w:r>
      <w:r>
        <w:rPr>
          <w:lang w:val="fr-BE"/>
        </w:rPr>
        <w:t>s’appliquent pour la première fois aux comptes annuels de l’exercice débutant le </w:t>
      </w:r>
      <w:r>
        <w:rPr>
          <w:rFonts w:hint="eastAsia"/>
          <w:lang w:val="fr-BE"/>
        </w:rPr>
        <w:t>1</w:t>
      </w:r>
      <w:r>
        <w:rPr>
          <w:vertAlign w:val="superscript"/>
          <w:lang w:val="fr-BE"/>
        </w:rPr>
        <w:t>er</w:t>
      </w:r>
      <w:r>
        <w:rPr>
          <w:lang w:val="fr-BE"/>
        </w:rPr>
        <w:t> janvier</w:t>
      </w:r>
      <w:r>
        <w:rPr>
          <w:rFonts w:hint="eastAsia"/>
          <w:lang w:val="fr-BE"/>
        </w:rPr>
        <w:t xml:space="preserve"> 1993 </w:t>
      </w:r>
      <w:r>
        <w:rPr>
          <w:lang w:val="fr-BE"/>
        </w:rPr>
        <w:t>ou au cours de l’année</w:t>
      </w:r>
      <w:r>
        <w:rPr>
          <w:rFonts w:hint="eastAsia"/>
          <w:lang w:val="fr-BE"/>
        </w:rPr>
        <w:t xml:space="preserve"> 1993.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rPr>
          <w:lang w:val="fr-BE"/>
        </w:rPr>
        <w:tab/>
      </w:r>
      <w:r>
        <w:rPr>
          <w:spacing w:val="-4"/>
          <w:lang w:val="fr-BE"/>
        </w:rPr>
        <w:t>En application de l’article 5, paragraphe 2 de la directive 2012/17/UE, au plus tard le 8 juin 2017, les Etats membres</w:t>
      </w:r>
      <w:r>
        <w:rPr>
          <w:lang w:val="fr-BE"/>
        </w:rPr>
        <w:t xml:space="preserve"> adoptent, publient, appliquent les dispositions nécessaires pour se conformer:</w:t>
      </w:r>
      <w:r>
        <w:rPr>
          <w:lang w:val="fr-BE"/>
        </w:rPr>
        <w:tab/>
      </w:r>
      <w:r>
        <w:rPr>
          <w:lang w:val="fr-BE"/>
        </w:rPr>
        <w:br/>
      </w:r>
      <w:r>
        <w:rPr>
          <w:rFonts w:eastAsia="Calibri"/>
          <w:noProof/>
          <w:lang w:eastAsia="en-GB"/>
        </w:rPr>
        <w:t>–</w:t>
      </w:r>
      <w:r>
        <w:rPr>
          <w:rFonts w:eastAsia="Calibri"/>
          <w:noProof/>
          <w:lang w:eastAsia="en-GB"/>
        </w:rPr>
        <w:tab/>
      </w:r>
      <w:r>
        <w:t xml:space="preserve">à l’article 1, paragraphes 3 et 4 et à l’article 5 </w:t>
      </w:r>
      <w:r>
        <w:rPr>
          <w:i/>
        </w:rPr>
        <w:t>bis</w:t>
      </w:r>
      <w:r>
        <w:t xml:space="preserve"> de la directive 89/666/CEE,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</w:r>
      <w:r>
        <w:rPr>
          <w:lang w:val="fr-BE"/>
        </w:rPr>
        <w:t>à l’article 13 de la directive 2005/56/EC,</w:t>
      </w:r>
      <w:r>
        <w:rPr>
          <w:rFonts w:eastAsia="Calibri"/>
          <w:noProof/>
          <w:lang w:eastAsia="en-GB"/>
        </w:rPr>
        <w:tab/>
      </w:r>
      <w:r>
        <w:rPr>
          <w:rFonts w:eastAsia="Calibri"/>
          <w:noProof/>
          <w:lang w:eastAsia="en-GB"/>
        </w:rPr>
        <w:br/>
        <w:t>–</w:t>
      </w:r>
      <w:r>
        <w:rPr>
          <w:rFonts w:eastAsia="Calibri"/>
          <w:noProof/>
          <w:lang w:eastAsia="en-GB"/>
        </w:rPr>
        <w:tab/>
      </w:r>
      <w:r>
        <w:t xml:space="preserve">à l’article 3, paragraphe 1, deuxième alinéa, à l’article 3 </w:t>
      </w:r>
      <w:r>
        <w:rPr>
          <w:i/>
        </w:rPr>
        <w:t>ter</w:t>
      </w:r>
      <w:r>
        <w:t xml:space="preserve">, à l'article 3 </w:t>
      </w:r>
      <w:r>
        <w:rPr>
          <w:i/>
        </w:rPr>
        <w:t>quater</w:t>
      </w:r>
      <w:r>
        <w:t xml:space="preserve">, à </w:t>
      </w:r>
      <w:r>
        <w:br/>
      </w:r>
      <w:r>
        <w:tab/>
        <w:t>l'article 3 </w:t>
      </w:r>
      <w:r>
        <w:rPr>
          <w:i/>
        </w:rPr>
        <w:t xml:space="preserve">quinquies </w:t>
      </w:r>
      <w:r>
        <w:t xml:space="preserve">et à l'article 4 </w:t>
      </w:r>
      <w:r>
        <w:rPr>
          <w:i/>
        </w:rPr>
        <w:t>bis</w:t>
      </w:r>
      <w:r>
        <w:t>, paragraphes 3 à 5 de la directive 2009/101/CE.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lang w:val="fr-BE"/>
        </w:rPr>
        <w:t xml:space="preserve">En application de l’article 130, paragraphe I, troisième alinéa de la directive 2014/59/UE, les États membres </w:t>
      </w:r>
      <w:r>
        <w:rPr>
          <w:spacing w:val="-4"/>
          <w:lang w:val="fr-BE"/>
        </w:rPr>
        <w:t>appliquent les dispositions adoptées pour se conformer à la section 5 du chapitre IV du titre IV de cette directive,</w:t>
      </w:r>
      <w:r>
        <w:rPr>
          <w:lang w:val="fr-BE"/>
        </w:rPr>
        <w:t xml:space="preserve"> à partir du 1</w:t>
      </w:r>
      <w:r>
        <w:rPr>
          <w:vertAlign w:val="superscript"/>
          <w:lang w:val="fr-BE"/>
        </w:rPr>
        <w:t>er</w:t>
      </w:r>
      <w:r>
        <w:rPr>
          <w:lang w:val="fr-BE"/>
        </w:rPr>
        <w:t xml:space="preserve"> janvier 2016 au plus tard.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481"/>
    <w:multiLevelType w:val="multilevel"/>
    <w:tmpl w:val="BBAADA64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1B32F07"/>
    <w:multiLevelType w:val="multilevel"/>
    <w:tmpl w:val="6734C018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59361D7"/>
    <w:multiLevelType w:val="singleLevel"/>
    <w:tmpl w:val="CBF86BB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1E346EC6"/>
    <w:multiLevelType w:val="singleLevel"/>
    <w:tmpl w:val="EAA2D466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733065B"/>
    <w:multiLevelType w:val="singleLevel"/>
    <w:tmpl w:val="51A0C2B8"/>
    <w:name w:val="List Bullet 2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8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>
    <w:nsid w:val="422E10EC"/>
    <w:multiLevelType w:val="singleLevel"/>
    <w:tmpl w:val="8648E354"/>
    <w:name w:val="List Bullet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4C6F0385"/>
    <w:multiLevelType w:val="singleLevel"/>
    <w:tmpl w:val="5D5AB896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>
    <w:nsid w:val="4E945993"/>
    <w:multiLevelType w:val="singleLevel"/>
    <w:tmpl w:val="286E58FA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D0E0429"/>
    <w:multiLevelType w:val="multilevel"/>
    <w:tmpl w:val="28B89D1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F4B4EDC"/>
    <w:multiLevelType w:val="singleLevel"/>
    <w:tmpl w:val="14F4473E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73B83116"/>
    <w:multiLevelType w:val="singleLevel"/>
    <w:tmpl w:val="C818BC58"/>
    <w:name w:val="List Dash 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4">
    <w:nsid w:val="742A4FC9"/>
    <w:multiLevelType w:val="multilevel"/>
    <w:tmpl w:val="F5C052DE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44D6F2F"/>
    <w:multiLevelType w:val="singleLevel"/>
    <w:tmpl w:val="F94A0F7A"/>
    <w:name w:val="List Dash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6">
    <w:nsid w:val="74CA3D43"/>
    <w:multiLevelType w:val="multilevel"/>
    <w:tmpl w:val="EFE4A31E"/>
    <w:name w:val="List Dash 1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CB17551"/>
    <w:multiLevelType w:val="singleLevel"/>
    <w:tmpl w:val="C8863DE8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8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lvl w:ilvl="0">
        <w:start w:val="1"/>
        <w:numFmt w:val="bullet"/>
        <w:pStyle w:val="Tiret0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5"/>
  </w:num>
  <w:num w:numId="4">
    <w:abstractNumId w:val="2"/>
  </w:num>
  <w:num w:numId="5">
    <w:abstractNumId w:val="23"/>
  </w:num>
  <w:num w:numId="6">
    <w:abstractNumId w:val="27"/>
  </w:num>
  <w:num w:numId="7">
    <w:abstractNumId w:val="6"/>
  </w:num>
  <w:num w:numId="8">
    <w:abstractNumId w:val="14"/>
  </w:num>
  <w:num w:numId="9">
    <w:abstractNumId w:val="22"/>
  </w:num>
  <w:num w:numId="10">
    <w:abstractNumId w:val="9"/>
  </w:num>
  <w:num w:numId="11">
    <w:abstractNumId w:val="13"/>
  </w:num>
  <w:num w:numId="12">
    <w:abstractNumId w:val="21"/>
  </w:num>
  <w:num w:numId="13">
    <w:abstractNumId w:val="1"/>
  </w:num>
  <w:num w:numId="14">
    <w:abstractNumId w:val="26"/>
  </w:num>
  <w:num w:numId="15">
    <w:abstractNumId w:val="0"/>
  </w:num>
  <w:num w:numId="16">
    <w:abstractNumId w:val="24"/>
  </w:num>
  <w:num w:numId="17">
    <w:abstractNumId w:val="18"/>
    <w:lvlOverride w:ilvl="0">
      <w:startOverride w:val="1"/>
    </w:lvlOverride>
  </w:num>
  <w:num w:numId="18">
    <w:abstractNumId w:val="18"/>
  </w:num>
  <w:num w:numId="19">
    <w:abstractNumId w:val="10"/>
  </w:num>
  <w:num w:numId="20">
    <w:abstractNumId w:val="20"/>
  </w:num>
  <w:num w:numId="21">
    <w:abstractNumId w:val="8"/>
  </w:num>
  <w:num w:numId="22">
    <w:abstractNumId w:val="11"/>
  </w:num>
  <w:num w:numId="23">
    <w:abstractNumId w:val="5"/>
  </w:num>
  <w:num w:numId="24">
    <w:abstractNumId w:val="19"/>
  </w:num>
  <w:num w:numId="25">
    <w:abstractNumId w:val="3"/>
  </w:num>
  <w:num w:numId="26">
    <w:abstractNumId w:val="12"/>
  </w:num>
  <w:num w:numId="27">
    <w:abstractNumId w:val="16"/>
  </w:num>
  <w:num w:numId="28">
    <w:abstractNumId w:val="17"/>
  </w:num>
  <w:num w:numId="29">
    <w:abstractNumId w:val="7"/>
  </w:num>
  <w:num w:numId="30">
    <w:abstractNumId w:val="15"/>
  </w:num>
  <w:num w:numId="31">
    <w:abstractNumId w:val="28"/>
  </w:num>
  <w:num w:numId="32">
    <w:abstractNumId w:val="18"/>
  </w:num>
  <w:num w:numId="33">
    <w:abstractNumId w:val="10"/>
  </w:num>
  <w:num w:numId="34">
    <w:abstractNumId w:val="20"/>
  </w:num>
  <w:num w:numId="35">
    <w:abstractNumId w:val="8"/>
  </w:num>
  <w:num w:numId="36">
    <w:abstractNumId w:val="11"/>
  </w:num>
  <w:num w:numId="37">
    <w:abstractNumId w:val="5"/>
  </w:num>
  <w:num w:numId="38">
    <w:abstractNumId w:val="19"/>
  </w:num>
  <w:num w:numId="39">
    <w:abstractNumId w:val="3"/>
  </w:num>
  <w:num w:numId="40">
    <w:abstractNumId w:val="12"/>
  </w:num>
  <w:num w:numId="41">
    <w:abstractNumId w:val="16"/>
  </w:num>
  <w:num w:numId="42">
    <w:abstractNumId w:val="17"/>
  </w:num>
  <w:num w:numId="43">
    <w:abstractNumId w:val="7"/>
  </w:num>
  <w:num w:numId="44">
    <w:abstractNumId w:val="15"/>
  </w:num>
  <w:num w:numId="45">
    <w:abstractNumId w:val="28"/>
  </w:num>
  <w:num w:numId="46">
    <w:abstractNumId w:val="18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Ref0" w:val="2012/30/UE"/>
    <w:docVar w:name="CR_Ref1" w:val="2013/24/UE Annexe, partie A, pt. 4)"/>
    <w:docVar w:name="CR_Ref2" w:val="2013/24/UE annexe, partie A, pt. 4)"/>
    <w:docVar w:name="CR_Ref3" w:val="2009/101/CE chap. 1, art. 1"/>
    <w:docVar w:name="CR_Ref4" w:val="2013/24/UE annexe, partie A, pt. 1)"/>
    <w:docVar w:name="CR_Ref5" w:val="2009/101/CE"/>
    <w:docVar w:name="CR_RefCount" w:val="6"/>
    <w:docVar w:name="CR_RefLast" w:val="8"/>
    <w:docVar w:name="DQCDateTime" w:val="2015-11-24 15:17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DIRECTIVE DU PARLEMENT EUROPÉEN ET DU CONSEIL"/>
    <w:docVar w:name="LW_ACCOMPAGNANT.CP" w:val="DIRECTIVE DU PARLEMENT EUROPÉEN ET DU CONSEIL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1E03C11E311F4FE8977A0DD733022B9D"/>
    <w:docVar w:name="LW_CROSSREFERENCE" w:val="&lt;UNUSED&gt;"/>
    <w:docVar w:name="LW_DocType" w:val="ANNEX"/>
    <w:docVar w:name="LW_EMISSION" w:val="3.12.2015"/>
    <w:docVar w:name="LW_EMISSION_ISODATE" w:val="2015-12-03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(Texte présentant de l'intérêt pour l'EEE)"/>
    <w:docVar w:name="LW_OBJETACTEPRINCIPAL.CP" w:val="(Texte présentant de l'intérêt pour l'EEE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616"/>
    <w:docVar w:name="LW_REF.INTERNE" w:val="&lt;UNUSED&gt;"/>
    <w:docVar w:name="LW_SUPERTITRE" w:val="&lt;UNUSED&gt;"/>
    <w:docVar w:name="LW_TITRE.OBJ" w:val="Proposition de"/>
    <w:docVar w:name="LW_TITRE.OBJ.CP" w:val="Proposition de"/>
    <w:docVar w:name="LW_TYPE.DOC" w:val="ANNEXES"/>
    <w:docVar w:name="LW_TYPE.DOC.CP" w:val="ANNEXES"/>
    <w:docVar w:name="LW_TYPEACTEPRINCIPAL" w:val="relative à certains aspects du droit des sociétés (texte codifié)"/>
    <w:docVar w:name="LW_TYPEACTEPRINCIPAL.CP" w:val="relative à certains aspects du droit des sociétés (texte codifié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8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val="en-GB"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val="en-GB"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val="en-GB"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eparator">
    <w:name w:val="CR Separator"/>
    <w:basedOn w:val="Normal"/>
    <w:link w:val="CRSeparatorChar"/>
    <w:uiPriority w:val="99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CRSeparatorChar">
    <w:name w:val="CR Separator Char"/>
    <w:basedOn w:val="DefaultParagraphFont"/>
    <w:link w:val="CRSeparator"/>
    <w:rPr>
      <w:rFonts w:ascii="Times New Roman" w:hAnsi="Times New Roman" w:cs="Times New Roman"/>
      <w:sz w:val="24"/>
      <w:lang w:val="fr-FR"/>
    </w:rPr>
  </w:style>
  <w:style w:type="paragraph" w:customStyle="1" w:styleId="CRReference">
    <w:name w:val="CR Reference"/>
    <w:basedOn w:val="Normal"/>
    <w:link w:val="CRReferenceChar"/>
    <w:uiPriority w:val="99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</w:style>
  <w:style w:type="character" w:customStyle="1" w:styleId="CRReferenceChar">
    <w:name w:val="CR Reference Char"/>
    <w:basedOn w:val="DefaultParagraphFont"/>
    <w:link w:val="CRReference"/>
    <w:rPr>
      <w:rFonts w:ascii="Times New Roman" w:hAnsi="Times New Roman" w:cs="Times New Roman"/>
      <w:sz w:val="24"/>
      <w:lang w:val="fr-FR"/>
    </w:rPr>
  </w:style>
  <w:style w:type="character" w:customStyle="1" w:styleId="CRMarker">
    <w:name w:val="CR Marker"/>
    <w:basedOn w:val="DefaultParagraphFont"/>
    <w:uiPriority w:val="99"/>
    <w:rPr>
      <w:rFonts w:ascii="Wingdings" w:hAnsi="Wingdings"/>
    </w:rPr>
  </w:style>
  <w:style w:type="character" w:customStyle="1" w:styleId="CRDeleted">
    <w:name w:val="CR Deleted"/>
    <w:basedOn w:val="DefaultParagraphFont"/>
    <w:uiPriority w:val="99"/>
    <w:rPr>
      <w:b w:val="0"/>
      <w:strike w:val="0"/>
      <w:dstrike/>
    </w:rPr>
  </w:style>
  <w:style w:type="character" w:customStyle="1" w:styleId="CRMinorChangeAdded">
    <w:name w:val="CR Minor Change Added"/>
    <w:basedOn w:val="DefaultParagraphFont"/>
    <w:uiPriority w:val="99"/>
    <w:rPr>
      <w:u w:val="doub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NormalCenteredChar">
    <w:name w:val="Normal Centered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character" w:customStyle="1" w:styleId="Point0Char">
    <w:name w:val="Point 0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val="en-GB" w:eastAsia="fr-FR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val="en-GB" w:eastAsia="fr-FR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en-GB" w:eastAsia="fr-FR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character" w:styleId="PageNumber">
    <w:name w:val="page number"/>
    <w:uiPriority w:val="99"/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val="en-GB" w:eastAsia="fr-FR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fr-FR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fr-FR"/>
    </w:rPr>
  </w:style>
  <w:style w:type="character" w:customStyle="1" w:styleId="CRMinorChangeDeleted">
    <w:name w:val="CR Minor Change Deleted"/>
    <w:uiPriority w:val="99"/>
    <w:rPr>
      <w:dstrike/>
      <w:u w:val="double"/>
      <w:lang w:val="en-GB" w:eastAsia="x-none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pPr>
      <w:autoSpaceDE w:val="0"/>
      <w:autoSpaceDN w:val="0"/>
    </w:pPr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Statutprliminaire">
    <w:name w:val="Statu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szCs w:val="20"/>
      <w:lang w:val="en-GB" w:eastAsia="zh-CN"/>
    </w:rPr>
  </w:style>
  <w:style w:type="paragraph" w:customStyle="1" w:styleId="Titreobjetprliminaire">
    <w:name w:val="Titre objet (préliminaire)"/>
    <w:basedOn w:val="Normal"/>
    <w:next w:val="Normal"/>
    <w:uiPriority w:val="99"/>
    <w:pPr>
      <w:spacing w:before="360" w:after="36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Typedudocumentprliminaire">
    <w:name w:val="Type du documen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Sous-titreobjetprliminaire">
    <w:name w:val="Sous-titre objet (préliminaire)"/>
    <w:basedOn w:val="Normal"/>
    <w:uiPriority w:val="99"/>
    <w:pPr>
      <w:spacing w:before="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pPr>
      <w:spacing w:before="0" w:after="0"/>
      <w:ind w:left="5103"/>
      <w:jc w:val="left"/>
    </w:pPr>
    <w:rPr>
      <w:rFonts w:eastAsia="Times New Roman"/>
      <w:szCs w:val="20"/>
      <w:lang w:val="en-GB" w:eastAsia="zh-CN"/>
    </w:rPr>
  </w:style>
  <w:style w:type="paragraph" w:customStyle="1" w:styleId="hd">
    <w:name w:val="hd"/>
    <w:uiPriority w:val="99"/>
    <w:pPr>
      <w:widowControl w:val="0"/>
      <w:tabs>
        <w:tab w:val="left" w:pos="0"/>
        <w:tab w:val="left" w:pos="1440"/>
        <w:tab w:val="left" w:pos="2880"/>
        <w:tab w:val="left" w:pos="4320"/>
      </w:tabs>
      <w:spacing w:before="10" w:after="384" w:line="209" w:lineRule="atLeast"/>
      <w:jc w:val="center"/>
    </w:pPr>
    <w:rPr>
      <w:rFonts w:ascii="Thames" w:eastAsia="Times New Roman" w:hAnsi="Thames" w:cs="Times New Roman"/>
      <w:b/>
      <w:sz w:val="18"/>
      <w:u w:val="single"/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0" w:after="0"/>
      <w:jc w:val="center"/>
    </w:pPr>
    <w:rPr>
      <w:rFonts w:eastAsia="Times New Roman"/>
      <w:b/>
      <w:szCs w:val="20"/>
      <w:u w:val="single"/>
      <w:lang w:val="nl-BE" w:eastAsia="zh-CN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sz w:val="24"/>
      <w:szCs w:val="20"/>
      <w:u w:val="single"/>
      <w:lang w:val="nl-BE" w:eastAsia="zh-CN"/>
    </w:rPr>
  </w:style>
  <w:style w:type="paragraph" w:customStyle="1" w:styleId="Communicationtitre">
    <w:name w:val="Communication titre"/>
    <w:basedOn w:val="Normal"/>
    <w:next w:val="Normal"/>
    <w:uiPriority w:val="99"/>
    <w:pPr>
      <w:jc w:val="center"/>
    </w:pPr>
    <w:rPr>
      <w:rFonts w:eastAsia="Times New Roman"/>
      <w:b/>
      <w:szCs w:val="20"/>
      <w:u w:val="single"/>
      <w:lang w:val="en-GB" w:eastAsia="zh-CN"/>
    </w:rPr>
  </w:style>
  <w:style w:type="paragraph" w:styleId="ListBullet">
    <w:name w:val="List Bullet"/>
    <w:basedOn w:val="Normal"/>
    <w:uiPriority w:val="99"/>
    <w:pPr>
      <w:numPr>
        <w:numId w:val="2"/>
      </w:numPr>
    </w:pPr>
    <w:rPr>
      <w:rFonts w:eastAsia="Times New Roman"/>
      <w:szCs w:val="20"/>
      <w:lang w:val="en-GB" w:eastAsia="zh-CN"/>
    </w:rPr>
  </w:style>
  <w:style w:type="paragraph" w:styleId="ListBullet2">
    <w:name w:val="List Bullet 2"/>
    <w:basedOn w:val="Normal"/>
    <w:uiPriority w:val="99"/>
    <w:pPr>
      <w:numPr>
        <w:numId w:val="4"/>
      </w:numPr>
    </w:pPr>
    <w:rPr>
      <w:rFonts w:eastAsia="Times New Roman"/>
      <w:szCs w:val="20"/>
      <w:lang w:val="en-GB" w:eastAsia="zh-CN"/>
    </w:rPr>
  </w:style>
  <w:style w:type="paragraph" w:styleId="ListBullet3">
    <w:name w:val="List Bullet 3"/>
    <w:basedOn w:val="Normal"/>
    <w:uiPriority w:val="99"/>
    <w:pPr>
      <w:numPr>
        <w:numId w:val="5"/>
      </w:numPr>
    </w:pPr>
    <w:rPr>
      <w:rFonts w:eastAsia="Times New Roman"/>
      <w:szCs w:val="20"/>
      <w:lang w:val="en-GB" w:eastAsia="zh-CN"/>
    </w:rPr>
  </w:style>
  <w:style w:type="paragraph" w:styleId="ListBullet4">
    <w:name w:val="List Bullet 4"/>
    <w:basedOn w:val="Normal"/>
    <w:uiPriority w:val="99"/>
    <w:pPr>
      <w:numPr>
        <w:numId w:val="6"/>
      </w:numPr>
    </w:pPr>
    <w:rPr>
      <w:rFonts w:eastAsia="Times New Roman"/>
      <w:szCs w:val="20"/>
      <w:lang w:val="en-GB" w:eastAsia="zh-CN"/>
    </w:rPr>
  </w:style>
  <w:style w:type="paragraph" w:styleId="ListNumber">
    <w:name w:val="List Number"/>
    <w:basedOn w:val="Normal"/>
    <w:uiPriority w:val="99"/>
    <w:pPr>
      <w:numPr>
        <w:numId w:val="12"/>
      </w:numPr>
    </w:pPr>
    <w:rPr>
      <w:rFonts w:eastAsia="Times New Roman"/>
      <w:szCs w:val="20"/>
      <w:lang w:val="en-GB" w:eastAsia="zh-CN"/>
    </w:rPr>
  </w:style>
  <w:style w:type="paragraph" w:styleId="ListNumber2">
    <w:name w:val="List Number 2"/>
    <w:basedOn w:val="Normal"/>
    <w:uiPriority w:val="99"/>
    <w:pPr>
      <w:numPr>
        <w:numId w:val="14"/>
      </w:numPr>
    </w:pPr>
    <w:rPr>
      <w:rFonts w:eastAsia="Times New Roman"/>
      <w:szCs w:val="20"/>
      <w:lang w:val="en-GB" w:eastAsia="zh-CN"/>
    </w:rPr>
  </w:style>
  <w:style w:type="paragraph" w:styleId="ListNumber3">
    <w:name w:val="List Number 3"/>
    <w:basedOn w:val="Normal"/>
    <w:uiPriority w:val="99"/>
    <w:pPr>
      <w:numPr>
        <w:numId w:val="15"/>
      </w:numPr>
    </w:pPr>
    <w:rPr>
      <w:rFonts w:eastAsia="Times New Roman"/>
      <w:szCs w:val="20"/>
      <w:lang w:val="en-GB" w:eastAsia="zh-CN"/>
    </w:rPr>
  </w:style>
  <w:style w:type="paragraph" w:styleId="ListNumber4">
    <w:name w:val="List Number 4"/>
    <w:basedOn w:val="Normal"/>
    <w:uiPriority w:val="99"/>
    <w:pPr>
      <w:numPr>
        <w:numId w:val="16"/>
      </w:numPr>
    </w:pPr>
    <w:rPr>
      <w:rFonts w:eastAsia="Times New Roman"/>
      <w:szCs w:val="20"/>
      <w:lang w:val="en-GB" w:eastAsia="zh-CN"/>
    </w:rPr>
  </w:style>
  <w:style w:type="paragraph" w:customStyle="1" w:styleId="ListBullet1">
    <w:name w:val="List Bullet 1"/>
    <w:basedOn w:val="Normal"/>
    <w:uiPriority w:val="99"/>
    <w:pPr>
      <w:numPr>
        <w:numId w:val="3"/>
      </w:numPr>
    </w:pPr>
    <w:rPr>
      <w:rFonts w:eastAsia="Times New Roman"/>
      <w:szCs w:val="20"/>
      <w:lang w:val="en-GB" w:eastAsia="zh-CN"/>
    </w:rPr>
  </w:style>
  <w:style w:type="paragraph" w:customStyle="1" w:styleId="ListDash">
    <w:name w:val="List Dash"/>
    <w:basedOn w:val="Normal"/>
    <w:uiPriority w:val="99"/>
    <w:pPr>
      <w:numPr>
        <w:numId w:val="7"/>
      </w:numPr>
    </w:pPr>
    <w:rPr>
      <w:rFonts w:eastAsia="Times New Roman"/>
      <w:szCs w:val="20"/>
      <w:lang w:val="en-GB" w:eastAsia="zh-CN"/>
    </w:rPr>
  </w:style>
  <w:style w:type="paragraph" w:customStyle="1" w:styleId="ListDash1">
    <w:name w:val="List Dash 1"/>
    <w:basedOn w:val="Normal"/>
    <w:uiPriority w:val="99"/>
    <w:pPr>
      <w:numPr>
        <w:numId w:val="8"/>
      </w:numPr>
    </w:pPr>
    <w:rPr>
      <w:rFonts w:eastAsia="Times New Roman"/>
      <w:szCs w:val="20"/>
      <w:lang w:val="en-GB" w:eastAsia="zh-CN"/>
    </w:rPr>
  </w:style>
  <w:style w:type="paragraph" w:customStyle="1" w:styleId="ListDash2">
    <w:name w:val="List Dash 2"/>
    <w:basedOn w:val="Normal"/>
    <w:uiPriority w:val="99"/>
    <w:pPr>
      <w:numPr>
        <w:numId w:val="9"/>
      </w:numPr>
    </w:pPr>
    <w:rPr>
      <w:rFonts w:eastAsia="Times New Roman"/>
      <w:szCs w:val="20"/>
      <w:lang w:val="en-GB" w:eastAsia="zh-CN"/>
    </w:rPr>
  </w:style>
  <w:style w:type="paragraph" w:customStyle="1" w:styleId="ListDash3">
    <w:name w:val="List Dash 3"/>
    <w:basedOn w:val="Normal"/>
    <w:uiPriority w:val="99"/>
    <w:pPr>
      <w:numPr>
        <w:numId w:val="10"/>
      </w:numPr>
    </w:pPr>
    <w:rPr>
      <w:rFonts w:eastAsia="Times New Roman"/>
      <w:szCs w:val="20"/>
      <w:lang w:val="en-GB" w:eastAsia="zh-CN"/>
    </w:rPr>
  </w:style>
  <w:style w:type="paragraph" w:customStyle="1" w:styleId="ListDash4">
    <w:name w:val="List Dash 4"/>
    <w:basedOn w:val="Normal"/>
    <w:uiPriority w:val="99"/>
    <w:pPr>
      <w:numPr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">
    <w:name w:val="List Number 1"/>
    <w:basedOn w:val="Text1"/>
    <w:uiPriority w:val="99"/>
    <w:pPr>
      <w:numPr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6"/>
      </w:numPr>
    </w:pPr>
    <w:rPr>
      <w:rFonts w:eastAsia="Times New Roman"/>
      <w:szCs w:val="20"/>
      <w:lang w:val="en-GB" w:eastAsia="zh-C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6"/>
      </w:numPr>
    </w:pPr>
    <w:rPr>
      <w:rFonts w:eastAsia="Times New Roman"/>
      <w:szCs w:val="20"/>
      <w:lang w:val="en-GB" w:eastAsia="zh-C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6"/>
      </w:numPr>
    </w:pPr>
    <w:rPr>
      <w:rFonts w:eastAsia="Times New Roman"/>
      <w:szCs w:val="20"/>
      <w:lang w:val="en-GB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uiPriority w:val="20"/>
    <w:qFormat/>
    <w:rPr>
      <w:i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paragraph" w:customStyle="1" w:styleId="Clear">
    <w:name w:val="Clear"/>
    <w:basedOn w:val="Point0"/>
    <w:link w:val="ClearChar"/>
    <w:uiPriority w:val="99"/>
    <w:pPr>
      <w:autoSpaceDE w:val="0"/>
      <w:autoSpaceDN w:val="0"/>
      <w:ind w:left="851" w:hanging="851"/>
    </w:pPr>
    <w:rPr>
      <w:rFonts w:eastAsia="Times New Roman"/>
      <w:color w:val="FF0000"/>
      <w:szCs w:val="24"/>
      <w:lang w:val="en-GB" w:eastAsia="fr-FR"/>
    </w:rPr>
  </w:style>
  <w:style w:type="character" w:customStyle="1" w:styleId="ClearChar">
    <w:name w:val="Clear Char"/>
    <w:link w:val="Clear"/>
    <w:uiPriority w:val="99"/>
    <w:locked/>
    <w:rPr>
      <w:rFonts w:ascii="Times New Roman" w:eastAsia="Times New Roman" w:hAnsi="Times New Roman" w:cs="Times New Roman"/>
      <w:color w:val="FF0000"/>
      <w:sz w:val="24"/>
      <w:szCs w:val="24"/>
      <w:lang w:val="en-GB" w:eastAsia="fr-FR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Lignefinal">
    <w:name w:val="Ligne final"/>
    <w:basedOn w:val="Normal"/>
    <w:next w:val="Normal"/>
    <w:uiPriority w:val="99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4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  <w:lang w:val="en-GB" w:eastAsia="fr-FR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Calibri" w:hAnsi="Calibri"/>
      <w:sz w:val="22"/>
      <w:szCs w:val="21"/>
      <w:lang w:val="en-GB" w:eastAsia="fr-F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en-GB" w:eastAsia="fr-FR"/>
    </w:rPr>
  </w:style>
  <w:style w:type="character" w:customStyle="1" w:styleId="boldface">
    <w:name w:val="boldface"/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2"/>
      </w:numPr>
    </w:pPr>
  </w:style>
  <w:style w:type="paragraph" w:customStyle="1" w:styleId="Tiret1">
    <w:name w:val="Tiret 1"/>
    <w:basedOn w:val="Point1"/>
    <w:pPr>
      <w:numPr>
        <w:numId w:val="33"/>
      </w:numPr>
    </w:pPr>
  </w:style>
  <w:style w:type="paragraph" w:customStyle="1" w:styleId="Tiret2">
    <w:name w:val="Tiret 2"/>
    <w:basedOn w:val="Point2"/>
    <w:pPr>
      <w:numPr>
        <w:numId w:val="34"/>
      </w:numPr>
    </w:pPr>
  </w:style>
  <w:style w:type="paragraph" w:customStyle="1" w:styleId="Tiret3">
    <w:name w:val="Tiret 3"/>
    <w:basedOn w:val="Point3"/>
    <w:pPr>
      <w:numPr>
        <w:numId w:val="35"/>
      </w:numPr>
    </w:pPr>
  </w:style>
  <w:style w:type="paragraph" w:customStyle="1" w:styleId="Tiret4">
    <w:name w:val="Tiret 4"/>
    <w:basedOn w:val="Point4"/>
    <w:pPr>
      <w:numPr>
        <w:numId w:val="3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9"/>
      </w:numPr>
    </w:pPr>
  </w:style>
  <w:style w:type="paragraph" w:customStyle="1" w:styleId="Point1number">
    <w:name w:val="Point 1 (number)"/>
    <w:basedOn w:val="Normal"/>
    <w:pPr>
      <w:numPr>
        <w:ilvl w:val="2"/>
        <w:numId w:val="39"/>
      </w:numPr>
    </w:pPr>
  </w:style>
  <w:style w:type="paragraph" w:customStyle="1" w:styleId="Point2number">
    <w:name w:val="Point 2 (number)"/>
    <w:basedOn w:val="Normal"/>
    <w:pPr>
      <w:numPr>
        <w:ilvl w:val="4"/>
        <w:numId w:val="39"/>
      </w:numPr>
    </w:pPr>
  </w:style>
  <w:style w:type="paragraph" w:customStyle="1" w:styleId="Point3number">
    <w:name w:val="Point 3 (number)"/>
    <w:basedOn w:val="Normal"/>
    <w:pPr>
      <w:numPr>
        <w:ilvl w:val="6"/>
        <w:numId w:val="39"/>
      </w:numPr>
    </w:pPr>
  </w:style>
  <w:style w:type="paragraph" w:customStyle="1" w:styleId="Point0letter">
    <w:name w:val="Point 0 (letter)"/>
    <w:basedOn w:val="Normal"/>
    <w:pPr>
      <w:numPr>
        <w:ilvl w:val="1"/>
        <w:numId w:val="39"/>
      </w:numPr>
    </w:pPr>
  </w:style>
  <w:style w:type="paragraph" w:customStyle="1" w:styleId="Point1letter">
    <w:name w:val="Point 1 (letter)"/>
    <w:basedOn w:val="Normal"/>
    <w:pPr>
      <w:numPr>
        <w:ilvl w:val="3"/>
        <w:numId w:val="39"/>
      </w:numPr>
    </w:pPr>
  </w:style>
  <w:style w:type="paragraph" w:customStyle="1" w:styleId="Point2letter">
    <w:name w:val="Point 2 (letter)"/>
    <w:basedOn w:val="Normal"/>
    <w:pPr>
      <w:numPr>
        <w:ilvl w:val="5"/>
        <w:numId w:val="39"/>
      </w:numPr>
    </w:pPr>
  </w:style>
  <w:style w:type="paragraph" w:customStyle="1" w:styleId="Point3letter">
    <w:name w:val="Point 3 (letter)"/>
    <w:basedOn w:val="Normal"/>
    <w:pPr>
      <w:numPr>
        <w:ilvl w:val="7"/>
        <w:numId w:val="39"/>
      </w:numPr>
    </w:pPr>
  </w:style>
  <w:style w:type="paragraph" w:customStyle="1" w:styleId="Point4letter">
    <w:name w:val="Point 4 (letter)"/>
    <w:basedOn w:val="Normal"/>
    <w:pPr>
      <w:numPr>
        <w:ilvl w:val="8"/>
        <w:numId w:val="39"/>
      </w:numPr>
    </w:pPr>
  </w:style>
  <w:style w:type="paragraph" w:customStyle="1" w:styleId="Bullet0">
    <w:name w:val="Bullet 0"/>
    <w:basedOn w:val="Normal"/>
    <w:pPr>
      <w:numPr>
        <w:numId w:val="40"/>
      </w:numPr>
    </w:pPr>
  </w:style>
  <w:style w:type="paragraph" w:customStyle="1" w:styleId="Bullet1">
    <w:name w:val="Bullet 1"/>
    <w:basedOn w:val="Normal"/>
    <w:pPr>
      <w:numPr>
        <w:numId w:val="41"/>
      </w:numPr>
    </w:pPr>
  </w:style>
  <w:style w:type="paragraph" w:customStyle="1" w:styleId="Bullet2">
    <w:name w:val="Bullet 2"/>
    <w:basedOn w:val="Normal"/>
    <w:pPr>
      <w:numPr>
        <w:numId w:val="42"/>
      </w:numPr>
    </w:pPr>
  </w:style>
  <w:style w:type="paragraph" w:customStyle="1" w:styleId="Bullet3">
    <w:name w:val="Bullet 3"/>
    <w:basedOn w:val="Normal"/>
    <w:pPr>
      <w:numPr>
        <w:numId w:val="43"/>
      </w:numPr>
    </w:pPr>
  </w:style>
  <w:style w:type="paragraph" w:customStyle="1" w:styleId="Bullet4">
    <w:name w:val="Bullet 4"/>
    <w:basedOn w:val="Normal"/>
    <w:pPr>
      <w:numPr>
        <w:numId w:val="4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8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val="en-GB"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val="en-GB"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val="en-GB"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eparator">
    <w:name w:val="CR Separator"/>
    <w:basedOn w:val="Normal"/>
    <w:link w:val="CRSeparatorChar"/>
    <w:uiPriority w:val="99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CRSeparatorChar">
    <w:name w:val="CR Separator Char"/>
    <w:basedOn w:val="DefaultParagraphFont"/>
    <w:link w:val="CRSeparator"/>
    <w:rPr>
      <w:rFonts w:ascii="Times New Roman" w:hAnsi="Times New Roman" w:cs="Times New Roman"/>
      <w:sz w:val="24"/>
      <w:lang w:val="fr-FR"/>
    </w:rPr>
  </w:style>
  <w:style w:type="paragraph" w:customStyle="1" w:styleId="CRReference">
    <w:name w:val="CR Reference"/>
    <w:basedOn w:val="Normal"/>
    <w:link w:val="CRReferenceChar"/>
    <w:uiPriority w:val="99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</w:style>
  <w:style w:type="character" w:customStyle="1" w:styleId="CRReferenceChar">
    <w:name w:val="CR Reference Char"/>
    <w:basedOn w:val="DefaultParagraphFont"/>
    <w:link w:val="CRReference"/>
    <w:rPr>
      <w:rFonts w:ascii="Times New Roman" w:hAnsi="Times New Roman" w:cs="Times New Roman"/>
      <w:sz w:val="24"/>
      <w:lang w:val="fr-FR"/>
    </w:rPr>
  </w:style>
  <w:style w:type="character" w:customStyle="1" w:styleId="CRMarker">
    <w:name w:val="CR Marker"/>
    <w:basedOn w:val="DefaultParagraphFont"/>
    <w:uiPriority w:val="99"/>
    <w:rPr>
      <w:rFonts w:ascii="Wingdings" w:hAnsi="Wingdings"/>
    </w:rPr>
  </w:style>
  <w:style w:type="character" w:customStyle="1" w:styleId="CRDeleted">
    <w:name w:val="CR Deleted"/>
    <w:basedOn w:val="DefaultParagraphFont"/>
    <w:uiPriority w:val="99"/>
    <w:rPr>
      <w:b w:val="0"/>
      <w:strike w:val="0"/>
      <w:dstrike/>
    </w:rPr>
  </w:style>
  <w:style w:type="character" w:customStyle="1" w:styleId="CRMinorChangeAdded">
    <w:name w:val="CR Minor Change Added"/>
    <w:basedOn w:val="DefaultParagraphFont"/>
    <w:uiPriority w:val="99"/>
    <w:rPr>
      <w:u w:val="doub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en-GB" w:eastAsia="fr-FR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NormalCenteredChar">
    <w:name w:val="Normal Centered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character" w:customStyle="1" w:styleId="Point0Char">
    <w:name w:val="Point 0 Char"/>
    <w:uiPriority w:val="99"/>
    <w:locked/>
    <w:rPr>
      <w:rFonts w:ascii="Times New Roman" w:hAnsi="Times New Roman" w:cs="Times New Roman"/>
      <w:noProof/>
      <w:sz w:val="24"/>
      <w:lang w:val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val="en-GB" w:eastAsia="fr-FR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val="en-GB" w:eastAsia="fr-FR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en-GB" w:eastAsia="fr-FR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en-GB" w:eastAsia="fr-FR"/>
    </w:rPr>
  </w:style>
  <w:style w:type="character" w:styleId="PageNumber">
    <w:name w:val="page number"/>
    <w:uiPriority w:val="99"/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val="en-GB" w:eastAsia="fr-FR"/>
    </w:rPr>
  </w:style>
  <w:style w:type="paragraph" w:customStyle="1" w:styleId="Titredumodificateur">
    <w:name w:val="Titre du modificateur"/>
    <w:basedOn w:val="Normal"/>
    <w:next w:val="Normal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fr-FR"/>
    </w:rPr>
  </w:style>
  <w:style w:type="paragraph" w:customStyle="1" w:styleId="Referencedumodificateur">
    <w:name w:val="Reference du modificateur"/>
    <w:basedOn w:val="Normal"/>
    <w:next w:val="Normal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fr-FR"/>
    </w:rPr>
  </w:style>
  <w:style w:type="character" w:customStyle="1" w:styleId="CRMinorChangeDeleted">
    <w:name w:val="CR Minor Change Deleted"/>
    <w:uiPriority w:val="99"/>
    <w:rPr>
      <w:dstrike/>
      <w:u w:val="double"/>
      <w:lang w:val="en-GB" w:eastAsia="x-none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pPr>
      <w:autoSpaceDE w:val="0"/>
      <w:autoSpaceDN w:val="0"/>
    </w:pPr>
    <w:rPr>
      <w:rFonts w:ascii="Tahoma" w:eastAsia="Times New Roman" w:hAnsi="Tahoma" w:cs="Tahoma"/>
      <w:sz w:val="16"/>
      <w:szCs w:val="16"/>
      <w:lang w:val="en-GB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Statutprliminaire">
    <w:name w:val="Statu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szCs w:val="20"/>
      <w:lang w:val="en-GB" w:eastAsia="zh-CN"/>
    </w:rPr>
  </w:style>
  <w:style w:type="paragraph" w:customStyle="1" w:styleId="Titreobjetprliminaire">
    <w:name w:val="Titre objet (préliminaire)"/>
    <w:basedOn w:val="Normal"/>
    <w:next w:val="Normal"/>
    <w:uiPriority w:val="99"/>
    <w:pPr>
      <w:spacing w:before="360" w:after="36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Typedudocumentprliminaire">
    <w:name w:val="Type du document (préliminaire)"/>
    <w:basedOn w:val="Normal"/>
    <w:next w:val="Normal"/>
    <w:uiPriority w:val="99"/>
    <w:pPr>
      <w:spacing w:before="36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Sous-titreobjetprliminaire">
    <w:name w:val="Sous-titre objet (préliminaire)"/>
    <w:basedOn w:val="Normal"/>
    <w:uiPriority w:val="99"/>
    <w:pPr>
      <w:spacing w:before="0" w:after="0"/>
      <w:jc w:val="center"/>
    </w:pPr>
    <w:rPr>
      <w:rFonts w:eastAsia="Times New Roman"/>
      <w:b/>
      <w:szCs w:val="20"/>
      <w:lang w:val="en-GB" w:eastAsia="zh-CN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pPr>
      <w:spacing w:before="0" w:after="0"/>
      <w:ind w:left="5103"/>
      <w:jc w:val="left"/>
    </w:pPr>
    <w:rPr>
      <w:rFonts w:eastAsia="Times New Roman"/>
      <w:szCs w:val="20"/>
      <w:lang w:val="en-GB" w:eastAsia="zh-CN"/>
    </w:rPr>
  </w:style>
  <w:style w:type="paragraph" w:customStyle="1" w:styleId="hd">
    <w:name w:val="hd"/>
    <w:uiPriority w:val="99"/>
    <w:pPr>
      <w:widowControl w:val="0"/>
      <w:tabs>
        <w:tab w:val="left" w:pos="0"/>
        <w:tab w:val="left" w:pos="1440"/>
        <w:tab w:val="left" w:pos="2880"/>
        <w:tab w:val="left" w:pos="4320"/>
      </w:tabs>
      <w:spacing w:before="10" w:after="384" w:line="209" w:lineRule="atLeast"/>
      <w:jc w:val="center"/>
    </w:pPr>
    <w:rPr>
      <w:rFonts w:ascii="Thames" w:eastAsia="Times New Roman" w:hAnsi="Thames" w:cs="Times New Roman"/>
      <w:b/>
      <w:sz w:val="18"/>
      <w:u w:val="single"/>
      <w:lang w:eastAsia="en-GB"/>
    </w:rPr>
  </w:style>
  <w:style w:type="paragraph" w:styleId="Title">
    <w:name w:val="Title"/>
    <w:basedOn w:val="Normal"/>
    <w:link w:val="TitleChar"/>
    <w:uiPriority w:val="99"/>
    <w:qFormat/>
    <w:pPr>
      <w:spacing w:before="0" w:after="0"/>
      <w:jc w:val="center"/>
    </w:pPr>
    <w:rPr>
      <w:rFonts w:eastAsia="Times New Roman"/>
      <w:b/>
      <w:szCs w:val="20"/>
      <w:u w:val="single"/>
      <w:lang w:val="nl-BE" w:eastAsia="zh-CN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sz w:val="24"/>
      <w:szCs w:val="20"/>
      <w:u w:val="single"/>
      <w:lang w:val="nl-BE" w:eastAsia="zh-CN"/>
    </w:rPr>
  </w:style>
  <w:style w:type="paragraph" w:customStyle="1" w:styleId="Communicationtitre">
    <w:name w:val="Communication titre"/>
    <w:basedOn w:val="Normal"/>
    <w:next w:val="Normal"/>
    <w:uiPriority w:val="99"/>
    <w:pPr>
      <w:jc w:val="center"/>
    </w:pPr>
    <w:rPr>
      <w:rFonts w:eastAsia="Times New Roman"/>
      <w:b/>
      <w:szCs w:val="20"/>
      <w:u w:val="single"/>
      <w:lang w:val="en-GB" w:eastAsia="zh-CN"/>
    </w:rPr>
  </w:style>
  <w:style w:type="paragraph" w:styleId="ListBullet">
    <w:name w:val="List Bullet"/>
    <w:basedOn w:val="Normal"/>
    <w:uiPriority w:val="99"/>
    <w:pPr>
      <w:numPr>
        <w:numId w:val="2"/>
      </w:numPr>
    </w:pPr>
    <w:rPr>
      <w:rFonts w:eastAsia="Times New Roman"/>
      <w:szCs w:val="20"/>
      <w:lang w:val="en-GB" w:eastAsia="zh-CN"/>
    </w:rPr>
  </w:style>
  <w:style w:type="paragraph" w:styleId="ListBullet2">
    <w:name w:val="List Bullet 2"/>
    <w:basedOn w:val="Normal"/>
    <w:uiPriority w:val="99"/>
    <w:pPr>
      <w:numPr>
        <w:numId w:val="4"/>
      </w:numPr>
    </w:pPr>
    <w:rPr>
      <w:rFonts w:eastAsia="Times New Roman"/>
      <w:szCs w:val="20"/>
      <w:lang w:val="en-GB" w:eastAsia="zh-CN"/>
    </w:rPr>
  </w:style>
  <w:style w:type="paragraph" w:styleId="ListBullet3">
    <w:name w:val="List Bullet 3"/>
    <w:basedOn w:val="Normal"/>
    <w:uiPriority w:val="99"/>
    <w:pPr>
      <w:numPr>
        <w:numId w:val="5"/>
      </w:numPr>
    </w:pPr>
    <w:rPr>
      <w:rFonts w:eastAsia="Times New Roman"/>
      <w:szCs w:val="20"/>
      <w:lang w:val="en-GB" w:eastAsia="zh-CN"/>
    </w:rPr>
  </w:style>
  <w:style w:type="paragraph" w:styleId="ListBullet4">
    <w:name w:val="List Bullet 4"/>
    <w:basedOn w:val="Normal"/>
    <w:uiPriority w:val="99"/>
    <w:pPr>
      <w:numPr>
        <w:numId w:val="6"/>
      </w:numPr>
    </w:pPr>
    <w:rPr>
      <w:rFonts w:eastAsia="Times New Roman"/>
      <w:szCs w:val="20"/>
      <w:lang w:val="en-GB" w:eastAsia="zh-CN"/>
    </w:rPr>
  </w:style>
  <w:style w:type="paragraph" w:styleId="ListNumber">
    <w:name w:val="List Number"/>
    <w:basedOn w:val="Normal"/>
    <w:uiPriority w:val="99"/>
    <w:pPr>
      <w:numPr>
        <w:numId w:val="12"/>
      </w:numPr>
    </w:pPr>
    <w:rPr>
      <w:rFonts w:eastAsia="Times New Roman"/>
      <w:szCs w:val="20"/>
      <w:lang w:val="en-GB" w:eastAsia="zh-CN"/>
    </w:rPr>
  </w:style>
  <w:style w:type="paragraph" w:styleId="ListNumber2">
    <w:name w:val="List Number 2"/>
    <w:basedOn w:val="Normal"/>
    <w:uiPriority w:val="99"/>
    <w:pPr>
      <w:numPr>
        <w:numId w:val="14"/>
      </w:numPr>
    </w:pPr>
    <w:rPr>
      <w:rFonts w:eastAsia="Times New Roman"/>
      <w:szCs w:val="20"/>
      <w:lang w:val="en-GB" w:eastAsia="zh-CN"/>
    </w:rPr>
  </w:style>
  <w:style w:type="paragraph" w:styleId="ListNumber3">
    <w:name w:val="List Number 3"/>
    <w:basedOn w:val="Normal"/>
    <w:uiPriority w:val="99"/>
    <w:pPr>
      <w:numPr>
        <w:numId w:val="15"/>
      </w:numPr>
    </w:pPr>
    <w:rPr>
      <w:rFonts w:eastAsia="Times New Roman"/>
      <w:szCs w:val="20"/>
      <w:lang w:val="en-GB" w:eastAsia="zh-CN"/>
    </w:rPr>
  </w:style>
  <w:style w:type="paragraph" w:styleId="ListNumber4">
    <w:name w:val="List Number 4"/>
    <w:basedOn w:val="Normal"/>
    <w:uiPriority w:val="99"/>
    <w:pPr>
      <w:numPr>
        <w:numId w:val="16"/>
      </w:numPr>
    </w:pPr>
    <w:rPr>
      <w:rFonts w:eastAsia="Times New Roman"/>
      <w:szCs w:val="20"/>
      <w:lang w:val="en-GB" w:eastAsia="zh-CN"/>
    </w:rPr>
  </w:style>
  <w:style w:type="paragraph" w:customStyle="1" w:styleId="ListBullet1">
    <w:name w:val="List Bullet 1"/>
    <w:basedOn w:val="Normal"/>
    <w:uiPriority w:val="99"/>
    <w:pPr>
      <w:numPr>
        <w:numId w:val="3"/>
      </w:numPr>
    </w:pPr>
    <w:rPr>
      <w:rFonts w:eastAsia="Times New Roman"/>
      <w:szCs w:val="20"/>
      <w:lang w:val="en-GB" w:eastAsia="zh-CN"/>
    </w:rPr>
  </w:style>
  <w:style w:type="paragraph" w:customStyle="1" w:styleId="ListDash">
    <w:name w:val="List Dash"/>
    <w:basedOn w:val="Normal"/>
    <w:uiPriority w:val="99"/>
    <w:pPr>
      <w:numPr>
        <w:numId w:val="7"/>
      </w:numPr>
    </w:pPr>
    <w:rPr>
      <w:rFonts w:eastAsia="Times New Roman"/>
      <w:szCs w:val="20"/>
      <w:lang w:val="en-GB" w:eastAsia="zh-CN"/>
    </w:rPr>
  </w:style>
  <w:style w:type="paragraph" w:customStyle="1" w:styleId="ListDash1">
    <w:name w:val="List Dash 1"/>
    <w:basedOn w:val="Normal"/>
    <w:uiPriority w:val="99"/>
    <w:pPr>
      <w:numPr>
        <w:numId w:val="8"/>
      </w:numPr>
    </w:pPr>
    <w:rPr>
      <w:rFonts w:eastAsia="Times New Roman"/>
      <w:szCs w:val="20"/>
      <w:lang w:val="en-GB" w:eastAsia="zh-CN"/>
    </w:rPr>
  </w:style>
  <w:style w:type="paragraph" w:customStyle="1" w:styleId="ListDash2">
    <w:name w:val="List Dash 2"/>
    <w:basedOn w:val="Normal"/>
    <w:uiPriority w:val="99"/>
    <w:pPr>
      <w:numPr>
        <w:numId w:val="9"/>
      </w:numPr>
    </w:pPr>
    <w:rPr>
      <w:rFonts w:eastAsia="Times New Roman"/>
      <w:szCs w:val="20"/>
      <w:lang w:val="en-GB" w:eastAsia="zh-CN"/>
    </w:rPr>
  </w:style>
  <w:style w:type="paragraph" w:customStyle="1" w:styleId="ListDash3">
    <w:name w:val="List Dash 3"/>
    <w:basedOn w:val="Normal"/>
    <w:uiPriority w:val="99"/>
    <w:pPr>
      <w:numPr>
        <w:numId w:val="10"/>
      </w:numPr>
    </w:pPr>
    <w:rPr>
      <w:rFonts w:eastAsia="Times New Roman"/>
      <w:szCs w:val="20"/>
      <w:lang w:val="en-GB" w:eastAsia="zh-CN"/>
    </w:rPr>
  </w:style>
  <w:style w:type="paragraph" w:customStyle="1" w:styleId="ListDash4">
    <w:name w:val="List Dash 4"/>
    <w:basedOn w:val="Normal"/>
    <w:uiPriority w:val="99"/>
    <w:pPr>
      <w:numPr>
        <w:numId w:val="11"/>
      </w:numPr>
    </w:pPr>
    <w:rPr>
      <w:rFonts w:eastAsia="Times New Roman"/>
      <w:szCs w:val="20"/>
      <w:lang w:val="en-GB" w:eastAsia="zh-CN"/>
    </w:rPr>
  </w:style>
  <w:style w:type="paragraph" w:customStyle="1" w:styleId="ListNumber1">
    <w:name w:val="List Number 1"/>
    <w:basedOn w:val="Text1"/>
    <w:uiPriority w:val="99"/>
    <w:pPr>
      <w:numPr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6"/>
      </w:numPr>
    </w:pPr>
    <w:rPr>
      <w:rFonts w:eastAsia="Times New Roman"/>
      <w:szCs w:val="20"/>
      <w:lang w:val="en-GB" w:eastAsia="zh-C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6"/>
      </w:numPr>
    </w:pPr>
    <w:rPr>
      <w:rFonts w:eastAsia="Times New Roman"/>
      <w:szCs w:val="20"/>
      <w:lang w:val="en-GB" w:eastAsia="zh-C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2"/>
      </w:numPr>
    </w:pPr>
    <w:rPr>
      <w:rFonts w:eastAsia="Times New Roman"/>
      <w:szCs w:val="20"/>
      <w:lang w:val="en-GB" w:eastAsia="zh-CN"/>
    </w:r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3"/>
      </w:numPr>
    </w:pPr>
    <w:rPr>
      <w:rFonts w:eastAsia="Times New Roman"/>
      <w:szCs w:val="20"/>
      <w:lang w:val="en-GB" w:eastAsia="zh-CN"/>
    </w:r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4"/>
      </w:numPr>
    </w:pPr>
    <w:rPr>
      <w:rFonts w:eastAsia="Times New Roman"/>
      <w:szCs w:val="20"/>
      <w:lang w:val="en-GB" w:eastAsia="zh-CN"/>
    </w:r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5"/>
      </w:numPr>
    </w:pPr>
    <w:rPr>
      <w:rFonts w:eastAsia="Times New Roman"/>
      <w:szCs w:val="20"/>
      <w:lang w:val="en-GB" w:eastAsia="zh-CN"/>
    </w:r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6"/>
      </w:numPr>
    </w:pPr>
    <w:rPr>
      <w:rFonts w:eastAsia="Times New Roman"/>
      <w:szCs w:val="20"/>
      <w:lang w:val="en-GB" w:eastAsia="zh-C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uiPriority w:val="20"/>
    <w:qFormat/>
    <w:rPr>
      <w:i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Strong">
    <w:name w:val="Strong"/>
    <w:uiPriority w:val="22"/>
    <w:qFormat/>
    <w:rPr>
      <w:b/>
    </w:rPr>
  </w:style>
  <w:style w:type="paragraph" w:customStyle="1" w:styleId="Clear">
    <w:name w:val="Clear"/>
    <w:basedOn w:val="Point0"/>
    <w:link w:val="ClearChar"/>
    <w:uiPriority w:val="99"/>
    <w:pPr>
      <w:autoSpaceDE w:val="0"/>
      <w:autoSpaceDN w:val="0"/>
      <w:ind w:left="851" w:hanging="851"/>
    </w:pPr>
    <w:rPr>
      <w:rFonts w:eastAsia="Times New Roman"/>
      <w:color w:val="FF0000"/>
      <w:szCs w:val="24"/>
      <w:lang w:val="en-GB" w:eastAsia="fr-FR"/>
    </w:rPr>
  </w:style>
  <w:style w:type="character" w:customStyle="1" w:styleId="ClearChar">
    <w:name w:val="Clear Char"/>
    <w:link w:val="Clear"/>
    <w:uiPriority w:val="99"/>
    <w:locked/>
    <w:rPr>
      <w:rFonts w:ascii="Times New Roman" w:eastAsia="Times New Roman" w:hAnsi="Times New Roman" w:cs="Times New Roman"/>
      <w:color w:val="FF0000"/>
      <w:sz w:val="24"/>
      <w:szCs w:val="24"/>
      <w:lang w:val="en-GB" w:eastAsia="fr-FR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Lignefinal">
    <w:name w:val="Ligne final"/>
    <w:basedOn w:val="Normal"/>
    <w:next w:val="Normal"/>
    <w:uiPriority w:val="99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eastAsia="Times New Roman"/>
      <w:b/>
      <w:szCs w:val="24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eastAsia="Times New Roman" w:hAnsi="Calibri"/>
      <w:sz w:val="22"/>
      <w:lang w:val="en-GB" w:eastAsia="fr-FR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  <w:lang w:val="en-GB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/>
      <w:jc w:val="left"/>
    </w:pPr>
    <w:rPr>
      <w:rFonts w:ascii="Calibri" w:eastAsia="Calibri" w:hAnsi="Calibri"/>
      <w:sz w:val="22"/>
      <w:szCs w:val="21"/>
      <w:lang w:val="en-GB" w:eastAsia="fr-FR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en-GB" w:eastAsia="fr-FR"/>
    </w:rPr>
  </w:style>
  <w:style w:type="character" w:customStyle="1" w:styleId="boldface">
    <w:name w:val="boldface"/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2"/>
      </w:numPr>
    </w:pPr>
  </w:style>
  <w:style w:type="paragraph" w:customStyle="1" w:styleId="Tiret1">
    <w:name w:val="Tiret 1"/>
    <w:basedOn w:val="Point1"/>
    <w:pPr>
      <w:numPr>
        <w:numId w:val="33"/>
      </w:numPr>
    </w:pPr>
  </w:style>
  <w:style w:type="paragraph" w:customStyle="1" w:styleId="Tiret2">
    <w:name w:val="Tiret 2"/>
    <w:basedOn w:val="Point2"/>
    <w:pPr>
      <w:numPr>
        <w:numId w:val="34"/>
      </w:numPr>
    </w:pPr>
  </w:style>
  <w:style w:type="paragraph" w:customStyle="1" w:styleId="Tiret3">
    <w:name w:val="Tiret 3"/>
    <w:basedOn w:val="Point3"/>
    <w:pPr>
      <w:numPr>
        <w:numId w:val="35"/>
      </w:numPr>
    </w:pPr>
  </w:style>
  <w:style w:type="paragraph" w:customStyle="1" w:styleId="Tiret4">
    <w:name w:val="Tiret 4"/>
    <w:basedOn w:val="Point4"/>
    <w:pPr>
      <w:numPr>
        <w:numId w:val="3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9"/>
      </w:numPr>
    </w:pPr>
  </w:style>
  <w:style w:type="paragraph" w:customStyle="1" w:styleId="Point1number">
    <w:name w:val="Point 1 (number)"/>
    <w:basedOn w:val="Normal"/>
    <w:pPr>
      <w:numPr>
        <w:ilvl w:val="2"/>
        <w:numId w:val="39"/>
      </w:numPr>
    </w:pPr>
  </w:style>
  <w:style w:type="paragraph" w:customStyle="1" w:styleId="Point2number">
    <w:name w:val="Point 2 (number)"/>
    <w:basedOn w:val="Normal"/>
    <w:pPr>
      <w:numPr>
        <w:ilvl w:val="4"/>
        <w:numId w:val="39"/>
      </w:numPr>
    </w:pPr>
  </w:style>
  <w:style w:type="paragraph" w:customStyle="1" w:styleId="Point3number">
    <w:name w:val="Point 3 (number)"/>
    <w:basedOn w:val="Normal"/>
    <w:pPr>
      <w:numPr>
        <w:ilvl w:val="6"/>
        <w:numId w:val="39"/>
      </w:numPr>
    </w:pPr>
  </w:style>
  <w:style w:type="paragraph" w:customStyle="1" w:styleId="Point0letter">
    <w:name w:val="Point 0 (letter)"/>
    <w:basedOn w:val="Normal"/>
    <w:pPr>
      <w:numPr>
        <w:ilvl w:val="1"/>
        <w:numId w:val="39"/>
      </w:numPr>
    </w:pPr>
  </w:style>
  <w:style w:type="paragraph" w:customStyle="1" w:styleId="Point1letter">
    <w:name w:val="Point 1 (letter)"/>
    <w:basedOn w:val="Normal"/>
    <w:pPr>
      <w:numPr>
        <w:ilvl w:val="3"/>
        <w:numId w:val="39"/>
      </w:numPr>
    </w:pPr>
  </w:style>
  <w:style w:type="paragraph" w:customStyle="1" w:styleId="Point2letter">
    <w:name w:val="Point 2 (letter)"/>
    <w:basedOn w:val="Normal"/>
    <w:pPr>
      <w:numPr>
        <w:ilvl w:val="5"/>
        <w:numId w:val="39"/>
      </w:numPr>
    </w:pPr>
  </w:style>
  <w:style w:type="paragraph" w:customStyle="1" w:styleId="Point3letter">
    <w:name w:val="Point 3 (letter)"/>
    <w:basedOn w:val="Normal"/>
    <w:pPr>
      <w:numPr>
        <w:ilvl w:val="7"/>
        <w:numId w:val="39"/>
      </w:numPr>
    </w:pPr>
  </w:style>
  <w:style w:type="paragraph" w:customStyle="1" w:styleId="Point4letter">
    <w:name w:val="Point 4 (letter)"/>
    <w:basedOn w:val="Normal"/>
    <w:pPr>
      <w:numPr>
        <w:ilvl w:val="8"/>
        <w:numId w:val="39"/>
      </w:numPr>
    </w:pPr>
  </w:style>
  <w:style w:type="paragraph" w:customStyle="1" w:styleId="Bullet0">
    <w:name w:val="Bullet 0"/>
    <w:basedOn w:val="Normal"/>
    <w:pPr>
      <w:numPr>
        <w:numId w:val="40"/>
      </w:numPr>
    </w:pPr>
  </w:style>
  <w:style w:type="paragraph" w:customStyle="1" w:styleId="Bullet1">
    <w:name w:val="Bullet 1"/>
    <w:basedOn w:val="Normal"/>
    <w:pPr>
      <w:numPr>
        <w:numId w:val="41"/>
      </w:numPr>
    </w:pPr>
  </w:style>
  <w:style w:type="paragraph" w:customStyle="1" w:styleId="Bullet2">
    <w:name w:val="Bullet 2"/>
    <w:basedOn w:val="Normal"/>
    <w:pPr>
      <w:numPr>
        <w:numId w:val="42"/>
      </w:numPr>
    </w:pPr>
  </w:style>
  <w:style w:type="paragraph" w:customStyle="1" w:styleId="Bullet3">
    <w:name w:val="Bullet 3"/>
    <w:basedOn w:val="Normal"/>
    <w:pPr>
      <w:numPr>
        <w:numId w:val="43"/>
      </w:numPr>
    </w:pPr>
  </w:style>
  <w:style w:type="paragraph" w:customStyle="1" w:styleId="Bullet4">
    <w:name w:val="Bullet 4"/>
    <w:basedOn w:val="Normal"/>
    <w:pPr>
      <w:numPr>
        <w:numId w:val="4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FB1F-0E1C-4CBB-9FB5-4C80947C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19</Pages>
  <Words>2172</Words>
  <Characters>11428</Characters>
  <Application>Microsoft Office Word</Application>
  <DocSecurity>0</DocSecurity>
  <Lines>2285</Lines>
  <Paragraphs>799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MEERT Viviane (SJ)</dc:creator>
  <cp:lastModifiedBy>DIGIT/A3</cp:lastModifiedBy>
  <cp:revision>7</cp:revision>
  <cp:lastPrinted>2015-10-21T13:58:00Z</cp:lastPrinted>
  <dcterms:created xsi:type="dcterms:W3CDTF">2015-10-29T11:51:00Z</dcterms:created>
  <dcterms:modified xsi:type="dcterms:W3CDTF">2015-11-24T14:17:00Z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4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LWCR Document">
    <vt:lpwstr>True</vt:lpwstr>
  </property>
  <property fmtid="{D5CDD505-2E9C-101B-9397-08002B2CF9AE}" pid="13" name="LWCR Version">
    <vt:lpwstr>1.6.413</vt:lpwstr>
  </property>
  <property fmtid="{D5CDD505-2E9C-101B-9397-08002B2CF9AE}" pid="14" name="LWCR IsRefonte">
    <vt:lpwstr>False</vt:lpwstr>
  </property>
  <property fmtid="{D5CDD505-2E9C-101B-9397-08002B2CF9AE}" pid="15" name="DQCStatus">
    <vt:lpwstr>Green (DQC version 03)</vt:lpwstr>
  </property>
</Properties>
</file>