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fr-BE"/>
        </w:rPr>
      </w:pPr>
      <w:r>
        <w:rPr>
          <w:noProof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1F7D93296954D27ABBE54096D7B7AE7" style="width:450.35pt;height:428.6pt">
            <v:imagedata r:id="rId9" o:title=""/>
          </v:shape>
        </w:pict>
      </w:r>
    </w:p>
    <w:p>
      <w:pPr>
        <w:pStyle w:val="Pagedecouverture"/>
        <w:rPr>
          <w:noProof/>
          <w:lang w:val="fr-B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  <w:lang w:val="fr-BE"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2012/30/EC (адаптиран)</w:t>
      </w:r>
    </w:p>
    <w:p>
      <w:pPr>
        <w:pStyle w:val="Annexetitre"/>
        <w:rPr>
          <w:noProof/>
        </w:rPr>
      </w:pPr>
      <w:r>
        <w:rPr>
          <w:noProof/>
        </w:rPr>
        <w:t>ПРИЛОЖЕНИЕ </w:t>
      </w:r>
      <w:r>
        <w:rPr>
          <w:noProof/>
          <w:lang w:val="fr-BE"/>
        </w:rPr>
        <w:t>I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 xml:space="preserve">Видове дружества, посочени в 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Ö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Ö</w:t>
      </w:r>
      <w:r>
        <w:rPr>
          <w:b/>
          <w:noProof/>
        </w:rPr>
        <w:fldChar w:fldCharType="end"/>
      </w:r>
      <w:r>
        <w:rPr>
          <w:b/>
          <w:noProof/>
        </w:rPr>
        <w:t> член 2, параграфи 1 и 2, член 3, член 43, член 44, параграф 2, член 86, параграф 1 и член 135, параграф 1 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Õ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Õ</w:t>
      </w:r>
      <w:r>
        <w:rPr>
          <w:b/>
          <w:noProof/>
        </w:rPr>
        <w:fldChar w:fldCharType="end"/>
      </w:r>
    </w:p>
    <w:p>
      <w:pPr>
        <w:pStyle w:val="Tiret0"/>
        <w:numPr>
          <w:ilvl w:val="0"/>
          <w:numId w:val="17"/>
        </w:numPr>
        <w:ind w:left="851"/>
        <w:rPr>
          <w:noProof/>
        </w:rPr>
      </w:pPr>
      <w:r>
        <w:rPr>
          <w:noProof/>
        </w:rPr>
        <w:t>В Белгия:</w:t>
      </w:r>
    </w:p>
    <w:p>
      <w:pPr>
        <w:pStyle w:val="Text1"/>
        <w:rPr>
          <w:noProof/>
        </w:rPr>
      </w:pPr>
      <w:r>
        <w:rPr>
          <w:noProof/>
        </w:rPr>
        <w:t>société anonyme</w:t>
      </w:r>
      <w:r>
        <w:rPr>
          <w:noProof/>
          <w:lang w:val="en-GB"/>
        </w:rPr>
        <w:t> </w:t>
      </w:r>
      <w:r>
        <w:rPr>
          <w:noProof/>
        </w:rPr>
        <w:t>/</w:t>
      </w:r>
      <w:r>
        <w:rPr>
          <w:noProof/>
          <w:lang w:val="en-GB"/>
        </w:rPr>
        <w:t> </w:t>
      </w:r>
      <w:r>
        <w:rPr>
          <w:noProof/>
        </w:rPr>
        <w:t>naamloze vennootschap;</w:t>
      </w:r>
    </w:p>
    <w:p>
      <w:pPr>
        <w:pStyle w:val="Tiret0"/>
        <w:ind w:left="851"/>
        <w:rPr>
          <w:noProof/>
        </w:rPr>
      </w:pPr>
      <w:r>
        <w:rPr>
          <w:noProof/>
        </w:rPr>
        <w:t>в България:</w:t>
      </w:r>
    </w:p>
    <w:p>
      <w:pPr>
        <w:pStyle w:val="Text1"/>
        <w:rPr>
          <w:noProof/>
        </w:rPr>
      </w:pPr>
      <w:r>
        <w:rPr>
          <w:noProof/>
        </w:rPr>
        <w:t>акционерно дружество;</w:t>
      </w:r>
    </w:p>
    <w:p>
      <w:pPr>
        <w:pStyle w:val="Tiret0"/>
        <w:ind w:left="851"/>
        <w:rPr>
          <w:noProof/>
        </w:rPr>
      </w:pPr>
      <w:r>
        <w:rPr>
          <w:noProof/>
        </w:rPr>
        <w:t>в Чешката република:</w:t>
      </w:r>
    </w:p>
    <w:p>
      <w:pPr>
        <w:pStyle w:val="Text1"/>
        <w:rPr>
          <w:noProof/>
        </w:rPr>
      </w:pPr>
      <w:r>
        <w:rPr>
          <w:noProof/>
        </w:rPr>
        <w:t>akciová společnost;</w:t>
      </w:r>
    </w:p>
    <w:p>
      <w:pPr>
        <w:pStyle w:val="Tiret0"/>
        <w:ind w:left="851"/>
        <w:rPr>
          <w:noProof/>
        </w:rPr>
      </w:pPr>
      <w:r>
        <w:rPr>
          <w:noProof/>
        </w:rPr>
        <w:t>в Дания:</w:t>
      </w:r>
    </w:p>
    <w:p>
      <w:pPr>
        <w:pStyle w:val="Text1"/>
        <w:rPr>
          <w:noProof/>
        </w:rPr>
      </w:pPr>
      <w:r>
        <w:rPr>
          <w:noProof/>
        </w:rPr>
        <w:t>aktieselskab;</w:t>
      </w:r>
    </w:p>
    <w:p>
      <w:pPr>
        <w:pStyle w:val="Tiret0"/>
        <w:ind w:left="851"/>
        <w:rPr>
          <w:noProof/>
        </w:rPr>
      </w:pPr>
      <w:r>
        <w:rPr>
          <w:noProof/>
        </w:rPr>
        <w:t>в Германия:</w:t>
      </w:r>
    </w:p>
    <w:p>
      <w:pPr>
        <w:pStyle w:val="Text1"/>
        <w:rPr>
          <w:noProof/>
        </w:rPr>
      </w:pPr>
      <w:r>
        <w:rPr>
          <w:noProof/>
        </w:rPr>
        <w:t>Aktiengesellschaft;</w:t>
      </w:r>
    </w:p>
    <w:p>
      <w:pPr>
        <w:pStyle w:val="Tiret0"/>
        <w:ind w:left="851"/>
        <w:rPr>
          <w:noProof/>
        </w:rPr>
      </w:pPr>
      <w:r>
        <w:rPr>
          <w:noProof/>
        </w:rPr>
        <w:t>в Естония:</w:t>
      </w:r>
    </w:p>
    <w:p>
      <w:pPr>
        <w:pStyle w:val="Text1"/>
        <w:rPr>
          <w:noProof/>
        </w:rPr>
      </w:pPr>
      <w:r>
        <w:rPr>
          <w:noProof/>
        </w:rPr>
        <w:t>aktsiaselts;</w:t>
      </w:r>
    </w:p>
    <w:p>
      <w:pPr>
        <w:pStyle w:val="Tiret0"/>
        <w:ind w:left="851"/>
        <w:rPr>
          <w:noProof/>
        </w:rPr>
      </w:pPr>
      <w:r>
        <w:rPr>
          <w:noProof/>
        </w:rPr>
        <w:t>в Ирландия:</w:t>
      </w:r>
    </w:p>
    <w:p>
      <w:pPr>
        <w:pStyle w:val="Text1"/>
        <w:rPr>
          <w:noProof/>
        </w:rPr>
      </w:pPr>
      <w:r>
        <w:rPr>
          <w:noProof/>
        </w:rPr>
        <w:t>public company limited by shares,</w:t>
      </w:r>
    </w:p>
    <w:p>
      <w:pPr>
        <w:pStyle w:val="Text1"/>
        <w:rPr>
          <w:noProof/>
        </w:rPr>
      </w:pPr>
      <w:r>
        <w:rPr>
          <w:noProof/>
        </w:rPr>
        <w:t>public company limited by guarantee and having a share capital;</w:t>
      </w:r>
    </w:p>
    <w:p>
      <w:pPr>
        <w:pStyle w:val="Tiret0"/>
        <w:ind w:left="851"/>
        <w:rPr>
          <w:noProof/>
        </w:rPr>
      </w:pPr>
      <w:r>
        <w:rPr>
          <w:noProof/>
        </w:rPr>
        <w:t>за Гърция:</w:t>
      </w:r>
    </w:p>
    <w:p>
      <w:pPr>
        <w:pStyle w:val="Text1"/>
        <w:rPr>
          <w:noProof/>
        </w:rPr>
      </w:pPr>
      <w:r>
        <w:rPr>
          <w:noProof/>
        </w:rPr>
        <w:t>ανώνυμη εταιρεία;</w:t>
      </w:r>
    </w:p>
    <w:p>
      <w:pPr>
        <w:pStyle w:val="Tiret0"/>
        <w:ind w:left="851"/>
        <w:rPr>
          <w:noProof/>
        </w:rPr>
      </w:pPr>
      <w:r>
        <w:rPr>
          <w:noProof/>
        </w:rPr>
        <w:t>в Испания:</w:t>
      </w:r>
    </w:p>
    <w:p>
      <w:pPr>
        <w:pStyle w:val="Text1"/>
        <w:rPr>
          <w:noProof/>
        </w:rPr>
      </w:pPr>
      <w:r>
        <w:rPr>
          <w:noProof/>
        </w:rPr>
        <w:t>sociedad anónima;</w:t>
      </w:r>
    </w:p>
    <w:p>
      <w:pPr>
        <w:pStyle w:val="Tiret0"/>
        <w:ind w:left="851"/>
        <w:rPr>
          <w:noProof/>
        </w:rPr>
      </w:pPr>
      <w:r>
        <w:rPr>
          <w:noProof/>
        </w:rPr>
        <w:t>във Франция:</w:t>
      </w:r>
    </w:p>
    <w:p>
      <w:pPr>
        <w:pStyle w:val="Text1"/>
        <w:rPr>
          <w:noProof/>
          <w:lang w:val="fr-BE"/>
        </w:rPr>
      </w:pPr>
      <w:r>
        <w:rPr>
          <w:noProof/>
        </w:rPr>
        <w:t>société anonyme;</w:t>
      </w:r>
    </w:p>
    <w:p>
      <w:pPr>
        <w:pStyle w:val="CRSeparator"/>
        <w:rPr>
          <w:noProof/>
          <w:lang w:val="fr-BE"/>
        </w:rPr>
      </w:pPr>
    </w:p>
    <w:p>
      <w:pPr>
        <w:pStyle w:val="CRReference"/>
        <w:rPr>
          <w:noProof/>
          <w:lang w:val="fr-BE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2013/24/EC</w:t>
      </w:r>
    </w:p>
    <w:p>
      <w:pPr>
        <w:pStyle w:val="Tiret0"/>
        <w:ind w:left="851"/>
        <w:rPr>
          <w:noProof/>
        </w:rPr>
      </w:pPr>
      <w:r>
        <w:rPr>
          <w:noProof/>
        </w:rPr>
        <w:t>в Хърватия:</w:t>
      </w:r>
    </w:p>
    <w:p>
      <w:pPr>
        <w:pStyle w:val="Text1"/>
        <w:rPr>
          <w:noProof/>
          <w:lang w:val="fr-BE"/>
        </w:rPr>
      </w:pPr>
      <w:r>
        <w:rPr>
          <w:noProof/>
        </w:rPr>
        <w:t>dioničko društvo;</w:t>
      </w:r>
    </w:p>
    <w:p>
      <w:pPr>
        <w:pStyle w:val="CRSeparator"/>
        <w:rPr>
          <w:noProof/>
          <w:lang w:val="fr-BE"/>
        </w:rPr>
      </w:pPr>
    </w:p>
    <w:p>
      <w:pPr>
        <w:pStyle w:val="CRReference"/>
        <w:rPr>
          <w:noProof/>
          <w:lang w:val="fr-BE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2012/30/EC (адаптиран)</w:t>
      </w:r>
    </w:p>
    <w:p>
      <w:pPr>
        <w:pStyle w:val="Tiret0"/>
        <w:ind w:left="851"/>
        <w:rPr>
          <w:noProof/>
        </w:rPr>
      </w:pPr>
      <w:r>
        <w:rPr>
          <w:noProof/>
        </w:rPr>
        <w:t>в Италия:</w:t>
      </w:r>
    </w:p>
    <w:p>
      <w:pPr>
        <w:pStyle w:val="Text1"/>
        <w:rPr>
          <w:noProof/>
        </w:rPr>
      </w:pPr>
      <w:r>
        <w:rPr>
          <w:noProof/>
        </w:rPr>
        <w:t>società per azioni;</w:t>
      </w:r>
    </w:p>
    <w:p>
      <w:pPr>
        <w:pStyle w:val="Tiret0"/>
        <w:ind w:left="851"/>
        <w:rPr>
          <w:noProof/>
        </w:rPr>
      </w:pPr>
      <w:r>
        <w:rPr>
          <w:noProof/>
        </w:rPr>
        <w:t>в Кипър:</w:t>
      </w:r>
    </w:p>
    <w:p>
      <w:pPr>
        <w:pStyle w:val="Text1"/>
        <w:rPr>
          <w:noProof/>
          <w:lang w:val="el-GR"/>
        </w:rPr>
      </w:pPr>
      <w:r>
        <w:rPr>
          <w:noProof/>
        </w:rPr>
        <w:t>δημόσιες εταιρείες περιορισμένης ευθύνης με μετοχές,</w:t>
      </w:r>
    </w:p>
    <w:p>
      <w:pPr>
        <w:pStyle w:val="Text1"/>
        <w:rPr>
          <w:noProof/>
        </w:rPr>
      </w:pPr>
      <w:r>
        <w:rPr>
          <w:noProof/>
        </w:rPr>
        <w:t>δημόσιες εταιρείες περιορισμένης ευθύνης με εγγύηση που διαθέτουν μετοχικό κεφάλαιο;</w:t>
      </w:r>
    </w:p>
    <w:p>
      <w:pPr>
        <w:pStyle w:val="Tiret0"/>
        <w:ind w:left="851"/>
        <w:rPr>
          <w:noProof/>
        </w:rPr>
      </w:pPr>
      <w:r>
        <w:rPr>
          <w:noProof/>
        </w:rPr>
        <w:t>в Латвия:</w:t>
      </w:r>
    </w:p>
    <w:p>
      <w:pPr>
        <w:pStyle w:val="Text1"/>
        <w:rPr>
          <w:noProof/>
        </w:rPr>
      </w:pPr>
      <w:r>
        <w:rPr>
          <w:noProof/>
        </w:rPr>
        <w:t>akciju sabiedrība;</w:t>
      </w:r>
    </w:p>
    <w:p>
      <w:pPr>
        <w:pStyle w:val="Tiret0"/>
        <w:ind w:left="851"/>
        <w:rPr>
          <w:noProof/>
        </w:rPr>
      </w:pPr>
      <w:r>
        <w:rPr>
          <w:noProof/>
        </w:rPr>
        <w:t>в Литва:</w:t>
      </w:r>
    </w:p>
    <w:p>
      <w:pPr>
        <w:pStyle w:val="Text1"/>
        <w:rPr>
          <w:noProof/>
        </w:rPr>
      </w:pPr>
      <w:r>
        <w:rPr>
          <w:noProof/>
        </w:rPr>
        <w:t>akcinė bendrovė;</w:t>
      </w:r>
    </w:p>
    <w:p>
      <w:pPr>
        <w:pStyle w:val="Tiret0"/>
        <w:ind w:left="851"/>
        <w:rPr>
          <w:noProof/>
        </w:rPr>
      </w:pPr>
      <w:r>
        <w:rPr>
          <w:noProof/>
        </w:rPr>
        <w:t>в Люксембург:</w:t>
      </w:r>
    </w:p>
    <w:p>
      <w:pPr>
        <w:pStyle w:val="Text1"/>
        <w:rPr>
          <w:noProof/>
        </w:rPr>
      </w:pPr>
      <w:r>
        <w:rPr>
          <w:noProof/>
        </w:rPr>
        <w:t>société anonyme;</w:t>
      </w:r>
    </w:p>
    <w:p>
      <w:pPr>
        <w:pStyle w:val="Tiret0"/>
        <w:ind w:left="851"/>
        <w:rPr>
          <w:noProof/>
        </w:rPr>
      </w:pPr>
      <w:r>
        <w:rPr>
          <w:noProof/>
        </w:rPr>
        <w:t>в Унгария:</w:t>
      </w:r>
    </w:p>
    <w:p>
      <w:pPr>
        <w:pStyle w:val="Text1"/>
        <w:rPr>
          <w:noProof/>
        </w:rPr>
      </w:pPr>
      <w:r>
        <w:rPr>
          <w:noProof/>
        </w:rPr>
        <w:t>nyilvánosan működő részvénytársaság;</w:t>
      </w:r>
    </w:p>
    <w:p>
      <w:pPr>
        <w:pStyle w:val="Tiret0"/>
        <w:ind w:left="851"/>
        <w:rPr>
          <w:noProof/>
        </w:rPr>
      </w:pPr>
      <w:r>
        <w:rPr>
          <w:noProof/>
        </w:rPr>
        <w:t>в Малта:</w:t>
      </w:r>
    </w:p>
    <w:p>
      <w:pPr>
        <w:pStyle w:val="Text1"/>
        <w:rPr>
          <w:noProof/>
        </w:rPr>
      </w:pPr>
      <w:r>
        <w:rPr>
          <w:noProof/>
        </w:rPr>
        <w:t>kumpanija pubblika</w:t>
      </w:r>
      <w:r>
        <w:rPr>
          <w:noProof/>
          <w:lang w:val="en-GB"/>
        </w:rPr>
        <w:t> </w:t>
      </w:r>
      <w:r>
        <w:rPr>
          <w:noProof/>
        </w:rPr>
        <w:t>/</w:t>
      </w:r>
      <w:r>
        <w:rPr>
          <w:noProof/>
          <w:lang w:val="en-GB"/>
        </w:rPr>
        <w:t> </w:t>
      </w:r>
      <w:r>
        <w:rPr>
          <w:noProof/>
        </w:rPr>
        <w:t>Public limited liability company;</w:t>
      </w:r>
    </w:p>
    <w:p>
      <w:pPr>
        <w:pStyle w:val="Tiret0"/>
        <w:ind w:left="851"/>
        <w:rPr>
          <w:noProof/>
        </w:rPr>
      </w:pPr>
      <w:r>
        <w:rPr>
          <w:noProof/>
        </w:rPr>
        <w:t>в Нидерландия:</w:t>
      </w:r>
    </w:p>
    <w:p>
      <w:pPr>
        <w:pStyle w:val="Text1"/>
        <w:rPr>
          <w:noProof/>
        </w:rPr>
      </w:pPr>
      <w:r>
        <w:rPr>
          <w:noProof/>
        </w:rPr>
        <w:t>naamloze vennootschap;</w:t>
      </w:r>
    </w:p>
    <w:p>
      <w:pPr>
        <w:pStyle w:val="Tiret0"/>
        <w:ind w:left="851"/>
        <w:rPr>
          <w:noProof/>
        </w:rPr>
      </w:pPr>
      <w:r>
        <w:rPr>
          <w:noProof/>
        </w:rPr>
        <w:t>в Австрия:</w:t>
      </w:r>
    </w:p>
    <w:p>
      <w:pPr>
        <w:pStyle w:val="Text1"/>
        <w:rPr>
          <w:noProof/>
        </w:rPr>
      </w:pPr>
      <w:r>
        <w:rPr>
          <w:noProof/>
        </w:rPr>
        <w:t>Aktiengesellschaft;</w:t>
      </w:r>
    </w:p>
    <w:p>
      <w:pPr>
        <w:pStyle w:val="Tiret0"/>
        <w:ind w:left="851"/>
        <w:rPr>
          <w:noProof/>
        </w:rPr>
      </w:pPr>
      <w:r>
        <w:rPr>
          <w:noProof/>
        </w:rPr>
        <w:t>в Полша:</w:t>
      </w:r>
    </w:p>
    <w:p>
      <w:pPr>
        <w:pStyle w:val="Text1"/>
        <w:rPr>
          <w:noProof/>
        </w:rPr>
      </w:pPr>
      <w:r>
        <w:rPr>
          <w:noProof/>
        </w:rPr>
        <w:t>spółka akcyjna;</w:t>
      </w:r>
    </w:p>
    <w:p>
      <w:pPr>
        <w:pStyle w:val="Tiret0"/>
        <w:ind w:left="851"/>
        <w:rPr>
          <w:noProof/>
        </w:rPr>
      </w:pPr>
      <w:r>
        <w:rPr>
          <w:noProof/>
        </w:rPr>
        <w:t>в Португалия:</w:t>
      </w:r>
    </w:p>
    <w:p>
      <w:pPr>
        <w:pStyle w:val="Text1"/>
        <w:rPr>
          <w:noProof/>
        </w:rPr>
      </w:pPr>
      <w:r>
        <w:rPr>
          <w:noProof/>
        </w:rPr>
        <w:t>sociedade anónima;</w:t>
      </w:r>
    </w:p>
    <w:p>
      <w:pPr>
        <w:pStyle w:val="Tiret0"/>
        <w:ind w:left="851"/>
        <w:rPr>
          <w:noProof/>
        </w:rPr>
      </w:pPr>
      <w:r>
        <w:rPr>
          <w:noProof/>
        </w:rPr>
        <w:t>в Румъния:</w:t>
      </w:r>
    </w:p>
    <w:p>
      <w:pPr>
        <w:pStyle w:val="Text1"/>
        <w:rPr>
          <w:noProof/>
        </w:rPr>
      </w:pPr>
      <w:r>
        <w:rPr>
          <w:noProof/>
        </w:rPr>
        <w:t>societate pe acțiuni;</w:t>
      </w:r>
    </w:p>
    <w:p>
      <w:pPr>
        <w:pStyle w:val="Tiret0"/>
        <w:ind w:left="851"/>
        <w:rPr>
          <w:noProof/>
        </w:rPr>
      </w:pPr>
      <w:r>
        <w:rPr>
          <w:noProof/>
        </w:rPr>
        <w:t>в Словения:</w:t>
      </w:r>
    </w:p>
    <w:p>
      <w:pPr>
        <w:pStyle w:val="Text1"/>
        <w:rPr>
          <w:noProof/>
        </w:rPr>
      </w:pPr>
      <w:r>
        <w:rPr>
          <w:noProof/>
        </w:rPr>
        <w:t>delniška družba;</w:t>
      </w:r>
    </w:p>
    <w:p>
      <w:pPr>
        <w:pStyle w:val="Tiret0"/>
        <w:ind w:left="851"/>
        <w:rPr>
          <w:noProof/>
        </w:rPr>
      </w:pPr>
      <w:r>
        <w:rPr>
          <w:noProof/>
        </w:rPr>
        <w:t>в Словакия:</w:t>
      </w:r>
    </w:p>
    <w:p>
      <w:pPr>
        <w:pStyle w:val="Text1"/>
        <w:rPr>
          <w:noProof/>
        </w:rPr>
      </w:pPr>
      <w:r>
        <w:rPr>
          <w:noProof/>
        </w:rPr>
        <w:t>akciová spoločnosť;</w:t>
      </w:r>
    </w:p>
    <w:p>
      <w:pPr>
        <w:pStyle w:val="Tiret0"/>
        <w:ind w:left="851"/>
        <w:rPr>
          <w:noProof/>
        </w:rPr>
      </w:pPr>
      <w:r>
        <w:rPr>
          <w:noProof/>
        </w:rPr>
        <w:t>във Финландия:</w:t>
      </w:r>
    </w:p>
    <w:p>
      <w:pPr>
        <w:pStyle w:val="Text1"/>
        <w:rPr>
          <w:noProof/>
        </w:rPr>
      </w:pPr>
      <w:r>
        <w:rPr>
          <w:noProof/>
        </w:rPr>
        <w:t>julkinen osakeyhtiö</w:t>
      </w:r>
      <w:r>
        <w:rPr>
          <w:noProof/>
          <w:lang w:val="en-GB"/>
        </w:rPr>
        <w:t> </w:t>
      </w:r>
      <w:r>
        <w:rPr>
          <w:noProof/>
        </w:rPr>
        <w:t>/</w:t>
      </w:r>
      <w:r>
        <w:rPr>
          <w:noProof/>
          <w:lang w:val="en-GB"/>
        </w:rPr>
        <w:t> </w:t>
      </w:r>
      <w:r>
        <w:rPr>
          <w:noProof/>
        </w:rPr>
        <w:t>publikt aktiebolag;</w:t>
      </w:r>
    </w:p>
    <w:p>
      <w:pPr>
        <w:pStyle w:val="Tiret0"/>
        <w:ind w:left="851"/>
        <w:rPr>
          <w:noProof/>
        </w:rPr>
      </w:pPr>
      <w:r>
        <w:rPr>
          <w:noProof/>
        </w:rPr>
        <w:lastRenderedPageBreak/>
        <w:t>в Швеция:</w:t>
      </w:r>
    </w:p>
    <w:p>
      <w:pPr>
        <w:pStyle w:val="Text1"/>
        <w:rPr>
          <w:noProof/>
        </w:rPr>
      </w:pPr>
      <w:r>
        <w:rPr>
          <w:noProof/>
        </w:rPr>
        <w:t>aktiebolag;</w:t>
      </w:r>
    </w:p>
    <w:p>
      <w:pPr>
        <w:pStyle w:val="Tiret0"/>
        <w:ind w:left="851"/>
        <w:rPr>
          <w:noProof/>
        </w:rPr>
      </w:pPr>
      <w:r>
        <w:rPr>
          <w:noProof/>
        </w:rPr>
        <w:t>в Обединеното кралство:</w:t>
      </w:r>
    </w:p>
    <w:p>
      <w:pPr>
        <w:pStyle w:val="Text1"/>
        <w:rPr>
          <w:noProof/>
        </w:rPr>
      </w:pPr>
      <w:r>
        <w:rPr>
          <w:noProof/>
        </w:rPr>
        <w:t>public company limited by shares,</w:t>
      </w:r>
    </w:p>
    <w:p>
      <w:pPr>
        <w:pStyle w:val="Text1"/>
        <w:rPr>
          <w:noProof/>
        </w:rPr>
      </w:pPr>
      <w:r>
        <w:rPr>
          <w:noProof/>
        </w:rPr>
        <w:t>public company limited by guarantee and having a share capital.</w:t>
      </w:r>
    </w:p>
    <w:p>
      <w:pPr>
        <w:pStyle w:val="NormalCentered"/>
        <w:rPr>
          <w:noProof/>
        </w:rPr>
      </w:pPr>
      <w:r>
        <w:rPr>
          <w:rFonts w:eastAsia="Times New Roman"/>
          <w:noProof/>
        </w:rPr>
        <w:t>_____________</w:t>
      </w:r>
      <w:r>
        <w:rPr>
          <w:noProof/>
        </w:rPr>
        <w:br w:type="page"/>
      </w:r>
    </w:p>
    <w:p>
      <w:pPr>
        <w:pStyle w:val="CRSeparator"/>
        <w:rPr>
          <w:noProof/>
        </w:rPr>
      </w:pPr>
    </w:p>
    <w:p>
      <w:pPr>
        <w:pStyle w:val="CRReference"/>
        <w:jc w:val="left"/>
        <w:rPr>
          <w:noProof/>
          <w:lang w:val="lv-LV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2009/101/EO, г</w:t>
      </w:r>
      <w:r>
        <w:rPr>
          <w:rFonts w:eastAsia="Times New Roman"/>
          <w:noProof/>
          <w:szCs w:val="24"/>
          <w:lang w:eastAsia="fr-FR"/>
        </w:rPr>
        <w:t xml:space="preserve">л. 1 чл. 1 </w:t>
      </w:r>
      <w:r>
        <w:rPr>
          <w:noProof/>
        </w:rPr>
        <w:t>(адаптиран)</w:t>
      </w:r>
    </w:p>
    <w:p>
      <w:pPr>
        <w:pStyle w:val="Annexetitre"/>
        <w:rPr>
          <w:noProof/>
        </w:rPr>
      </w:pPr>
      <w:r>
        <w:rPr>
          <w:noProof/>
        </w:rPr>
        <w:t>ПРИЛОЖЕНИЕ </w:t>
      </w:r>
      <w:r>
        <w:rPr>
          <w:noProof/>
          <w:lang w:val="lv-LV"/>
        </w:rPr>
        <w:t>II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Ö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Ö</w:t>
      </w:r>
      <w:r>
        <w:rPr>
          <w:b/>
          <w:noProof/>
        </w:rPr>
        <w:fldChar w:fldCharType="end"/>
      </w:r>
      <w:r>
        <w:rPr>
          <w:b/>
          <w:noProof/>
        </w:rPr>
        <w:t> Видове дружества, посочени в член 7, член 13, член 28, параграф 1, член 35, параграф 1, член 66, параграф 1 и член 118, точка 1 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Õ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Õ</w:t>
      </w:r>
      <w:r>
        <w:rPr>
          <w:b/>
          <w:noProof/>
        </w:rPr>
        <w:fldChar w:fldCharType="end"/>
      </w:r>
    </w:p>
    <w:p>
      <w:pPr>
        <w:pStyle w:val="Tiret0"/>
        <w:ind w:left="851"/>
        <w:rPr>
          <w:noProof/>
        </w:rPr>
      </w:pPr>
      <w:r>
        <w:rPr>
          <w:noProof/>
        </w:rPr>
        <w:t>в Белгия:</w:t>
      </w:r>
    </w:p>
    <w:p>
      <w:pPr>
        <w:pStyle w:val="Text1"/>
        <w:rPr>
          <w:noProof/>
        </w:rPr>
      </w:pPr>
      <w:r>
        <w:rPr>
          <w:noProof/>
        </w:rPr>
        <w:t>naamloze vennootschap / société anonyme,</w:t>
      </w:r>
    </w:p>
    <w:p>
      <w:pPr>
        <w:pStyle w:val="Text1"/>
        <w:rPr>
          <w:noProof/>
        </w:rPr>
      </w:pPr>
      <w:r>
        <w:rPr>
          <w:noProof/>
          <w:lang w:val="fr-BE"/>
        </w:rPr>
        <w:t>commanditaire</w:t>
      </w:r>
      <w:r>
        <w:rPr>
          <w:noProof/>
        </w:rPr>
        <w:t xml:space="preserve"> </w:t>
      </w:r>
      <w:r>
        <w:rPr>
          <w:noProof/>
          <w:lang w:val="fr-BE"/>
        </w:rPr>
        <w:t>vennootschap</w:t>
      </w:r>
      <w:r>
        <w:rPr>
          <w:noProof/>
        </w:rPr>
        <w:t xml:space="preserve"> </w:t>
      </w:r>
      <w:r>
        <w:rPr>
          <w:noProof/>
          <w:lang w:val="fr-BE"/>
        </w:rPr>
        <w:t>op</w:t>
      </w:r>
      <w:r>
        <w:rPr>
          <w:noProof/>
        </w:rPr>
        <w:t xml:space="preserve"> </w:t>
      </w:r>
      <w:r>
        <w:rPr>
          <w:noProof/>
          <w:lang w:val="fr-BE"/>
        </w:rPr>
        <w:t>aandelen</w:t>
      </w:r>
      <w:r>
        <w:rPr>
          <w:noProof/>
        </w:rPr>
        <w:t xml:space="preserve"> / </w:t>
      </w:r>
      <w:r>
        <w:rPr>
          <w:noProof/>
          <w:lang w:val="fr-BE"/>
        </w:rPr>
        <w:t>soci</w:t>
      </w:r>
      <w:r>
        <w:rPr>
          <w:noProof/>
        </w:rPr>
        <w:t>é</w:t>
      </w:r>
      <w:r>
        <w:rPr>
          <w:noProof/>
          <w:lang w:val="fr-BE"/>
        </w:rPr>
        <w:t>t</w:t>
      </w:r>
      <w:r>
        <w:rPr>
          <w:noProof/>
        </w:rPr>
        <w:t xml:space="preserve">é </w:t>
      </w:r>
      <w:r>
        <w:rPr>
          <w:noProof/>
          <w:lang w:val="fr-BE"/>
        </w:rPr>
        <w:t>en</w:t>
      </w:r>
      <w:r>
        <w:rPr>
          <w:noProof/>
        </w:rPr>
        <w:t xml:space="preserve"> </w:t>
      </w:r>
      <w:r>
        <w:rPr>
          <w:noProof/>
          <w:lang w:val="fr-BE"/>
        </w:rPr>
        <w:t>commandite</w:t>
      </w:r>
      <w:r>
        <w:rPr>
          <w:noProof/>
        </w:rPr>
        <w:t xml:space="preserve"> </w:t>
      </w:r>
      <w:r>
        <w:rPr>
          <w:noProof/>
          <w:lang w:val="fr-BE"/>
        </w:rPr>
        <w:t>par</w:t>
      </w:r>
      <w:r>
        <w:rPr>
          <w:noProof/>
        </w:rPr>
        <w:t xml:space="preserve"> </w:t>
      </w:r>
      <w:r>
        <w:rPr>
          <w:noProof/>
          <w:lang w:val="fr-BE"/>
        </w:rPr>
        <w:t>actions</w:t>
      </w:r>
      <w:r>
        <w:rPr>
          <w:noProof/>
        </w:rPr>
        <w:t>,</w:t>
      </w:r>
    </w:p>
    <w:p>
      <w:pPr>
        <w:pStyle w:val="Text1"/>
        <w:rPr>
          <w:noProof/>
        </w:rPr>
      </w:pPr>
      <w:r>
        <w:rPr>
          <w:noProof/>
        </w:rPr>
        <w:t xml:space="preserve">personenvennootschap met beperkte aansprakelijkheid / </w:t>
      </w:r>
      <w:r>
        <w:rPr>
          <w:noProof/>
          <w:lang w:val="fr-BE"/>
        </w:rPr>
        <w:t>société de personnes à responsabilité limitée;</w:t>
      </w:r>
    </w:p>
    <w:p>
      <w:pPr>
        <w:pStyle w:val="Tiret0"/>
        <w:numPr>
          <w:ilvl w:val="0"/>
          <w:numId w:val="16"/>
        </w:numPr>
        <w:rPr>
          <w:noProof/>
        </w:rPr>
      </w:pPr>
      <w:r>
        <w:rPr>
          <w:noProof/>
        </w:rPr>
        <w:t>в България:</w:t>
      </w:r>
    </w:p>
    <w:p>
      <w:pPr>
        <w:pStyle w:val="Text1"/>
        <w:rPr>
          <w:noProof/>
        </w:rPr>
      </w:pPr>
      <w:r>
        <w:rPr>
          <w:noProof/>
        </w:rPr>
        <w:t>акционерно дружество, дружество с ограничена отговорност, командитно дружество с акции;</w:t>
      </w:r>
    </w:p>
    <w:p>
      <w:pPr>
        <w:pStyle w:val="Tiret0"/>
        <w:ind w:left="851"/>
        <w:rPr>
          <w:noProof/>
        </w:rPr>
      </w:pPr>
      <w:r>
        <w:rPr>
          <w:noProof/>
        </w:rPr>
        <w:t>в Чешката република:</w:t>
      </w:r>
    </w:p>
    <w:p>
      <w:pPr>
        <w:pStyle w:val="Text1"/>
        <w:rPr>
          <w:noProof/>
        </w:rPr>
      </w:pPr>
      <w:r>
        <w:rPr>
          <w:noProof/>
        </w:rPr>
        <w:t>společnost s ručením omezeným, akciová společnost;</w:t>
      </w:r>
    </w:p>
    <w:p>
      <w:pPr>
        <w:pStyle w:val="Tiret0"/>
        <w:ind w:left="851"/>
        <w:rPr>
          <w:noProof/>
        </w:rPr>
      </w:pPr>
      <w:r>
        <w:rPr>
          <w:noProof/>
        </w:rPr>
        <w:t>в Дания:</w:t>
      </w:r>
    </w:p>
    <w:p>
      <w:pPr>
        <w:pStyle w:val="Text1"/>
        <w:rPr>
          <w:noProof/>
        </w:rPr>
      </w:pPr>
      <w:r>
        <w:rPr>
          <w:noProof/>
        </w:rPr>
        <w:t>aktieselskab, kommanditaktieselskab, anpartsselskab;</w:t>
      </w:r>
    </w:p>
    <w:p>
      <w:pPr>
        <w:pStyle w:val="Tiret0"/>
        <w:ind w:left="851"/>
        <w:rPr>
          <w:noProof/>
        </w:rPr>
      </w:pPr>
      <w:r>
        <w:rPr>
          <w:noProof/>
        </w:rPr>
        <w:t>в Германия:</w:t>
      </w:r>
    </w:p>
    <w:p>
      <w:pPr>
        <w:pStyle w:val="Text1"/>
        <w:rPr>
          <w:noProof/>
        </w:rPr>
      </w:pPr>
      <w:r>
        <w:rPr>
          <w:noProof/>
        </w:rPr>
        <w:t>die Aktiengesellschaft, die Kommanditgesellschaft auf Aktien, die Gesellschaft mit beschränkter Haftung;</w:t>
      </w:r>
    </w:p>
    <w:p>
      <w:pPr>
        <w:pStyle w:val="Tiret0"/>
        <w:ind w:left="851"/>
        <w:rPr>
          <w:noProof/>
        </w:rPr>
      </w:pPr>
      <w:r>
        <w:rPr>
          <w:noProof/>
        </w:rPr>
        <w:t>в Естония:</w:t>
      </w:r>
    </w:p>
    <w:p>
      <w:pPr>
        <w:pStyle w:val="Text1"/>
        <w:rPr>
          <w:noProof/>
        </w:rPr>
      </w:pPr>
      <w:r>
        <w:rPr>
          <w:noProof/>
        </w:rPr>
        <w:t>aktsiaselts, osaühing;</w:t>
      </w:r>
    </w:p>
    <w:p>
      <w:pPr>
        <w:pStyle w:val="Tiret0"/>
        <w:ind w:left="851"/>
        <w:rPr>
          <w:noProof/>
        </w:rPr>
      </w:pPr>
      <w:r>
        <w:rPr>
          <w:noProof/>
        </w:rPr>
        <w:t>в Ирландия:</w:t>
      </w:r>
    </w:p>
    <w:p>
      <w:pPr>
        <w:pStyle w:val="Text1"/>
        <w:rPr>
          <w:noProof/>
        </w:rPr>
      </w:pPr>
      <w:r>
        <w:rPr>
          <w:noProof/>
        </w:rPr>
        <w:t>companies incorporated with limited liability;</w:t>
      </w:r>
    </w:p>
    <w:p>
      <w:pPr>
        <w:pStyle w:val="Tiret0"/>
        <w:ind w:left="851"/>
        <w:rPr>
          <w:noProof/>
        </w:rPr>
      </w:pPr>
      <w:r>
        <w:rPr>
          <w:noProof/>
        </w:rPr>
        <w:t>в Гърция:</w:t>
      </w:r>
    </w:p>
    <w:p>
      <w:pPr>
        <w:pStyle w:val="Text1"/>
        <w:rPr>
          <w:noProof/>
        </w:rPr>
      </w:pPr>
      <w:r>
        <w:rPr>
          <w:noProof/>
          <w:lang w:val="el-GR"/>
        </w:rPr>
        <w:t>ανώνυμη εταιρεία, εταιρεία περι</w:t>
      </w:r>
      <w:r>
        <w:rPr>
          <w:noProof/>
          <w:lang w:val="lv-LV"/>
        </w:rPr>
        <w:t>o</w:t>
      </w:r>
      <w:r>
        <w:rPr>
          <w:noProof/>
          <w:lang w:val="el-GR"/>
        </w:rPr>
        <w:t>ρισμένης ευθύνης, ετερόρρυθμη κατά μετοχές εταιρεία</w:t>
      </w:r>
      <w:r>
        <w:rPr>
          <w:noProof/>
        </w:rPr>
        <w:t>;</w:t>
      </w:r>
    </w:p>
    <w:p>
      <w:pPr>
        <w:pStyle w:val="Tiret0"/>
        <w:ind w:left="851"/>
        <w:rPr>
          <w:noProof/>
        </w:rPr>
      </w:pPr>
      <w:r>
        <w:rPr>
          <w:noProof/>
        </w:rPr>
        <w:t>в Испания:</w:t>
      </w:r>
    </w:p>
    <w:p>
      <w:pPr>
        <w:pStyle w:val="Text1"/>
        <w:rPr>
          <w:noProof/>
        </w:rPr>
      </w:pPr>
      <w:r>
        <w:rPr>
          <w:noProof/>
        </w:rPr>
        <w:t>la sociedad anónima, la sociedad comanditaria por acciones, la sociedad de responsabilidad limitada;</w:t>
      </w:r>
    </w:p>
    <w:p>
      <w:pPr>
        <w:pStyle w:val="Tiret0"/>
        <w:ind w:left="851"/>
        <w:rPr>
          <w:noProof/>
        </w:rPr>
      </w:pPr>
      <w:r>
        <w:rPr>
          <w:noProof/>
        </w:rPr>
        <w:t>във Франция:</w:t>
      </w:r>
    </w:p>
    <w:p>
      <w:pPr>
        <w:pStyle w:val="Text1"/>
        <w:rPr>
          <w:noProof/>
          <w:lang w:val="fr-BE"/>
        </w:rPr>
      </w:pPr>
      <w:r>
        <w:rPr>
          <w:noProof/>
        </w:rPr>
        <w:t>société anonyme, société en commandite par actions, société à responsabilité limitée, société par actions simplifiée;</w:t>
      </w:r>
    </w:p>
    <w:p>
      <w:pPr>
        <w:pStyle w:val="CRSeparator"/>
        <w:keepLines/>
        <w:rPr>
          <w:noProof/>
          <w:lang w:val="fr-BE"/>
        </w:rPr>
      </w:pPr>
    </w:p>
    <w:p>
      <w:pPr>
        <w:pStyle w:val="CRReference"/>
        <w:keepLines/>
        <w:jc w:val="left"/>
        <w:rPr>
          <w:noProof/>
          <w:lang w:val="fr-BE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2013/24/EC,</w:t>
      </w:r>
      <w:r>
        <w:rPr>
          <w:noProof/>
          <w:lang w:val="fr-BE"/>
        </w:rPr>
        <w:t xml:space="preserve"> </w:t>
      </w:r>
      <w:r>
        <w:rPr>
          <w:noProof/>
        </w:rPr>
        <w:t>Приложение, Част А, т. 1</w:t>
      </w:r>
    </w:p>
    <w:p>
      <w:pPr>
        <w:pStyle w:val="Tiret0"/>
        <w:keepNext/>
        <w:keepLines/>
        <w:ind w:left="851"/>
        <w:rPr>
          <w:noProof/>
        </w:rPr>
      </w:pPr>
      <w:r>
        <w:rPr>
          <w:noProof/>
        </w:rPr>
        <w:t>в Хърватия:</w:t>
      </w:r>
    </w:p>
    <w:p>
      <w:pPr>
        <w:pStyle w:val="Text1"/>
        <w:keepNext/>
        <w:keepLines/>
        <w:rPr>
          <w:noProof/>
        </w:rPr>
      </w:pPr>
      <w:r>
        <w:rPr>
          <w:noProof/>
        </w:rPr>
        <w:t>dioničko društvo, društvo s ograničenom odgovornošću;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lang w:val="fr-BE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2009/101/EO</w:t>
      </w:r>
    </w:p>
    <w:p>
      <w:pPr>
        <w:pStyle w:val="Tiret0"/>
        <w:ind w:left="851"/>
        <w:rPr>
          <w:noProof/>
        </w:rPr>
      </w:pPr>
      <w:r>
        <w:rPr>
          <w:noProof/>
        </w:rPr>
        <w:t>в Италия:</w:t>
      </w:r>
    </w:p>
    <w:p>
      <w:pPr>
        <w:pStyle w:val="Text1"/>
        <w:rPr>
          <w:noProof/>
        </w:rPr>
      </w:pPr>
      <w:r>
        <w:rPr>
          <w:noProof/>
        </w:rPr>
        <w:t>società per azioni, società in accomandita per azioni, società a responsabilità limitata;</w:t>
      </w:r>
    </w:p>
    <w:p>
      <w:pPr>
        <w:pStyle w:val="Tiret0"/>
        <w:ind w:left="851"/>
        <w:rPr>
          <w:noProof/>
        </w:rPr>
      </w:pPr>
      <w:r>
        <w:rPr>
          <w:noProof/>
        </w:rPr>
        <w:t>в Кипър:</w:t>
      </w:r>
    </w:p>
    <w:p>
      <w:pPr>
        <w:pStyle w:val="Text1"/>
        <w:rPr>
          <w:noProof/>
        </w:rPr>
      </w:pPr>
      <w:r>
        <w:rPr>
          <w:noProof/>
        </w:rPr>
        <w:t>δημόσιες εταιρείες περιορισμένης ευθύνης με μετοχές ή με εγγύηση, ιδιωτικές εταιρείες περιορισμένης ευθύνης με μετοχές ή με εγγύηση;</w:t>
      </w:r>
    </w:p>
    <w:p>
      <w:pPr>
        <w:pStyle w:val="Tiret0"/>
        <w:ind w:left="851"/>
        <w:rPr>
          <w:noProof/>
        </w:rPr>
      </w:pPr>
      <w:r>
        <w:rPr>
          <w:noProof/>
        </w:rPr>
        <w:t>в Латвия:</w:t>
      </w:r>
    </w:p>
    <w:p>
      <w:pPr>
        <w:pStyle w:val="Text1"/>
        <w:rPr>
          <w:noProof/>
        </w:rPr>
      </w:pPr>
      <w:r>
        <w:rPr>
          <w:noProof/>
        </w:rPr>
        <w:t>akciju sabiedrība, sabiedrība ar ierobežotu atbildību, komanditsabiedrība;</w:t>
      </w:r>
    </w:p>
    <w:p>
      <w:pPr>
        <w:pStyle w:val="Tiret0"/>
        <w:ind w:left="851"/>
        <w:rPr>
          <w:noProof/>
        </w:rPr>
      </w:pPr>
      <w:r>
        <w:rPr>
          <w:noProof/>
        </w:rPr>
        <w:t>в Литва:</w:t>
      </w:r>
    </w:p>
    <w:p>
      <w:pPr>
        <w:pStyle w:val="Text1"/>
        <w:rPr>
          <w:noProof/>
        </w:rPr>
      </w:pPr>
      <w:r>
        <w:rPr>
          <w:noProof/>
        </w:rPr>
        <w:t>akcinė bendrovė, uždaroji akcinė bendrovė;</w:t>
      </w:r>
    </w:p>
    <w:p>
      <w:pPr>
        <w:pStyle w:val="Tiret0"/>
        <w:ind w:left="851"/>
        <w:rPr>
          <w:noProof/>
        </w:rPr>
      </w:pPr>
      <w:r>
        <w:rPr>
          <w:noProof/>
        </w:rPr>
        <w:t>в Люксембург:</w:t>
      </w:r>
    </w:p>
    <w:p>
      <w:pPr>
        <w:pStyle w:val="Text1"/>
        <w:rPr>
          <w:noProof/>
        </w:rPr>
      </w:pPr>
      <w:r>
        <w:rPr>
          <w:noProof/>
        </w:rPr>
        <w:t>société anonyme, société en commandite par actions, société à responsabilité limitée;</w:t>
      </w:r>
    </w:p>
    <w:p>
      <w:pPr>
        <w:pStyle w:val="Tiret0"/>
        <w:ind w:left="851"/>
        <w:rPr>
          <w:noProof/>
        </w:rPr>
      </w:pPr>
      <w:r>
        <w:rPr>
          <w:noProof/>
        </w:rPr>
        <w:t>в Унгария:</w:t>
      </w:r>
    </w:p>
    <w:p>
      <w:pPr>
        <w:pStyle w:val="Text1"/>
        <w:rPr>
          <w:noProof/>
        </w:rPr>
      </w:pPr>
      <w:r>
        <w:rPr>
          <w:noProof/>
        </w:rPr>
        <w:t>részvénytársaság, korlátolt felelősségű társaság;</w:t>
      </w:r>
    </w:p>
    <w:p>
      <w:pPr>
        <w:pStyle w:val="Tiret0"/>
        <w:ind w:left="851"/>
        <w:rPr>
          <w:noProof/>
        </w:rPr>
      </w:pPr>
      <w:r>
        <w:rPr>
          <w:noProof/>
        </w:rPr>
        <w:t>в Малта:</w:t>
      </w:r>
    </w:p>
    <w:p>
      <w:pPr>
        <w:pStyle w:val="Text1"/>
        <w:rPr>
          <w:noProof/>
        </w:rPr>
      </w:pPr>
      <w:r>
        <w:rPr>
          <w:noProof/>
        </w:rPr>
        <w:t>kumpannija pubblika / public limited liability company,</w:t>
      </w:r>
    </w:p>
    <w:p>
      <w:pPr>
        <w:pStyle w:val="Text1"/>
        <w:rPr>
          <w:noProof/>
        </w:rPr>
      </w:pPr>
      <w:r>
        <w:rPr>
          <w:noProof/>
        </w:rPr>
        <w:t>kumpannija privata / private limited liability company;</w:t>
      </w:r>
    </w:p>
    <w:p>
      <w:pPr>
        <w:pStyle w:val="Tiret0"/>
        <w:ind w:left="851"/>
        <w:rPr>
          <w:noProof/>
        </w:rPr>
      </w:pPr>
      <w:r>
        <w:rPr>
          <w:noProof/>
        </w:rPr>
        <w:t>в Нидерландия:</w:t>
      </w:r>
    </w:p>
    <w:p>
      <w:pPr>
        <w:pStyle w:val="Text1"/>
        <w:rPr>
          <w:noProof/>
        </w:rPr>
      </w:pPr>
      <w:r>
        <w:rPr>
          <w:noProof/>
        </w:rPr>
        <w:t>naamloze vennootschap, besloten vennootschap met beperkte aansprakelijkheid;</w:t>
      </w:r>
    </w:p>
    <w:p>
      <w:pPr>
        <w:pStyle w:val="Tiret0"/>
        <w:ind w:left="851"/>
        <w:rPr>
          <w:noProof/>
        </w:rPr>
      </w:pPr>
      <w:r>
        <w:rPr>
          <w:noProof/>
        </w:rPr>
        <w:t>в Австрия:</w:t>
      </w:r>
    </w:p>
    <w:p>
      <w:pPr>
        <w:pStyle w:val="Text1"/>
        <w:rPr>
          <w:noProof/>
        </w:rPr>
      </w:pPr>
      <w:r>
        <w:rPr>
          <w:noProof/>
        </w:rPr>
        <w:t>die Aktiengesellschaft, die Gesellschaft mit beschränkter Haftung;</w:t>
      </w:r>
    </w:p>
    <w:p>
      <w:pPr>
        <w:pStyle w:val="Tiret0"/>
        <w:ind w:left="851"/>
        <w:rPr>
          <w:noProof/>
        </w:rPr>
      </w:pPr>
      <w:r>
        <w:rPr>
          <w:noProof/>
        </w:rPr>
        <w:t>в Полша:</w:t>
      </w:r>
    </w:p>
    <w:p>
      <w:pPr>
        <w:pStyle w:val="Text1"/>
        <w:rPr>
          <w:noProof/>
        </w:rPr>
      </w:pPr>
      <w:r>
        <w:rPr>
          <w:noProof/>
        </w:rPr>
        <w:t>spółka z ograniczoną odpowiedzialnością, spółka komandytowo-akcyjna, spółka akcyjna;</w:t>
      </w:r>
    </w:p>
    <w:p>
      <w:pPr>
        <w:pStyle w:val="Tiret0"/>
        <w:ind w:left="851"/>
        <w:rPr>
          <w:noProof/>
        </w:rPr>
      </w:pPr>
      <w:r>
        <w:rPr>
          <w:noProof/>
        </w:rPr>
        <w:t>в Португалия:</w:t>
      </w:r>
    </w:p>
    <w:p>
      <w:pPr>
        <w:pStyle w:val="Text1"/>
        <w:rPr>
          <w:noProof/>
        </w:rPr>
      </w:pPr>
      <w:r>
        <w:rPr>
          <w:noProof/>
          <w:lang w:val="pt-PT"/>
        </w:rPr>
        <w:t>sociedade anónima de responsabilidade limitada, sociedade em comandita por ações, sociedade por quotas de responsabilidade limitada;</w:t>
      </w:r>
    </w:p>
    <w:p>
      <w:pPr>
        <w:pStyle w:val="Tiret0"/>
        <w:ind w:left="851"/>
        <w:rPr>
          <w:noProof/>
        </w:rPr>
      </w:pPr>
      <w:r>
        <w:rPr>
          <w:noProof/>
        </w:rPr>
        <w:t>в Румъния:</w:t>
      </w:r>
    </w:p>
    <w:p>
      <w:pPr>
        <w:pStyle w:val="Text1"/>
        <w:rPr>
          <w:noProof/>
        </w:rPr>
      </w:pPr>
      <w:r>
        <w:rPr>
          <w:noProof/>
        </w:rPr>
        <w:t>societate pe acțiuni, societate cu răspundere limitată, societate în comandită pe acțiuni;</w:t>
      </w:r>
    </w:p>
    <w:p>
      <w:pPr>
        <w:pStyle w:val="Tiret0"/>
        <w:ind w:left="851"/>
        <w:rPr>
          <w:noProof/>
        </w:rPr>
      </w:pPr>
      <w:r>
        <w:rPr>
          <w:noProof/>
        </w:rPr>
        <w:t>в Словения:</w:t>
      </w:r>
    </w:p>
    <w:p>
      <w:pPr>
        <w:pStyle w:val="Text1"/>
        <w:rPr>
          <w:noProof/>
        </w:rPr>
      </w:pPr>
      <w:r>
        <w:rPr>
          <w:noProof/>
        </w:rPr>
        <w:t>delniška družba, družba z omejeno odgovornostjo, komaditna delniška družba;</w:t>
      </w:r>
    </w:p>
    <w:p>
      <w:pPr>
        <w:pStyle w:val="Tiret0"/>
        <w:ind w:left="851"/>
        <w:rPr>
          <w:noProof/>
        </w:rPr>
      </w:pPr>
      <w:r>
        <w:rPr>
          <w:noProof/>
        </w:rPr>
        <w:t>в Словакия:</w:t>
      </w:r>
    </w:p>
    <w:p>
      <w:pPr>
        <w:pStyle w:val="Text1"/>
        <w:rPr>
          <w:noProof/>
        </w:rPr>
      </w:pPr>
      <w:r>
        <w:rPr>
          <w:noProof/>
        </w:rPr>
        <w:t>akciová spoločnosť, spoločnosť s ručením obmedzeným;</w:t>
      </w:r>
    </w:p>
    <w:p>
      <w:pPr>
        <w:pStyle w:val="Tiret0"/>
        <w:ind w:left="851"/>
        <w:rPr>
          <w:noProof/>
        </w:rPr>
      </w:pPr>
      <w:r>
        <w:rPr>
          <w:noProof/>
        </w:rPr>
        <w:t>във Финландия:</w:t>
      </w:r>
    </w:p>
    <w:p>
      <w:pPr>
        <w:pStyle w:val="Text1"/>
        <w:rPr>
          <w:noProof/>
        </w:rPr>
      </w:pPr>
      <w:r>
        <w:rPr>
          <w:noProof/>
        </w:rPr>
        <w:t>yksityinen osakeyhtiö / privat aktiebolag,</w:t>
      </w:r>
    </w:p>
    <w:p>
      <w:pPr>
        <w:pStyle w:val="Text1"/>
        <w:rPr>
          <w:noProof/>
        </w:rPr>
      </w:pPr>
      <w:r>
        <w:rPr>
          <w:noProof/>
        </w:rPr>
        <w:t>julkinen osakeyhtiö / publikt aktiebolag;</w:t>
      </w:r>
    </w:p>
    <w:p>
      <w:pPr>
        <w:pStyle w:val="Tiret0"/>
        <w:ind w:left="851"/>
        <w:rPr>
          <w:noProof/>
        </w:rPr>
      </w:pPr>
      <w:r>
        <w:rPr>
          <w:noProof/>
        </w:rPr>
        <w:t>в Швеция:</w:t>
      </w:r>
    </w:p>
    <w:p>
      <w:pPr>
        <w:pStyle w:val="Text1"/>
        <w:rPr>
          <w:noProof/>
        </w:rPr>
      </w:pPr>
      <w:r>
        <w:rPr>
          <w:noProof/>
        </w:rPr>
        <w:t>aktiebolag;</w:t>
      </w:r>
    </w:p>
    <w:p>
      <w:pPr>
        <w:pStyle w:val="Tiret0"/>
        <w:ind w:left="851"/>
        <w:rPr>
          <w:noProof/>
        </w:rPr>
      </w:pPr>
      <w:r>
        <w:rPr>
          <w:noProof/>
        </w:rPr>
        <w:t>в Обединеното кралство:</w:t>
      </w:r>
    </w:p>
    <w:p>
      <w:pPr>
        <w:pStyle w:val="Text1"/>
        <w:rPr>
          <w:noProof/>
        </w:rPr>
      </w:pPr>
      <w:r>
        <w:rPr>
          <w:noProof/>
        </w:rPr>
        <w:t>companies incorporated with limited liability.</w:t>
      </w:r>
    </w:p>
    <w:p>
      <w:pPr>
        <w:pStyle w:val="NormalCentered"/>
        <w:rPr>
          <w:noProof/>
        </w:rPr>
      </w:pPr>
      <w:r>
        <w:rPr>
          <w:noProof/>
        </w:rPr>
        <w:t>_____________</w:t>
      </w:r>
      <w:r>
        <w:rPr>
          <w:noProof/>
        </w:rPr>
        <w:br w:type="page"/>
      </w:r>
    </w:p>
    <w:p>
      <w:pPr>
        <w:pStyle w:val="CRSeparator"/>
        <w:rPr>
          <w:rFonts w:eastAsia="Calibri"/>
          <w:noProof/>
        </w:rPr>
      </w:pPr>
    </w:p>
    <w:p>
      <w:pPr>
        <w:pStyle w:val="CRReference"/>
        <w:rPr>
          <w:noProof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QUOTE "</w:instrText>
      </w:r>
      <w:r>
        <w:rPr>
          <w:rStyle w:val="CRMarker"/>
          <w:rFonts w:eastAsia="Calibri"/>
          <w:noProof/>
        </w:rPr>
        <w:instrText>é</w:instrText>
      </w:r>
      <w:r>
        <w:rPr>
          <w:rFonts w:eastAsia="Calibri"/>
          <w:noProof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</w:rPr>
        <w:t>é</w:t>
      </w:r>
      <w:r>
        <w:rPr>
          <w:rFonts w:eastAsia="Calibri"/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ПРИЛОЖЕНИЕ </w:t>
      </w:r>
      <w:r>
        <w:rPr>
          <w:noProof/>
          <w:lang w:val="en-US"/>
        </w:rPr>
        <w:t>III</w:t>
      </w:r>
    </w:p>
    <w:p>
      <w:pPr>
        <w:tabs>
          <w:tab w:val="right" w:pos="9600"/>
        </w:tabs>
        <w:suppressAutoHyphens/>
        <w:spacing w:line="218" w:lineRule="auto"/>
        <w:jc w:val="center"/>
        <w:outlineLvl w:val="0"/>
        <w:rPr>
          <w:bCs/>
          <w:noProof/>
        </w:rPr>
      </w:pPr>
      <w:r>
        <w:rPr>
          <w:bCs/>
          <w:noProof/>
        </w:rPr>
        <w:t>Част А</w:t>
      </w:r>
    </w:p>
    <w:p>
      <w:pPr>
        <w:pStyle w:val="NormalCentered"/>
        <w:rPr>
          <w:noProof/>
        </w:rPr>
      </w:pPr>
      <w:r>
        <w:rPr>
          <w:noProof/>
        </w:rPr>
        <w:t>Отменени директиви и списък на техните последователни изменения</w:t>
      </w:r>
      <w:r>
        <w:rPr>
          <w:noProof/>
        </w:rPr>
        <w:br/>
        <w:t>(посочени в член 166)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"/>
        <w:gridCol w:w="5520"/>
        <w:gridCol w:w="619"/>
        <w:gridCol w:w="284"/>
        <w:gridCol w:w="2097"/>
        <w:gridCol w:w="423"/>
        <w:gridCol w:w="480"/>
      </w:tblGrid>
      <w:tr>
        <w:trPr>
          <w:gridAfter w:val="2"/>
          <w:wAfter w:w="903" w:type="dxa"/>
          <w:cantSplit/>
        </w:trPr>
        <w:tc>
          <w:tcPr>
            <w:tcW w:w="5868" w:type="dxa"/>
            <w:gridSpan w:val="2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Директива на Съвета 82/891/ЕИО</w:t>
            </w:r>
            <w:r>
              <w:rPr>
                <w:rFonts w:eastAsia="Calibri"/>
                <w:noProof/>
                <w:lang w:eastAsia="fr-FR"/>
              </w:rPr>
              <w:br/>
              <w:t>(OB L 378, 31.12.1982 г., стр. 47)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bCs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Директива 2007/63/ЕО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300, 17.11.2007 г., стр. 47)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rPr>
                <w:rFonts w:eastAsia="Calibri"/>
                <w:noProof/>
                <w:lang w:eastAsia="fr-FR"/>
              </w:rPr>
            </w:pPr>
            <w:r>
              <w:rPr>
                <w:bCs/>
                <w:noProof/>
              </w:rPr>
              <w:t>член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Директива 2009/109/ЕО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259, 2.10.2009 г., стр. 14)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член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2014/59/ЕС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173, 12.6.2014 г., стр. 190)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166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Директива на Съвета 89/666/</w:t>
            </w:r>
            <w:r>
              <w:rPr>
                <w:noProof/>
              </w:rPr>
              <w:t xml:space="preserve"> </w:t>
            </w:r>
            <w:r>
              <w:rPr>
                <w:rFonts w:eastAsia="Calibri"/>
                <w:noProof/>
                <w:lang w:eastAsia="fr-FR"/>
              </w:rPr>
              <w:t>ЕИО</w:t>
            </w:r>
            <w:r>
              <w:rPr>
                <w:rFonts w:eastAsia="Calibri"/>
                <w:noProof/>
                <w:lang w:eastAsia="fr-FR"/>
              </w:rPr>
              <w:br/>
              <w:t>(OB L 395, 30.12.1989 г., стр. 36)</w:t>
            </w:r>
          </w:p>
        </w:tc>
        <w:tc>
          <w:tcPr>
            <w:tcW w:w="3423" w:type="dxa"/>
            <w:gridSpan w:val="4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bCs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Директива 2012/17/EU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156, 16.6.2012 г., стр. 1)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член 1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6487" w:type="dxa"/>
            <w:gridSpan w:val="3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Директива 2005/56/EO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310, 25.11.2005 г., стр. 1)</w:t>
            </w:r>
          </w:p>
        </w:tc>
        <w:tc>
          <w:tcPr>
            <w:tcW w:w="2804" w:type="dxa"/>
            <w:gridSpan w:val="3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2009/109/EO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259, 2.10.2009 г., стр. 14)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4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2012/17/EC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156, 16.6.2012 г., стр. 1)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2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2014/59/ЕС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173, 12.6.2014 г., стр. 190)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120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Директива 2009/101/EO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258, 1.10.2009 г., стр. 11)</w:t>
            </w:r>
          </w:p>
        </w:tc>
        <w:tc>
          <w:tcPr>
            <w:tcW w:w="3423" w:type="dxa"/>
            <w:gridSpan w:val="4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2012/17/EC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156, 16.6.2012 г., стр. 1)</w:t>
            </w:r>
          </w:p>
        </w:tc>
        <w:tc>
          <w:tcPr>
            <w:tcW w:w="3000" w:type="dxa"/>
            <w:gridSpan w:val="3"/>
          </w:tcPr>
          <w:p>
            <w:pPr>
              <w:keepNext/>
              <w:keepLines/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на Съвета 2013/24/E</w:t>
            </w:r>
            <w:r>
              <w:rPr>
                <w:rFonts w:eastAsia="Calibri"/>
                <w:noProof/>
                <w:lang w:val="fr-BE" w:eastAsia="fr-FR"/>
              </w:rPr>
              <w:t>C</w:t>
            </w:r>
            <w:r>
              <w:rPr>
                <w:rFonts w:eastAsia="Calibri"/>
                <w:noProof/>
                <w:lang w:eastAsia="fr-FR"/>
              </w:rPr>
              <w:br/>
              <w:t>(OB L 158, 10.6.2013 г., стр. 365)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1 и точка 1 от Част А от настоящото приложение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Директива 2011/35/EC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(OJ L 110, 29.4.2011 г., стр. 1)</w:t>
            </w:r>
          </w:p>
        </w:tc>
        <w:tc>
          <w:tcPr>
            <w:tcW w:w="3423" w:type="dxa"/>
            <w:gridSpan w:val="4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на Съвета 2013/24/EC</w:t>
            </w:r>
            <w:r>
              <w:rPr>
                <w:rFonts w:eastAsia="Calibri"/>
                <w:noProof/>
                <w:lang w:eastAsia="fr-FR"/>
              </w:rPr>
              <w:br/>
              <w:t>(OJ L 158, 10.6.2013 г., стр. 365)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1 и точка 3 от Част А от настоящото приложение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2014/59/ЕС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173, 12.6.2014 г., стр. 190)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120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eastAsia="fr-FR"/>
              </w:rPr>
              <w:t>Директива 2012/30/EO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(OJ L 315, 14.11.2012 г., стр. 74)</w:t>
            </w:r>
          </w:p>
        </w:tc>
        <w:tc>
          <w:tcPr>
            <w:tcW w:w="3423" w:type="dxa"/>
            <w:gridSpan w:val="4"/>
          </w:tcPr>
          <w:p>
            <w:pPr>
              <w:spacing w:before="80" w:after="80"/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на Съвета 2013/24/EC</w:t>
            </w:r>
            <w:r>
              <w:rPr>
                <w:rFonts w:eastAsia="Calibri"/>
                <w:noProof/>
                <w:lang w:eastAsia="fr-FR"/>
              </w:rPr>
              <w:br/>
              <w:t>(OJ L 158, 10.6.2013 г., стр. 365)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1 и точка 4 от Част А от настоящото приложение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23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Директива 2014/59/ЕС на Европейския парламент и на Съвета</w:t>
            </w:r>
            <w:r>
              <w:rPr>
                <w:rFonts w:eastAsia="Calibri"/>
                <w:noProof/>
                <w:lang w:eastAsia="fr-FR"/>
              </w:rPr>
              <w:br/>
              <w:t>(OB L 173, 12.6.2014 г., стр. 190)</w:t>
            </w:r>
          </w:p>
        </w:tc>
        <w:tc>
          <w:tcPr>
            <w:tcW w:w="3000" w:type="dxa"/>
            <w:gridSpan w:val="3"/>
          </w:tcPr>
          <w:p>
            <w:pPr>
              <w:spacing w:before="80" w:after="80"/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член 123</w:t>
            </w:r>
          </w:p>
        </w:tc>
      </w:tr>
    </w:tbl>
    <w:p>
      <w:pPr>
        <w:keepNext/>
        <w:keepLines/>
        <w:tabs>
          <w:tab w:val="right" w:pos="9600"/>
        </w:tabs>
        <w:spacing w:line="218" w:lineRule="auto"/>
        <w:jc w:val="center"/>
        <w:outlineLvl w:val="0"/>
        <w:rPr>
          <w:bCs/>
          <w:noProof/>
          <w:lang w:val="ru-RU"/>
        </w:rPr>
      </w:pPr>
      <w:r>
        <w:rPr>
          <w:bCs/>
          <w:noProof/>
          <w:lang w:val="ru-RU"/>
        </w:rPr>
        <w:t>Част Б</w:t>
      </w:r>
    </w:p>
    <w:p>
      <w:pPr>
        <w:keepNext/>
        <w:keepLines/>
        <w:tabs>
          <w:tab w:val="right" w:pos="9600"/>
        </w:tabs>
        <w:spacing w:line="218" w:lineRule="auto"/>
        <w:jc w:val="center"/>
        <w:rPr>
          <w:bCs/>
          <w:noProof/>
          <w:snapToGrid w:val="0"/>
          <w:lang w:val="ru-RU"/>
        </w:rPr>
      </w:pPr>
      <w:r>
        <w:rPr>
          <w:bCs/>
          <w:noProof/>
        </w:rPr>
        <w:t>Срокове за транспониране в националното законодателство и дати на прилагане</w:t>
      </w:r>
      <w:r>
        <w:rPr>
          <w:rFonts w:eastAsia="Calibri"/>
          <w:noProof/>
          <w:lang w:val="ru-RU" w:eastAsia="fr-FR"/>
        </w:rPr>
        <w:br/>
      </w:r>
      <w:r>
        <w:rPr>
          <w:bCs/>
          <w:noProof/>
          <w:snapToGrid w:val="0"/>
        </w:rPr>
        <w:t>(посочени в член</w:t>
      </w:r>
      <w:r>
        <w:rPr>
          <w:rFonts w:eastAsia="Times New Roman"/>
          <w:noProof/>
          <w:szCs w:val="24"/>
          <w:lang w:val="en-US" w:eastAsia="fr-FR"/>
        </w:rPr>
        <w:t> </w:t>
      </w:r>
      <w:r>
        <w:rPr>
          <w:bCs/>
          <w:noProof/>
          <w:snapToGrid w:val="0"/>
          <w:lang w:val="ru-RU"/>
        </w:rPr>
        <w:t>166</w:t>
      </w:r>
      <w:r>
        <w:rPr>
          <w:bCs/>
          <w:noProof/>
          <w:snapToGrid w:val="0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>
        <w:tc>
          <w:tcPr>
            <w:tcW w:w="3284" w:type="dxa"/>
            <w:tcBorders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b/>
                <w:bCs/>
                <w:noProof/>
                <w:snapToGrid w:val="0"/>
              </w:rPr>
              <w:t>Директива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b/>
                <w:bCs/>
                <w:noProof/>
                <w:snapToGrid w:val="0"/>
              </w:rPr>
              <w:t>Срок за транспониране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b/>
                <w:bCs/>
                <w:noProof/>
              </w:rPr>
              <w:t>Дата на прилагане</w:t>
            </w:r>
          </w:p>
        </w:tc>
      </w:tr>
      <w:tr>
        <w:tc>
          <w:tcPr>
            <w:tcW w:w="3284" w:type="dxa"/>
            <w:tcBorders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82/891/ЕИО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1 януари 1986 г.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c>
          <w:tcPr>
            <w:tcW w:w="3284" w:type="dxa"/>
            <w:tcBorders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89/666/</w:t>
            </w:r>
            <w:r>
              <w:rPr>
                <w:noProof/>
              </w:rPr>
              <w:t xml:space="preserve"> </w:t>
            </w:r>
            <w:r>
              <w:rPr>
                <w:rFonts w:eastAsia="Calibri"/>
                <w:noProof/>
                <w:lang w:eastAsia="fr-FR"/>
              </w:rPr>
              <w:t>ЕИО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1 януари 1992 г.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1 януари 1993 г.</w:t>
            </w:r>
            <w:r>
              <w:rPr>
                <w:rStyle w:val="FootnoteReference"/>
                <w:rFonts w:eastAsia="Calibri"/>
                <w:noProof/>
                <w:lang w:eastAsia="fr-FR"/>
              </w:rPr>
              <w:footnoteReference w:id="1"/>
            </w:r>
          </w:p>
        </w:tc>
      </w:tr>
      <w:tr>
        <w:tc>
          <w:tcPr>
            <w:tcW w:w="3284" w:type="dxa"/>
            <w:tcBorders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2005/56/EO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15 декември 2007 г.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c>
          <w:tcPr>
            <w:tcW w:w="3284" w:type="dxa"/>
            <w:tcBorders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2007/63/EO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31 декември 2008 г.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c>
          <w:tcPr>
            <w:tcW w:w="3284" w:type="dxa"/>
            <w:tcBorders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2009/109/EO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30 юли 2011 г.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c>
          <w:tcPr>
            <w:tcW w:w="3284" w:type="dxa"/>
            <w:tcBorders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2012/17/EC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7 юли 2014 г.</w:t>
            </w:r>
            <w:r>
              <w:rPr>
                <w:rStyle w:val="FootnoteReference"/>
                <w:rFonts w:eastAsia="Calibri"/>
                <w:noProof/>
                <w:lang w:eastAsia="fr-FR"/>
              </w:rPr>
              <w:footnoteReference w:id="2"/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c>
          <w:tcPr>
            <w:tcW w:w="3284" w:type="dxa"/>
            <w:tcBorders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2013/24/EC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1 юли 2013 г.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c>
          <w:tcPr>
            <w:tcW w:w="3284" w:type="dxa"/>
            <w:tcBorders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2014/59/EC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31 декември 2014 г.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>
            <w:pPr>
              <w:keepNext/>
              <w:keepLines/>
              <w:tabs>
                <w:tab w:val="right" w:pos="9600"/>
              </w:tabs>
              <w:spacing w:line="218" w:lineRule="auto"/>
              <w:jc w:val="center"/>
              <w:rPr>
                <w:bCs/>
                <w:noProof/>
                <w:snapToGrid w:val="0"/>
              </w:rPr>
            </w:pPr>
            <w:r>
              <w:rPr>
                <w:rFonts w:eastAsia="Calibri"/>
                <w:noProof/>
                <w:lang w:eastAsia="fr-FR"/>
              </w:rPr>
              <w:t>1 януари 2015 г.</w:t>
            </w:r>
            <w:r>
              <w:rPr>
                <w:rStyle w:val="FootnoteReference"/>
                <w:rFonts w:eastAsia="Calibri"/>
                <w:noProof/>
                <w:lang w:eastAsia="fr-FR"/>
              </w:rPr>
              <w:footnoteReference w:id="3"/>
            </w:r>
          </w:p>
        </w:tc>
      </w:tr>
    </w:tbl>
    <w:p>
      <w:pPr>
        <w:pStyle w:val="NormalCentered"/>
        <w:rPr>
          <w:rFonts w:eastAsia="Calibri"/>
          <w:noProof/>
          <w:lang w:eastAsia="fr-FR"/>
        </w:rPr>
      </w:pPr>
      <w:r>
        <w:rPr>
          <w:noProof/>
          <w:lang w:val="es-ES_tradnl"/>
        </w:rPr>
        <w:t>_____________</w:t>
      </w:r>
    </w:p>
    <w:p>
      <w:pPr>
        <w:rPr>
          <w:rFonts w:eastAsia="Calibri"/>
          <w:noProof/>
          <w:lang w:eastAsia="fr-FR"/>
        </w:rPr>
        <w:sectPr>
          <w:footerReference w:type="default" r:id="rId16"/>
          <w:footerReference w:type="first" r:id="rId17"/>
          <w:pgSz w:w="11906" w:h="16838" w:code="9"/>
          <w:pgMar w:top="1134" w:right="1134" w:bottom="1134" w:left="1134" w:header="567" w:footer="567" w:gutter="0"/>
          <w:cols w:space="720"/>
          <w:docGrid w:linePitch="326"/>
        </w:sectPr>
      </w:pPr>
    </w:p>
    <w:p>
      <w:pPr>
        <w:pStyle w:val="Annexetitre"/>
        <w:rPr>
          <w:rFonts w:eastAsia="Calibri"/>
          <w:noProof/>
          <w:lang w:eastAsia="fr-FR"/>
        </w:rPr>
      </w:pPr>
      <w:r>
        <w:rPr>
          <w:noProof/>
          <w:lang w:val="en-GB" w:eastAsia="fr-FR"/>
        </w:rPr>
        <w:t>ПРИЛОЖЕНИЕ</w:t>
      </w:r>
      <w:r>
        <w:rPr>
          <w:rFonts w:eastAsia="Times New Roman"/>
          <w:noProof/>
          <w:szCs w:val="24"/>
          <w:lang w:val="fr-BE" w:eastAsia="fr-FR"/>
        </w:rPr>
        <w:t> </w:t>
      </w:r>
      <w:r>
        <w:rPr>
          <w:rFonts w:eastAsia="Calibri"/>
          <w:noProof/>
          <w:lang w:val="en-GB" w:eastAsia="fr-FR"/>
        </w:rPr>
        <w:t>IV</w:t>
      </w:r>
    </w:p>
    <w:p>
      <w:pPr>
        <w:pStyle w:val="ManualHeading1"/>
        <w:jc w:val="center"/>
        <w:rPr>
          <w:noProof/>
          <w:lang w:eastAsia="fr-FR"/>
        </w:rPr>
      </w:pPr>
      <w:r>
        <w:rPr>
          <w:noProof/>
          <w:lang w:eastAsia="fr-FR"/>
        </w:rPr>
        <w:t>Таблица на съответствие</w:t>
      </w:r>
    </w:p>
    <w:tbl>
      <w:tblPr>
        <w:tblW w:w="54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1367"/>
        <w:gridCol w:w="1201"/>
        <w:gridCol w:w="1563"/>
        <w:gridCol w:w="1497"/>
        <w:gridCol w:w="1421"/>
        <w:gridCol w:w="1583"/>
      </w:tblGrid>
      <w:tr>
        <w:trPr>
          <w:cantSplit/>
          <w:tblHeader/>
          <w:jc w:val="center"/>
        </w:trPr>
        <w:tc>
          <w:tcPr>
            <w:tcW w:w="681" w:type="pct"/>
            <w:tcBorders>
              <w:left w:val="nil"/>
            </w:tcBorders>
            <w:vAlign w:val="center"/>
          </w:tcPr>
          <w:p>
            <w:pPr>
              <w:ind w:left="-113" w:right="-57"/>
              <w:jc w:val="center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Директива 82/891/ЕИО</w:t>
            </w:r>
          </w:p>
        </w:tc>
        <w:tc>
          <w:tcPr>
            <w:tcW w:w="684" w:type="pct"/>
            <w:tcBorders>
              <w:left w:val="nil"/>
            </w:tcBorders>
            <w:vAlign w:val="center"/>
          </w:tcPr>
          <w:p>
            <w:pPr>
              <w:ind w:left="-113" w:right="-57"/>
              <w:jc w:val="center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Директива 89/666/ ЕИО</w:t>
            </w:r>
          </w:p>
        </w:tc>
        <w:tc>
          <w:tcPr>
            <w:tcW w:w="601" w:type="pct"/>
            <w:tcBorders>
              <w:left w:val="nil"/>
            </w:tcBorders>
            <w:vAlign w:val="center"/>
          </w:tcPr>
          <w:p>
            <w:pPr>
              <w:ind w:left="-113" w:right="-57"/>
              <w:jc w:val="center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Директива 2005/56/EО</w:t>
            </w:r>
          </w:p>
        </w:tc>
        <w:tc>
          <w:tcPr>
            <w:tcW w:w="782" w:type="pct"/>
            <w:tcBorders>
              <w:left w:val="nil"/>
            </w:tcBorders>
            <w:vAlign w:val="center"/>
          </w:tcPr>
          <w:p>
            <w:pPr>
              <w:ind w:left="-113" w:right="-57"/>
              <w:jc w:val="center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Директива 2009/101/EО</w:t>
            </w:r>
          </w:p>
        </w:tc>
        <w:tc>
          <w:tcPr>
            <w:tcW w:w="749" w:type="pct"/>
            <w:tcBorders>
              <w:left w:val="nil"/>
            </w:tcBorders>
            <w:vAlign w:val="center"/>
          </w:tcPr>
          <w:p>
            <w:pPr>
              <w:ind w:left="-113" w:right="-57"/>
              <w:jc w:val="center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Директива 2011/35/EС</w:t>
            </w:r>
          </w:p>
        </w:tc>
        <w:tc>
          <w:tcPr>
            <w:tcW w:w="711" w:type="pct"/>
            <w:tcBorders>
              <w:left w:val="nil"/>
            </w:tcBorders>
            <w:vAlign w:val="center"/>
          </w:tcPr>
          <w:p>
            <w:pPr>
              <w:ind w:left="-113" w:right="-57"/>
              <w:jc w:val="center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Директива 2012/30/EС</w:t>
            </w:r>
          </w:p>
        </w:tc>
        <w:tc>
          <w:tcPr>
            <w:tcW w:w="792" w:type="pct"/>
            <w:tcBorders>
              <w:left w:val="nil"/>
              <w:right w:val="nil"/>
            </w:tcBorders>
            <w:vAlign w:val="center"/>
          </w:tcPr>
          <w:p>
            <w:pPr>
              <w:ind w:left="-113" w:right="-57"/>
              <w:jc w:val="center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Настоящата Директива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3, параграф 1 и 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137, параграфи 1 и 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3, параграф 3, буква a)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137, параграф 3, първа алинея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3, параграф 3, буква б)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137, параграф 3, втора алинея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20, букви a) и б)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154, букви a) и б)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20, буква г)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154, буква в)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22, параграфи 1, 2 и 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156, параграфи 1, 2 и 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22, параграф 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156, параграф 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26, параграф 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26, параграф 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160, параграф 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26, параграф 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26, параграф 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160, параграф 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26, параграф 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33, параграф 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5a, параграфи 1, 2 и 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5a, параграф 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33, параграф 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5a, параграф 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33, параграф 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17a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Приложение II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2a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3a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3б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3в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3г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4a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4б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4в, първа и втора алинея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23 първа и втора алинея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4в, трета алинея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4г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4д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7a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7, параграф 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7, параграф 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13a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12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12"/>
                <w:szCs w:val="24"/>
                <w:lang w:val="sl-SI" w:eastAsia="en-GB"/>
              </w:rPr>
              <w:t>Приложение I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12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12"/>
                <w:szCs w:val="24"/>
                <w:lang w:val="sl-SI" w:eastAsia="en-GB"/>
              </w:rPr>
              <w:t>Приложение II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Приложение I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Приложение II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29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69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39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79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80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81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82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83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84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47, параграф 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85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47, параграф 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165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166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49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167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50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Член 168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4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4"/>
                <w:szCs w:val="24"/>
                <w:lang w:val="sl-SI" w:eastAsia="en-GB"/>
              </w:rPr>
              <w:t>Приложение 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Приложение I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16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16"/>
                <w:szCs w:val="24"/>
                <w:lang w:val="sl-SI" w:eastAsia="en-GB"/>
              </w:rPr>
              <w:t>Приложение 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Приложение III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Приложение III</w:t>
            </w:r>
          </w:p>
        </w:tc>
      </w:tr>
      <w:tr>
        <w:trPr>
          <w:cantSplit/>
          <w:jc w:val="center"/>
        </w:trPr>
        <w:tc>
          <w:tcPr>
            <w:tcW w:w="68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–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eastAsia="Calibri"/>
                <w:noProof/>
                <w:spacing w:val="-20"/>
                <w:szCs w:val="24"/>
                <w:lang w:val="sl-SI" w:eastAsia="en-GB"/>
              </w:rPr>
            </w:pPr>
            <w:r>
              <w:rPr>
                <w:rFonts w:eastAsia="Calibri"/>
                <w:noProof/>
                <w:spacing w:val="-20"/>
                <w:szCs w:val="24"/>
                <w:lang w:val="sl-SI" w:eastAsia="en-GB"/>
              </w:rPr>
              <w:t>Приложение IV</w:t>
            </w:r>
          </w:p>
        </w:tc>
      </w:tr>
    </w:tbl>
    <w:p>
      <w:pPr>
        <w:pStyle w:val="NormalCentered"/>
        <w:rPr>
          <w:noProof/>
          <w:lang w:eastAsia="fr-FR"/>
        </w:rPr>
      </w:pPr>
      <w:bookmarkStart w:id="1" w:name="_CopyToNewDocument_"/>
      <w:bookmarkEnd w:id="1"/>
      <w:r>
        <w:rPr>
          <w:noProof/>
          <w:lang w:val="en-GB" w:eastAsia="fr-FR"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Съгласно член 16, параграф 2 от Директива 89/666/ЕО, държавите-членки предвиждат, че разпоредбите, посочени в параграф 1, се прилагат от 1 януари 1993 г. и, по отношение на счетоводни документи, се прилагат за първи път за годишните отчети за финансовата година, започваща на</w:t>
      </w:r>
      <w:r>
        <w:rPr>
          <w:lang w:val="en-GB"/>
        </w:rPr>
        <w:t> </w:t>
      </w:r>
      <w:r>
        <w:t>1</w:t>
      </w:r>
      <w:r>
        <w:rPr>
          <w:lang w:val="en-GB"/>
        </w:rPr>
        <w:t> </w:t>
      </w:r>
      <w:r>
        <w:t>януари 1993 г. или през 1993 година.</w:t>
      </w:r>
    </w:p>
  </w:footnote>
  <w:footnote w:id="2">
    <w:p>
      <w:pPr>
        <w:pStyle w:val="FootnoteText"/>
        <w:rPr>
          <w:rFonts w:eastAsia="Calibri"/>
          <w:lang w:val="lv-LV" w:eastAsia="en-GB"/>
        </w:rPr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>Съгласно член 5(2) от Директива 2012/17/ЕС не по-късно от 8 юни 2017 г. държавите-членки приемат, публикуват и прилагат разпоредбите, необходими за да се съобразят с:</w:t>
      </w:r>
      <w:r>
        <w:rPr>
          <w:rFonts w:eastAsia="Calibri"/>
          <w:noProof/>
          <w:lang w:eastAsia="en-GB"/>
        </w:rPr>
        <w:tab/>
      </w:r>
      <w:r>
        <w:rPr>
          <w:rFonts w:eastAsia="Calibri"/>
          <w:noProof/>
          <w:lang w:eastAsia="en-GB"/>
        </w:rPr>
        <w:br/>
        <w:t>–</w:t>
      </w:r>
      <w:r>
        <w:rPr>
          <w:rFonts w:eastAsia="Calibri"/>
          <w:noProof/>
          <w:lang w:eastAsia="en-GB"/>
        </w:rPr>
        <w:tab/>
      </w:r>
      <w:r>
        <w:t>Член 1, параграф 3 и 4 и член 5а от Директива 89/666/ЕИО</w:t>
      </w:r>
      <w:r>
        <w:rPr>
          <w:lang w:val="fi-FI"/>
        </w:rPr>
        <w:t>,</w:t>
      </w:r>
      <w:r>
        <w:rPr>
          <w:rFonts w:eastAsia="Calibri"/>
          <w:noProof/>
          <w:lang w:eastAsia="en-GB"/>
        </w:rPr>
        <w:tab/>
      </w:r>
      <w:r>
        <w:rPr>
          <w:rFonts w:eastAsia="Calibri"/>
          <w:noProof/>
          <w:lang w:eastAsia="en-GB"/>
        </w:rPr>
        <w:br/>
        <w:t>–</w:t>
      </w:r>
      <w:r>
        <w:rPr>
          <w:rFonts w:eastAsia="Calibri"/>
          <w:noProof/>
          <w:lang w:eastAsia="en-GB"/>
        </w:rPr>
        <w:tab/>
      </w:r>
      <w:r>
        <w:t>Член 13 от Директива 2005/56/ЕО,</w:t>
      </w:r>
      <w:r>
        <w:rPr>
          <w:rFonts w:eastAsia="Calibri"/>
          <w:noProof/>
          <w:lang w:eastAsia="en-GB"/>
        </w:rPr>
        <w:tab/>
      </w:r>
      <w:r>
        <w:rPr>
          <w:rFonts w:eastAsia="Calibri"/>
          <w:noProof/>
          <w:lang w:eastAsia="en-GB"/>
        </w:rPr>
        <w:br/>
        <w:t>–</w:t>
      </w:r>
      <w:r>
        <w:rPr>
          <w:rFonts w:eastAsia="Calibri"/>
          <w:noProof/>
          <w:lang w:eastAsia="en-GB"/>
        </w:rPr>
        <w:tab/>
      </w:r>
      <w:r>
        <w:t>Член 3, параграф 1, втора алинея, член 3б, член 3в, член 3г и член 4а, параграфи</w:t>
      </w:r>
      <w:r>
        <w:rPr>
          <w:lang w:val="fi-FI"/>
        </w:rPr>
        <w:t> </w:t>
      </w:r>
      <w:r>
        <w:t>3–5</w:t>
      </w:r>
      <w:r>
        <w:rPr>
          <w:lang w:val="fi-FI"/>
        </w:rPr>
        <w:br/>
      </w:r>
      <w:r>
        <w:rPr>
          <w:lang w:val="lv-LV"/>
        </w:rPr>
        <w:tab/>
      </w:r>
      <w:r>
        <w:rPr>
          <w:rFonts w:eastAsia="Calibri"/>
          <w:lang w:eastAsia="en-GB"/>
        </w:rPr>
        <w:t>от</w:t>
      </w:r>
      <w:r>
        <w:rPr>
          <w:rFonts w:eastAsia="Calibri"/>
          <w:lang w:val="lv-LV" w:eastAsia="en-GB"/>
        </w:rPr>
        <w:t> </w:t>
      </w:r>
      <w:r>
        <w:rPr>
          <w:rFonts w:eastAsia="Calibri"/>
          <w:lang w:eastAsia="en-GB"/>
        </w:rPr>
        <w:t>Директива</w:t>
      </w:r>
      <w:r>
        <w:rPr>
          <w:rFonts w:eastAsia="Calibri"/>
          <w:lang w:val="lv-LV" w:eastAsia="en-GB"/>
        </w:rPr>
        <w:t> </w:t>
      </w:r>
      <w:r>
        <w:rPr>
          <w:rFonts w:eastAsia="Calibri"/>
          <w:lang w:eastAsia="en-GB"/>
        </w:rPr>
        <w:t>2009/101/ЕО.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Според алинея трета на член 130, параграф 1 от Директива 2014/59/ЕС, държавите-членки прилагат разпоредбите, приети за да се съобразят с разпоредбите на раздел 5 от глава </w:t>
      </w:r>
      <w:r>
        <w:rPr>
          <w:lang w:val="lv-LV"/>
        </w:rPr>
        <w:t>IV</w:t>
      </w:r>
      <w:r>
        <w:t xml:space="preserve"> от дял </w:t>
      </w:r>
      <w:r>
        <w:rPr>
          <w:lang w:val="lv-LV"/>
        </w:rPr>
        <w:t>IV</w:t>
      </w:r>
      <w:r>
        <w:t xml:space="preserve"> от тази директива от 1 януари 2016 г. най-късно.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32468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0EC3B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A0874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67F8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FD2481"/>
    <w:multiLevelType w:val="multilevel"/>
    <w:tmpl w:val="BBAADA64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1B32F07"/>
    <w:multiLevelType w:val="multilevel"/>
    <w:tmpl w:val="6734C018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733065B"/>
    <w:multiLevelType w:val="singleLevel"/>
    <w:tmpl w:val="51A0C2B8"/>
    <w:name w:val="List Bullet 2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2E10EC"/>
    <w:multiLevelType w:val="singleLevel"/>
    <w:tmpl w:val="8648E354"/>
    <w:name w:val="List Bullet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C6F0385"/>
    <w:multiLevelType w:val="singleLevel"/>
    <w:tmpl w:val="5D5AB896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4E945993"/>
    <w:multiLevelType w:val="singleLevel"/>
    <w:tmpl w:val="286E58FA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6D0E0429"/>
    <w:multiLevelType w:val="multilevel"/>
    <w:tmpl w:val="28B89D1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6F4B4EDC"/>
    <w:multiLevelType w:val="singleLevel"/>
    <w:tmpl w:val="14F4473E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5">
    <w:nsid w:val="742A4FC9"/>
    <w:multiLevelType w:val="multilevel"/>
    <w:tmpl w:val="F5C052DE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744D6F2F"/>
    <w:multiLevelType w:val="singleLevel"/>
    <w:tmpl w:val="F94A0F7A"/>
    <w:name w:val="List Dash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7">
    <w:nsid w:val="74CA3D43"/>
    <w:multiLevelType w:val="multilevel"/>
    <w:tmpl w:val="EFE4A31E"/>
    <w:name w:val="List Dash 1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8"/>
  </w:num>
  <w:num w:numId="7">
    <w:abstractNumId w:val="16"/>
  </w:num>
  <w:num w:numId="8">
    <w:abstractNumId w:val="24"/>
  </w:num>
  <w:num w:numId="9">
    <w:abstractNumId w:val="11"/>
  </w:num>
  <w:num w:numId="10">
    <w:abstractNumId w:val="15"/>
  </w:num>
  <w:num w:numId="11">
    <w:abstractNumId w:val="23"/>
  </w:num>
  <w:num w:numId="12">
    <w:abstractNumId w:val="5"/>
  </w:num>
  <w:num w:numId="13">
    <w:abstractNumId w:val="27"/>
  </w:num>
  <w:num w:numId="14">
    <w:abstractNumId w:val="4"/>
  </w:num>
  <w:num w:numId="15">
    <w:abstractNumId w:val="25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</w:num>
  <w:num w:numId="19">
    <w:abstractNumId w:val="12"/>
  </w:num>
  <w:num w:numId="20">
    <w:abstractNumId w:val="22"/>
  </w:num>
  <w:num w:numId="21">
    <w:abstractNumId w:val="10"/>
  </w:num>
  <w:num w:numId="22">
    <w:abstractNumId w:val="13"/>
  </w:num>
  <w:num w:numId="23">
    <w:abstractNumId w:val="7"/>
  </w:num>
  <w:num w:numId="24">
    <w:abstractNumId w:val="21"/>
  </w:num>
  <w:num w:numId="25">
    <w:abstractNumId w:val="6"/>
  </w:num>
  <w:num w:numId="26">
    <w:abstractNumId w:val="14"/>
  </w:num>
  <w:num w:numId="27">
    <w:abstractNumId w:val="18"/>
  </w:num>
  <w:num w:numId="28">
    <w:abstractNumId w:val="19"/>
  </w:num>
  <w:num w:numId="29">
    <w:abstractNumId w:val="9"/>
  </w:num>
  <w:num w:numId="30">
    <w:abstractNumId w:val="17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Ref0" w:val="2012/30/EC"/>
    <w:docVar w:name="CR_Ref1" w:val="2013/24/EC"/>
    <w:docVar w:name="CR_Ref2" w:val="2009/101/EO"/>
    <w:docVar w:name="CR_RefCount" w:val="3"/>
    <w:docVar w:name="CR_RefLast" w:val="4"/>
    <w:docVar w:name="CR_TimeStamp" w:val="15:37:05"/>
    <w:docVar w:name="DQCDateTime" w:val="2015-11-24 15:18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"/>
    <w:docVar w:name="LW_ACCOMPAGNANT.CP" w:val="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61F7D93296954D27ABBE54096D7B7AE7"/>
    <w:docVar w:name="LW_CROSSREFERENCE" w:val="&lt;UNUSED&gt;"/>
    <w:docVar w:name="LW_DocType" w:val="ANNEX"/>
    <w:docVar w:name="LW_EMISSION" w:val="3.12.2015"/>
    <w:docVar w:name="LW_EMISSION_ISODATE" w:val="2015-12-0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(\u1090?\u1077?\u1082?\u1089?\u1090? \u1086?\u1090? \u1079?\u1085?\u1072?\u1095?\u1077?\u1085?\u1080?\u1077? \u1079?\u1072? \u1045?\u1048?\u1055?)"/>
    <w:docVar w:name="LW_OBJETACTEPRINCIPAL.CP" w:val="(\u1090?\u1077?\u1082?\u1089?\u1090? \u1086?\u1090? \u1079?\u1085?\u1072?\u1095?\u1077?\u1085?\u1080?\u1077? \u1079?\u1072? \u1045?\u1048?\u1055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616"/>
    <w:docVar w:name="LW_REF.INTERNE" w:val="&lt;UNUSED&gt;"/>
    <w:docVar w:name="LW_SUPERTITRE" w:val="&lt;UNUSED&gt;"/>
    <w:docVar w:name="LW_TITRE.OBJ" w:val="\u1055?\u1088?\u1077?\u1076?\u1083?\u1086?\u1078?\u1077?\u1085?\u1080?\u1077? \u1079?\u1072?_x000b__x000b_"/>
    <w:docVar w:name="LW_TITRE.OBJ.CP" w:val="\u1055?\u1088?\u1077?\u1076?\u1083?\u1086?\u1078?\u1077?\u1085?\u1080?\u1077? \u1079?\u1072?_x000b__x000b_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86?\u1090?\u1085?\u1086?\u1089?\u1085?\u1086? \u1085?\u1103?\u1082?\u1086?\u1080? \u1072?\u1089?\u1087?\u1077?\u1082?\u1090?\u1080? \u1085?\u1072? \u1076?\u1088?\u1091?\u1078?\u1077?\u1089?\u1090?\u1074?\u1077?\u1085?\u1086?\u1090?\u1086? \u1087?\u1088?\u1072?\u1074?\u1086? (\u1082?\u1086?\u1076?\u1080?\u1092?\u1080?\u1094?\u1080?\u1088?\u1072?\u1085? \u1090?\u1077?\u1082?\u1089?\u1090?)"/>
    <w:docVar w:name="LW_TYPEACTEPRINCIPAL.CP" w:val="\u1086?\u1090?\u1085?\u1086?\u1089?\u1085?\u1086? \u1085?\u1103?\u1082?\u1086?\u1080? \u1072?\u1089?\u1087?\u1077?\u1082?\u1090?\u1080? \u1085?\u1072? \u1076?\u1088?\u1091?\u1078?\u1077?\u1089?\u1090?\u1074?\u1077?\u1085?\u1086?\u1090?\u1086? \u1087?\u1088?\u1072?\u1074?\u1086? (\u1082?\u1086?\u1076?\u1080?\u1092?\u1080?\u1094?\u1080?\u1088?\u1072?\u1085? \u1090?\u1077?\u1082?\u1089?\u1090?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4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val="en-GB"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val="en-GB"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val="en-GB"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paragraph" w:customStyle="1" w:styleId="CRSeparator">
    <w:name w:val="CR Separator"/>
    <w:basedOn w:val="Normal"/>
    <w:link w:val="CRSeparatorChar"/>
    <w:uiPriority w:val="99"/>
    <w:pPr>
      <w:keepNext/>
      <w:pBdr>
        <w:top w:val="single" w:sz="4" w:space="1" w:color="auto"/>
      </w:pBdr>
      <w:spacing w:before="240"/>
      <w:ind w:right="40"/>
    </w:pPr>
  </w:style>
  <w:style w:type="character" w:customStyle="1" w:styleId="TypedudocumentChar">
    <w:name w:val="Type du document Char"/>
    <w:basedOn w:val="DefaultParagraphFont"/>
    <w:rPr>
      <w:rFonts w:ascii="Times New Roman" w:hAnsi="Times New Roman" w:cs="Times New Roman"/>
      <w:b/>
      <w:sz w:val="24"/>
      <w:lang w:val="bg-BG"/>
    </w:rPr>
  </w:style>
  <w:style w:type="character" w:customStyle="1" w:styleId="CRSeparatorChar">
    <w:name w:val="CR Separator Char"/>
    <w:basedOn w:val="TypedudocumentChar"/>
    <w:link w:val="CRSeparator"/>
    <w:uiPriority w:val="99"/>
    <w:rPr>
      <w:rFonts w:ascii="Times New Roman" w:hAnsi="Times New Roman" w:cs="Times New Roman"/>
      <w:b w:val="0"/>
      <w:sz w:val="24"/>
      <w:lang w:val="bg-BG"/>
    </w:rPr>
  </w:style>
  <w:style w:type="paragraph" w:customStyle="1" w:styleId="CRReference">
    <w:name w:val="CR Reference"/>
    <w:basedOn w:val="Normal"/>
    <w:link w:val="CRReferenceChar"/>
    <w:uiPriority w:val="99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0" w:after="0"/>
      <w:ind w:left="5669" w:right="40"/>
    </w:pPr>
  </w:style>
  <w:style w:type="character" w:customStyle="1" w:styleId="CRReferenceChar">
    <w:name w:val="CR Reference Char"/>
    <w:basedOn w:val="TypedudocumentChar"/>
    <w:link w:val="CRReference"/>
    <w:uiPriority w:val="99"/>
    <w:rPr>
      <w:rFonts w:ascii="Times New Roman" w:hAnsi="Times New Roman" w:cs="Times New Roman"/>
      <w:b w:val="0"/>
      <w:sz w:val="24"/>
      <w:lang w:val="bg-BG"/>
    </w:rPr>
  </w:style>
  <w:style w:type="character" w:customStyle="1" w:styleId="CRMarker">
    <w:name w:val="CR Marker"/>
    <w:basedOn w:val="DefaultParagraphFont"/>
    <w:uiPriority w:val="99"/>
    <w:rPr>
      <w:rFonts w:ascii="Wingdings" w:hAnsi="Wingdings"/>
      <w:lang w:val="bg-BG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4"/>
      </w:numPr>
      <w:contextualSpacing/>
    </w:pPr>
  </w:style>
  <w:style w:type="character" w:customStyle="1" w:styleId="CRDeleted">
    <w:name w:val="CR Deleted"/>
    <w:basedOn w:val="DefaultParagraphFont"/>
    <w:uiPriority w:val="99"/>
    <w:rPr>
      <w:b w:val="0"/>
      <w:strike w:val="0"/>
      <w:dstrike/>
    </w:rPr>
  </w:style>
  <w:style w:type="character" w:customStyle="1" w:styleId="CRMinorChangeAdded">
    <w:name w:val="CR Minor Change Added"/>
    <w:basedOn w:val="DefaultParagraphFont"/>
    <w:uiPriority w:val="99"/>
    <w:rPr>
      <w:u w:val="double"/>
      <w:lang w:val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character" w:customStyle="1" w:styleId="NormalCenteredChar">
    <w:name w:val="Normal Centered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character" w:customStyle="1" w:styleId="Point0Char">
    <w:name w:val="Point 0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val="en-GB" w:eastAsia="fr-FR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val="en-GB" w:eastAsia="fr-FR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val="en-GB" w:eastAsia="fr-FR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en-GB" w:eastAsia="fr-FR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en-GB" w:eastAsia="fr-FR"/>
    </w:rPr>
  </w:style>
  <w:style w:type="character" w:styleId="PageNumber">
    <w:name w:val="page number"/>
    <w:uiPriority w:val="99"/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val="en-GB" w:eastAsia="fr-FR"/>
    </w:rPr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fr-FR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fr-FR"/>
    </w:rPr>
  </w:style>
  <w:style w:type="character" w:customStyle="1" w:styleId="CRMinorChangeDeleted">
    <w:name w:val="CR Minor Change Deleted"/>
    <w:uiPriority w:val="99"/>
    <w:rPr>
      <w:dstrike/>
      <w:u w:val="double"/>
      <w:lang w:val="en-GB" w:eastAsia="x-none"/>
    </w:rPr>
  </w:style>
  <w:style w:type="character" w:customStyle="1" w:styleId="CRRefNum">
    <w:name w:val="CR RefNum"/>
    <w:uiPriority w:val="99"/>
    <w:rPr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pPr>
      <w:autoSpaceDE w:val="0"/>
      <w:autoSpaceDN w:val="0"/>
    </w:pPr>
    <w:rPr>
      <w:rFonts w:ascii="Tahoma" w:eastAsia="Times New Roman" w:hAnsi="Tahoma" w:cs="Tahoma"/>
      <w:sz w:val="16"/>
      <w:szCs w:val="16"/>
      <w:lang w:val="en-GB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Statutprliminaire">
    <w:name w:val="Statu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szCs w:val="20"/>
      <w:lang w:val="en-GB" w:eastAsia="zh-CN"/>
    </w:rPr>
  </w:style>
  <w:style w:type="paragraph" w:customStyle="1" w:styleId="Titreobjetprliminaire">
    <w:name w:val="Titre objet (préliminaire)"/>
    <w:basedOn w:val="Normal"/>
    <w:next w:val="Normal"/>
    <w:uiPriority w:val="99"/>
    <w:pPr>
      <w:spacing w:before="360" w:after="36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Typedudocumentprliminaire">
    <w:name w:val="Type du documen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Sous-titreobjetprliminaire">
    <w:name w:val="Sous-titre objet (préliminaire)"/>
    <w:basedOn w:val="Normal"/>
    <w:uiPriority w:val="99"/>
    <w:pPr>
      <w:spacing w:before="0" w:after="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pPr>
      <w:spacing w:before="0" w:after="0"/>
      <w:ind w:left="5103"/>
      <w:jc w:val="left"/>
    </w:pPr>
    <w:rPr>
      <w:rFonts w:eastAsia="Times New Roman"/>
      <w:szCs w:val="20"/>
      <w:lang w:val="en-GB" w:eastAsia="zh-CN"/>
    </w:rPr>
  </w:style>
  <w:style w:type="paragraph" w:customStyle="1" w:styleId="hd">
    <w:name w:val="hd"/>
    <w:uiPriority w:val="99"/>
    <w:pPr>
      <w:widowControl w:val="0"/>
      <w:tabs>
        <w:tab w:val="left" w:pos="0"/>
        <w:tab w:val="left" w:pos="1440"/>
        <w:tab w:val="left" w:pos="2880"/>
        <w:tab w:val="left" w:pos="4320"/>
      </w:tabs>
      <w:spacing w:before="10" w:after="384" w:line="209" w:lineRule="atLeast"/>
      <w:jc w:val="center"/>
    </w:pPr>
    <w:rPr>
      <w:rFonts w:ascii="Thames" w:eastAsia="Times New Roman" w:hAnsi="Thames" w:cs="Times New Roman"/>
      <w:b/>
      <w:sz w:val="18"/>
      <w:u w:val="single"/>
      <w:lang w:eastAsia="en-GB"/>
    </w:rPr>
  </w:style>
  <w:style w:type="paragraph" w:styleId="Title">
    <w:name w:val="Title"/>
    <w:basedOn w:val="Normal"/>
    <w:link w:val="TitleChar"/>
    <w:uiPriority w:val="99"/>
    <w:qFormat/>
    <w:pPr>
      <w:spacing w:before="0" w:after="0"/>
      <w:jc w:val="center"/>
    </w:pPr>
    <w:rPr>
      <w:rFonts w:eastAsia="Times New Roman"/>
      <w:b/>
      <w:szCs w:val="20"/>
      <w:u w:val="single"/>
      <w:lang w:val="nl-BE" w:eastAsia="zh-CN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sz w:val="24"/>
      <w:szCs w:val="20"/>
      <w:u w:val="single"/>
      <w:lang w:val="nl-BE" w:eastAsia="zh-CN"/>
    </w:rPr>
  </w:style>
  <w:style w:type="paragraph" w:customStyle="1" w:styleId="Communicationtitre">
    <w:name w:val="Communication titre"/>
    <w:basedOn w:val="Normal"/>
    <w:next w:val="Normal"/>
    <w:uiPriority w:val="99"/>
    <w:pPr>
      <w:jc w:val="center"/>
    </w:pPr>
    <w:rPr>
      <w:rFonts w:eastAsia="Times New Roman"/>
      <w:b/>
      <w:szCs w:val="20"/>
      <w:u w:val="single"/>
      <w:lang w:val="en-GB" w:eastAsia="zh-CN"/>
    </w:rPr>
  </w:style>
  <w:style w:type="paragraph" w:styleId="ListNumber">
    <w:name w:val="List Number"/>
    <w:basedOn w:val="Normal"/>
    <w:uiPriority w:val="99"/>
    <w:pPr>
      <w:numPr>
        <w:numId w:val="11"/>
      </w:numPr>
    </w:pPr>
    <w:rPr>
      <w:rFonts w:eastAsia="Times New Roman"/>
      <w:szCs w:val="20"/>
      <w:lang w:val="en-GB" w:eastAsia="zh-CN"/>
    </w:rPr>
  </w:style>
  <w:style w:type="paragraph" w:styleId="ListNumber2">
    <w:name w:val="List Number 2"/>
    <w:basedOn w:val="Normal"/>
    <w:uiPriority w:val="99"/>
    <w:pPr>
      <w:numPr>
        <w:numId w:val="13"/>
      </w:numPr>
    </w:pPr>
    <w:rPr>
      <w:rFonts w:eastAsia="Times New Roman"/>
      <w:szCs w:val="20"/>
      <w:lang w:val="en-GB" w:eastAsia="zh-CN"/>
    </w:rPr>
  </w:style>
  <w:style w:type="paragraph" w:styleId="ListNumber3">
    <w:name w:val="List Number 3"/>
    <w:basedOn w:val="Normal"/>
    <w:uiPriority w:val="99"/>
    <w:pPr>
      <w:numPr>
        <w:numId w:val="14"/>
      </w:numPr>
    </w:pPr>
    <w:rPr>
      <w:rFonts w:eastAsia="Times New Roman"/>
      <w:szCs w:val="20"/>
      <w:lang w:val="en-GB" w:eastAsia="zh-CN"/>
    </w:rPr>
  </w:style>
  <w:style w:type="paragraph" w:styleId="ListNumber4">
    <w:name w:val="List Number 4"/>
    <w:basedOn w:val="Normal"/>
    <w:uiPriority w:val="99"/>
    <w:pPr>
      <w:numPr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Bullet1">
    <w:name w:val="List Bullet 1"/>
    <w:basedOn w:val="Normal"/>
    <w:uiPriority w:val="99"/>
    <w:pPr>
      <w:numPr>
        <w:numId w:val="5"/>
      </w:numPr>
    </w:pPr>
    <w:rPr>
      <w:rFonts w:eastAsia="Times New Roman"/>
      <w:szCs w:val="20"/>
      <w:lang w:val="en-GB" w:eastAsia="zh-CN"/>
    </w:rPr>
  </w:style>
  <w:style w:type="paragraph" w:customStyle="1" w:styleId="ListDash">
    <w:name w:val="List Dash"/>
    <w:basedOn w:val="Normal"/>
    <w:uiPriority w:val="99"/>
    <w:pPr>
      <w:numPr>
        <w:numId w:val="6"/>
      </w:numPr>
    </w:pPr>
    <w:rPr>
      <w:rFonts w:eastAsia="Times New Roman"/>
      <w:szCs w:val="20"/>
      <w:lang w:val="en-GB" w:eastAsia="zh-CN"/>
    </w:rPr>
  </w:style>
  <w:style w:type="paragraph" w:customStyle="1" w:styleId="ListDash1">
    <w:name w:val="List Dash 1"/>
    <w:basedOn w:val="Normal"/>
    <w:uiPriority w:val="99"/>
    <w:pPr>
      <w:numPr>
        <w:numId w:val="7"/>
      </w:numPr>
    </w:pPr>
    <w:rPr>
      <w:rFonts w:eastAsia="Times New Roman"/>
      <w:szCs w:val="20"/>
      <w:lang w:val="en-GB" w:eastAsia="zh-CN"/>
    </w:rPr>
  </w:style>
  <w:style w:type="paragraph" w:customStyle="1" w:styleId="ListDash2">
    <w:name w:val="List Dash 2"/>
    <w:basedOn w:val="Normal"/>
    <w:uiPriority w:val="99"/>
    <w:pPr>
      <w:numPr>
        <w:numId w:val="8"/>
      </w:numPr>
    </w:pPr>
    <w:rPr>
      <w:rFonts w:eastAsia="Times New Roman"/>
      <w:szCs w:val="20"/>
      <w:lang w:val="en-GB" w:eastAsia="zh-CN"/>
    </w:rPr>
  </w:style>
  <w:style w:type="paragraph" w:customStyle="1" w:styleId="ListDash3">
    <w:name w:val="List Dash 3"/>
    <w:basedOn w:val="Normal"/>
    <w:uiPriority w:val="99"/>
    <w:pPr>
      <w:numPr>
        <w:numId w:val="9"/>
      </w:numPr>
    </w:pPr>
    <w:rPr>
      <w:rFonts w:eastAsia="Times New Roman"/>
      <w:szCs w:val="20"/>
      <w:lang w:val="en-GB" w:eastAsia="zh-CN"/>
    </w:rPr>
  </w:style>
  <w:style w:type="paragraph" w:customStyle="1" w:styleId="ListDash4">
    <w:name w:val="List Dash 4"/>
    <w:basedOn w:val="Normal"/>
    <w:uiPriority w:val="99"/>
    <w:pPr>
      <w:numPr>
        <w:numId w:val="10"/>
      </w:numPr>
    </w:pPr>
    <w:rPr>
      <w:rFonts w:eastAsia="Times New Roman"/>
      <w:szCs w:val="20"/>
      <w:lang w:val="en-GB" w:eastAsia="zh-CN"/>
    </w:rPr>
  </w:style>
  <w:style w:type="paragraph" w:customStyle="1" w:styleId="ListNumber1">
    <w:name w:val="List Number 1"/>
    <w:basedOn w:val="Text1"/>
    <w:uiPriority w:val="99"/>
    <w:pPr>
      <w:numPr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1"/>
      </w:numPr>
    </w:pPr>
    <w:rPr>
      <w:rFonts w:eastAsia="Times New Roman"/>
      <w:szCs w:val="20"/>
      <w:lang w:val="en-GB" w:eastAsia="zh-CN"/>
    </w:r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1"/>
      </w:numPr>
    </w:pPr>
    <w:rPr>
      <w:rFonts w:eastAsia="Times New Roman"/>
      <w:szCs w:val="20"/>
      <w:lang w:val="en-GB" w:eastAsia="zh-CN"/>
    </w:r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1"/>
      </w:numPr>
    </w:pPr>
    <w:rPr>
      <w:rFonts w:eastAsia="Times New Roman"/>
      <w:szCs w:val="20"/>
      <w:lang w:val="en-GB" w:eastAsia="zh-CN"/>
    </w:r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5"/>
      </w:numPr>
    </w:pPr>
    <w:rPr>
      <w:rFonts w:eastAsia="Times New Roman"/>
      <w:szCs w:val="20"/>
      <w:lang w:val="en-GB"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uiPriority w:val="20"/>
    <w:qFormat/>
    <w:rPr>
      <w:i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Strong">
    <w:name w:val="Strong"/>
    <w:uiPriority w:val="22"/>
    <w:qFormat/>
    <w:rPr>
      <w:b/>
    </w:rPr>
  </w:style>
  <w:style w:type="paragraph" w:customStyle="1" w:styleId="Clear">
    <w:name w:val="Clear"/>
    <w:basedOn w:val="Point0"/>
    <w:link w:val="ClearChar"/>
    <w:uiPriority w:val="99"/>
    <w:pPr>
      <w:autoSpaceDE w:val="0"/>
      <w:autoSpaceDN w:val="0"/>
      <w:ind w:left="851" w:hanging="851"/>
    </w:pPr>
    <w:rPr>
      <w:rFonts w:eastAsia="Times New Roman"/>
      <w:color w:val="FF0000"/>
      <w:szCs w:val="24"/>
      <w:lang w:val="en-GB" w:eastAsia="fr-FR"/>
    </w:rPr>
  </w:style>
  <w:style w:type="character" w:customStyle="1" w:styleId="ClearChar">
    <w:name w:val="Clear Char"/>
    <w:link w:val="Clear"/>
    <w:uiPriority w:val="99"/>
    <w:locked/>
    <w:rPr>
      <w:rFonts w:ascii="Times New Roman" w:eastAsia="Times New Roman" w:hAnsi="Times New Roman" w:cs="Times New Roman"/>
      <w:color w:val="FF0000"/>
      <w:sz w:val="24"/>
      <w:szCs w:val="24"/>
      <w:lang w:val="en-GB" w:eastAsia="fr-FR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customStyle="1" w:styleId="Lignefinal">
    <w:name w:val="Ligne final"/>
    <w:basedOn w:val="Normal"/>
    <w:next w:val="Normal"/>
    <w:uiPriority w:val="99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4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  <w:lang w:val="en-GB" w:eastAsia="fr-FR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  <w:jc w:val="left"/>
    </w:pPr>
    <w:rPr>
      <w:rFonts w:ascii="Calibri" w:eastAsia="Calibri" w:hAnsi="Calibri"/>
      <w:sz w:val="22"/>
      <w:szCs w:val="21"/>
      <w:lang w:val="en-GB" w:eastAsia="fr-FR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en-GB" w:eastAsia="fr-FR"/>
    </w:rPr>
  </w:style>
  <w:style w:type="character" w:customStyle="1" w:styleId="boldface">
    <w:name w:val="boldface"/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  <w:lang w:val="en-GB" w:eastAsia="fr-FR"/>
    </w:rPr>
  </w:style>
  <w:style w:type="paragraph" w:customStyle="1" w:styleId="Foot">
    <w:name w:val="Foot"/>
    <w:basedOn w:val="FootnoteTex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/>
    </w:rPr>
  </w:style>
  <w:style w:type="paragraph" w:customStyle="1" w:styleId="Footnotet">
    <w:name w:val="Footnote t"/>
    <w:basedOn w:val="Normal"/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8"/>
      </w:numPr>
    </w:pPr>
  </w:style>
  <w:style w:type="paragraph" w:customStyle="1" w:styleId="Tiret1">
    <w:name w:val="Tiret 1"/>
    <w:basedOn w:val="Point1"/>
    <w:pPr>
      <w:numPr>
        <w:numId w:val="19"/>
      </w:numPr>
    </w:pPr>
  </w:style>
  <w:style w:type="paragraph" w:customStyle="1" w:styleId="Tiret2">
    <w:name w:val="Tiret 2"/>
    <w:basedOn w:val="Point2"/>
    <w:pPr>
      <w:numPr>
        <w:numId w:val="20"/>
      </w:numPr>
    </w:pPr>
  </w:style>
  <w:style w:type="paragraph" w:customStyle="1" w:styleId="Tiret3">
    <w:name w:val="Tiret 3"/>
    <w:basedOn w:val="Point3"/>
    <w:pPr>
      <w:numPr>
        <w:numId w:val="21"/>
      </w:numPr>
    </w:pPr>
  </w:style>
  <w:style w:type="paragraph" w:customStyle="1" w:styleId="Tiret4">
    <w:name w:val="Tiret 4"/>
    <w:basedOn w:val="Point4"/>
    <w:pPr>
      <w:numPr>
        <w:numId w:val="2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5"/>
      </w:numPr>
    </w:pPr>
  </w:style>
  <w:style w:type="paragraph" w:customStyle="1" w:styleId="Point1number">
    <w:name w:val="Point 1 (number)"/>
    <w:basedOn w:val="Normal"/>
    <w:pPr>
      <w:numPr>
        <w:ilvl w:val="2"/>
        <w:numId w:val="25"/>
      </w:numPr>
    </w:pPr>
  </w:style>
  <w:style w:type="paragraph" w:customStyle="1" w:styleId="Point2number">
    <w:name w:val="Point 2 (number)"/>
    <w:basedOn w:val="Normal"/>
    <w:pPr>
      <w:numPr>
        <w:ilvl w:val="4"/>
        <w:numId w:val="25"/>
      </w:numPr>
    </w:pPr>
  </w:style>
  <w:style w:type="paragraph" w:customStyle="1" w:styleId="Point3number">
    <w:name w:val="Point 3 (number)"/>
    <w:basedOn w:val="Normal"/>
    <w:pPr>
      <w:numPr>
        <w:ilvl w:val="6"/>
        <w:numId w:val="25"/>
      </w:numPr>
    </w:pPr>
  </w:style>
  <w:style w:type="paragraph" w:customStyle="1" w:styleId="Point0letter">
    <w:name w:val="Point 0 (letter)"/>
    <w:basedOn w:val="Normal"/>
    <w:pPr>
      <w:numPr>
        <w:ilvl w:val="1"/>
        <w:numId w:val="25"/>
      </w:numPr>
    </w:pPr>
  </w:style>
  <w:style w:type="paragraph" w:customStyle="1" w:styleId="Point1letter">
    <w:name w:val="Point 1 (letter)"/>
    <w:basedOn w:val="Normal"/>
    <w:pPr>
      <w:numPr>
        <w:ilvl w:val="3"/>
        <w:numId w:val="25"/>
      </w:numPr>
    </w:pPr>
  </w:style>
  <w:style w:type="paragraph" w:customStyle="1" w:styleId="Point2letter">
    <w:name w:val="Point 2 (letter)"/>
    <w:basedOn w:val="Normal"/>
    <w:pPr>
      <w:numPr>
        <w:ilvl w:val="5"/>
        <w:numId w:val="25"/>
      </w:numPr>
    </w:pPr>
  </w:style>
  <w:style w:type="paragraph" w:customStyle="1" w:styleId="Point3letter">
    <w:name w:val="Point 3 (letter)"/>
    <w:basedOn w:val="Normal"/>
    <w:pPr>
      <w:numPr>
        <w:ilvl w:val="7"/>
        <w:numId w:val="25"/>
      </w:numPr>
    </w:pPr>
  </w:style>
  <w:style w:type="paragraph" w:customStyle="1" w:styleId="Point4letter">
    <w:name w:val="Point 4 (letter)"/>
    <w:basedOn w:val="Normal"/>
    <w:pPr>
      <w:numPr>
        <w:ilvl w:val="8"/>
        <w:numId w:val="25"/>
      </w:numPr>
    </w:pPr>
  </w:style>
  <w:style w:type="paragraph" w:customStyle="1" w:styleId="Bullet0">
    <w:name w:val="Bullet 0"/>
    <w:basedOn w:val="Normal"/>
    <w:pPr>
      <w:numPr>
        <w:numId w:val="26"/>
      </w:numPr>
    </w:pPr>
  </w:style>
  <w:style w:type="paragraph" w:customStyle="1" w:styleId="Bullet1">
    <w:name w:val="Bullet 1"/>
    <w:basedOn w:val="Normal"/>
    <w:pPr>
      <w:numPr>
        <w:numId w:val="27"/>
      </w:numPr>
    </w:pPr>
  </w:style>
  <w:style w:type="paragraph" w:customStyle="1" w:styleId="Bullet2">
    <w:name w:val="Bullet 2"/>
    <w:basedOn w:val="Normal"/>
    <w:pPr>
      <w:numPr>
        <w:numId w:val="28"/>
      </w:numPr>
    </w:pPr>
  </w:style>
  <w:style w:type="paragraph" w:customStyle="1" w:styleId="Bullet3">
    <w:name w:val="Bullet 3"/>
    <w:basedOn w:val="Normal"/>
    <w:pPr>
      <w:numPr>
        <w:numId w:val="29"/>
      </w:numPr>
    </w:pPr>
  </w:style>
  <w:style w:type="paragraph" w:customStyle="1" w:styleId="Bullet4">
    <w:name w:val="Bullet 4"/>
    <w:basedOn w:val="Normal"/>
    <w:pPr>
      <w:numPr>
        <w:numId w:val="3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4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val="en-GB"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val="en-GB"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val="en-GB"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paragraph" w:customStyle="1" w:styleId="CRSeparator">
    <w:name w:val="CR Separator"/>
    <w:basedOn w:val="Normal"/>
    <w:link w:val="CRSeparatorChar"/>
    <w:uiPriority w:val="99"/>
    <w:pPr>
      <w:keepNext/>
      <w:pBdr>
        <w:top w:val="single" w:sz="4" w:space="1" w:color="auto"/>
      </w:pBdr>
      <w:spacing w:before="240"/>
      <w:ind w:right="40"/>
    </w:pPr>
  </w:style>
  <w:style w:type="character" w:customStyle="1" w:styleId="TypedudocumentChar">
    <w:name w:val="Type du document Char"/>
    <w:basedOn w:val="DefaultParagraphFont"/>
    <w:rPr>
      <w:rFonts w:ascii="Times New Roman" w:hAnsi="Times New Roman" w:cs="Times New Roman"/>
      <w:b/>
      <w:sz w:val="24"/>
      <w:lang w:val="bg-BG"/>
    </w:rPr>
  </w:style>
  <w:style w:type="character" w:customStyle="1" w:styleId="CRSeparatorChar">
    <w:name w:val="CR Separator Char"/>
    <w:basedOn w:val="TypedudocumentChar"/>
    <w:link w:val="CRSeparator"/>
    <w:uiPriority w:val="99"/>
    <w:rPr>
      <w:rFonts w:ascii="Times New Roman" w:hAnsi="Times New Roman" w:cs="Times New Roman"/>
      <w:b w:val="0"/>
      <w:sz w:val="24"/>
      <w:lang w:val="bg-BG"/>
    </w:rPr>
  </w:style>
  <w:style w:type="paragraph" w:customStyle="1" w:styleId="CRReference">
    <w:name w:val="CR Reference"/>
    <w:basedOn w:val="Normal"/>
    <w:link w:val="CRReferenceChar"/>
    <w:uiPriority w:val="99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0" w:after="0"/>
      <w:ind w:left="5669" w:right="40"/>
    </w:pPr>
  </w:style>
  <w:style w:type="character" w:customStyle="1" w:styleId="CRReferenceChar">
    <w:name w:val="CR Reference Char"/>
    <w:basedOn w:val="TypedudocumentChar"/>
    <w:link w:val="CRReference"/>
    <w:uiPriority w:val="99"/>
    <w:rPr>
      <w:rFonts w:ascii="Times New Roman" w:hAnsi="Times New Roman" w:cs="Times New Roman"/>
      <w:b w:val="0"/>
      <w:sz w:val="24"/>
      <w:lang w:val="bg-BG"/>
    </w:rPr>
  </w:style>
  <w:style w:type="character" w:customStyle="1" w:styleId="CRMarker">
    <w:name w:val="CR Marker"/>
    <w:basedOn w:val="DefaultParagraphFont"/>
    <w:uiPriority w:val="99"/>
    <w:rPr>
      <w:rFonts w:ascii="Wingdings" w:hAnsi="Wingdings"/>
      <w:lang w:val="bg-BG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4"/>
      </w:numPr>
      <w:contextualSpacing/>
    </w:pPr>
  </w:style>
  <w:style w:type="character" w:customStyle="1" w:styleId="CRDeleted">
    <w:name w:val="CR Deleted"/>
    <w:basedOn w:val="DefaultParagraphFont"/>
    <w:uiPriority w:val="99"/>
    <w:rPr>
      <w:b w:val="0"/>
      <w:strike w:val="0"/>
      <w:dstrike/>
    </w:rPr>
  </w:style>
  <w:style w:type="character" w:customStyle="1" w:styleId="CRMinorChangeAdded">
    <w:name w:val="CR Minor Change Added"/>
    <w:basedOn w:val="DefaultParagraphFont"/>
    <w:uiPriority w:val="99"/>
    <w:rPr>
      <w:u w:val="double"/>
      <w:lang w:val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character" w:customStyle="1" w:styleId="NormalCenteredChar">
    <w:name w:val="Normal Centered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character" w:customStyle="1" w:styleId="Point0Char">
    <w:name w:val="Point 0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val="en-GB" w:eastAsia="fr-FR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val="en-GB" w:eastAsia="fr-FR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val="en-GB" w:eastAsia="fr-FR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en-GB" w:eastAsia="fr-FR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en-GB" w:eastAsia="fr-FR"/>
    </w:rPr>
  </w:style>
  <w:style w:type="character" w:styleId="PageNumber">
    <w:name w:val="page number"/>
    <w:uiPriority w:val="99"/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val="en-GB" w:eastAsia="fr-FR"/>
    </w:rPr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fr-FR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fr-FR"/>
    </w:rPr>
  </w:style>
  <w:style w:type="character" w:customStyle="1" w:styleId="CRMinorChangeDeleted">
    <w:name w:val="CR Minor Change Deleted"/>
    <w:uiPriority w:val="99"/>
    <w:rPr>
      <w:dstrike/>
      <w:u w:val="double"/>
      <w:lang w:val="en-GB" w:eastAsia="x-none"/>
    </w:rPr>
  </w:style>
  <w:style w:type="character" w:customStyle="1" w:styleId="CRRefNum">
    <w:name w:val="CR RefNum"/>
    <w:uiPriority w:val="99"/>
    <w:rPr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pPr>
      <w:autoSpaceDE w:val="0"/>
      <w:autoSpaceDN w:val="0"/>
    </w:pPr>
    <w:rPr>
      <w:rFonts w:ascii="Tahoma" w:eastAsia="Times New Roman" w:hAnsi="Tahoma" w:cs="Tahoma"/>
      <w:sz w:val="16"/>
      <w:szCs w:val="16"/>
      <w:lang w:val="en-GB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Statutprliminaire">
    <w:name w:val="Statu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szCs w:val="20"/>
      <w:lang w:val="en-GB" w:eastAsia="zh-CN"/>
    </w:rPr>
  </w:style>
  <w:style w:type="paragraph" w:customStyle="1" w:styleId="Titreobjetprliminaire">
    <w:name w:val="Titre objet (préliminaire)"/>
    <w:basedOn w:val="Normal"/>
    <w:next w:val="Normal"/>
    <w:uiPriority w:val="99"/>
    <w:pPr>
      <w:spacing w:before="360" w:after="36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Typedudocumentprliminaire">
    <w:name w:val="Type du documen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Sous-titreobjetprliminaire">
    <w:name w:val="Sous-titre objet (préliminaire)"/>
    <w:basedOn w:val="Normal"/>
    <w:uiPriority w:val="99"/>
    <w:pPr>
      <w:spacing w:before="0" w:after="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pPr>
      <w:spacing w:before="0" w:after="0"/>
      <w:ind w:left="5103"/>
      <w:jc w:val="left"/>
    </w:pPr>
    <w:rPr>
      <w:rFonts w:eastAsia="Times New Roman"/>
      <w:szCs w:val="20"/>
      <w:lang w:val="en-GB" w:eastAsia="zh-CN"/>
    </w:rPr>
  </w:style>
  <w:style w:type="paragraph" w:customStyle="1" w:styleId="hd">
    <w:name w:val="hd"/>
    <w:uiPriority w:val="99"/>
    <w:pPr>
      <w:widowControl w:val="0"/>
      <w:tabs>
        <w:tab w:val="left" w:pos="0"/>
        <w:tab w:val="left" w:pos="1440"/>
        <w:tab w:val="left" w:pos="2880"/>
        <w:tab w:val="left" w:pos="4320"/>
      </w:tabs>
      <w:spacing w:before="10" w:after="384" w:line="209" w:lineRule="atLeast"/>
      <w:jc w:val="center"/>
    </w:pPr>
    <w:rPr>
      <w:rFonts w:ascii="Thames" w:eastAsia="Times New Roman" w:hAnsi="Thames" w:cs="Times New Roman"/>
      <w:b/>
      <w:sz w:val="18"/>
      <w:u w:val="single"/>
      <w:lang w:eastAsia="en-GB"/>
    </w:rPr>
  </w:style>
  <w:style w:type="paragraph" w:styleId="Title">
    <w:name w:val="Title"/>
    <w:basedOn w:val="Normal"/>
    <w:link w:val="TitleChar"/>
    <w:uiPriority w:val="99"/>
    <w:qFormat/>
    <w:pPr>
      <w:spacing w:before="0" w:after="0"/>
      <w:jc w:val="center"/>
    </w:pPr>
    <w:rPr>
      <w:rFonts w:eastAsia="Times New Roman"/>
      <w:b/>
      <w:szCs w:val="20"/>
      <w:u w:val="single"/>
      <w:lang w:val="nl-BE" w:eastAsia="zh-CN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sz w:val="24"/>
      <w:szCs w:val="20"/>
      <w:u w:val="single"/>
      <w:lang w:val="nl-BE" w:eastAsia="zh-CN"/>
    </w:rPr>
  </w:style>
  <w:style w:type="paragraph" w:customStyle="1" w:styleId="Communicationtitre">
    <w:name w:val="Communication titre"/>
    <w:basedOn w:val="Normal"/>
    <w:next w:val="Normal"/>
    <w:uiPriority w:val="99"/>
    <w:pPr>
      <w:jc w:val="center"/>
    </w:pPr>
    <w:rPr>
      <w:rFonts w:eastAsia="Times New Roman"/>
      <w:b/>
      <w:szCs w:val="20"/>
      <w:u w:val="single"/>
      <w:lang w:val="en-GB" w:eastAsia="zh-CN"/>
    </w:rPr>
  </w:style>
  <w:style w:type="paragraph" w:styleId="ListNumber">
    <w:name w:val="List Number"/>
    <w:basedOn w:val="Normal"/>
    <w:uiPriority w:val="99"/>
    <w:pPr>
      <w:numPr>
        <w:numId w:val="11"/>
      </w:numPr>
    </w:pPr>
    <w:rPr>
      <w:rFonts w:eastAsia="Times New Roman"/>
      <w:szCs w:val="20"/>
      <w:lang w:val="en-GB" w:eastAsia="zh-CN"/>
    </w:rPr>
  </w:style>
  <w:style w:type="paragraph" w:styleId="ListNumber2">
    <w:name w:val="List Number 2"/>
    <w:basedOn w:val="Normal"/>
    <w:uiPriority w:val="99"/>
    <w:pPr>
      <w:numPr>
        <w:numId w:val="13"/>
      </w:numPr>
    </w:pPr>
    <w:rPr>
      <w:rFonts w:eastAsia="Times New Roman"/>
      <w:szCs w:val="20"/>
      <w:lang w:val="en-GB" w:eastAsia="zh-CN"/>
    </w:rPr>
  </w:style>
  <w:style w:type="paragraph" w:styleId="ListNumber3">
    <w:name w:val="List Number 3"/>
    <w:basedOn w:val="Normal"/>
    <w:uiPriority w:val="99"/>
    <w:pPr>
      <w:numPr>
        <w:numId w:val="14"/>
      </w:numPr>
    </w:pPr>
    <w:rPr>
      <w:rFonts w:eastAsia="Times New Roman"/>
      <w:szCs w:val="20"/>
      <w:lang w:val="en-GB" w:eastAsia="zh-CN"/>
    </w:rPr>
  </w:style>
  <w:style w:type="paragraph" w:styleId="ListNumber4">
    <w:name w:val="List Number 4"/>
    <w:basedOn w:val="Normal"/>
    <w:uiPriority w:val="99"/>
    <w:pPr>
      <w:numPr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Bullet1">
    <w:name w:val="List Bullet 1"/>
    <w:basedOn w:val="Normal"/>
    <w:uiPriority w:val="99"/>
    <w:pPr>
      <w:numPr>
        <w:numId w:val="5"/>
      </w:numPr>
    </w:pPr>
    <w:rPr>
      <w:rFonts w:eastAsia="Times New Roman"/>
      <w:szCs w:val="20"/>
      <w:lang w:val="en-GB" w:eastAsia="zh-CN"/>
    </w:rPr>
  </w:style>
  <w:style w:type="paragraph" w:customStyle="1" w:styleId="ListDash">
    <w:name w:val="List Dash"/>
    <w:basedOn w:val="Normal"/>
    <w:uiPriority w:val="99"/>
    <w:pPr>
      <w:numPr>
        <w:numId w:val="6"/>
      </w:numPr>
    </w:pPr>
    <w:rPr>
      <w:rFonts w:eastAsia="Times New Roman"/>
      <w:szCs w:val="20"/>
      <w:lang w:val="en-GB" w:eastAsia="zh-CN"/>
    </w:rPr>
  </w:style>
  <w:style w:type="paragraph" w:customStyle="1" w:styleId="ListDash1">
    <w:name w:val="List Dash 1"/>
    <w:basedOn w:val="Normal"/>
    <w:uiPriority w:val="99"/>
    <w:pPr>
      <w:numPr>
        <w:numId w:val="7"/>
      </w:numPr>
    </w:pPr>
    <w:rPr>
      <w:rFonts w:eastAsia="Times New Roman"/>
      <w:szCs w:val="20"/>
      <w:lang w:val="en-GB" w:eastAsia="zh-CN"/>
    </w:rPr>
  </w:style>
  <w:style w:type="paragraph" w:customStyle="1" w:styleId="ListDash2">
    <w:name w:val="List Dash 2"/>
    <w:basedOn w:val="Normal"/>
    <w:uiPriority w:val="99"/>
    <w:pPr>
      <w:numPr>
        <w:numId w:val="8"/>
      </w:numPr>
    </w:pPr>
    <w:rPr>
      <w:rFonts w:eastAsia="Times New Roman"/>
      <w:szCs w:val="20"/>
      <w:lang w:val="en-GB" w:eastAsia="zh-CN"/>
    </w:rPr>
  </w:style>
  <w:style w:type="paragraph" w:customStyle="1" w:styleId="ListDash3">
    <w:name w:val="List Dash 3"/>
    <w:basedOn w:val="Normal"/>
    <w:uiPriority w:val="99"/>
    <w:pPr>
      <w:numPr>
        <w:numId w:val="9"/>
      </w:numPr>
    </w:pPr>
    <w:rPr>
      <w:rFonts w:eastAsia="Times New Roman"/>
      <w:szCs w:val="20"/>
      <w:lang w:val="en-GB" w:eastAsia="zh-CN"/>
    </w:rPr>
  </w:style>
  <w:style w:type="paragraph" w:customStyle="1" w:styleId="ListDash4">
    <w:name w:val="List Dash 4"/>
    <w:basedOn w:val="Normal"/>
    <w:uiPriority w:val="99"/>
    <w:pPr>
      <w:numPr>
        <w:numId w:val="10"/>
      </w:numPr>
    </w:pPr>
    <w:rPr>
      <w:rFonts w:eastAsia="Times New Roman"/>
      <w:szCs w:val="20"/>
      <w:lang w:val="en-GB" w:eastAsia="zh-CN"/>
    </w:rPr>
  </w:style>
  <w:style w:type="paragraph" w:customStyle="1" w:styleId="ListNumber1">
    <w:name w:val="List Number 1"/>
    <w:basedOn w:val="Text1"/>
    <w:uiPriority w:val="99"/>
    <w:pPr>
      <w:numPr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1"/>
      </w:numPr>
    </w:pPr>
    <w:rPr>
      <w:rFonts w:eastAsia="Times New Roman"/>
      <w:szCs w:val="20"/>
      <w:lang w:val="en-GB" w:eastAsia="zh-CN"/>
    </w:r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1"/>
      </w:numPr>
    </w:pPr>
    <w:rPr>
      <w:rFonts w:eastAsia="Times New Roman"/>
      <w:szCs w:val="20"/>
      <w:lang w:val="en-GB" w:eastAsia="zh-CN"/>
    </w:r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1"/>
      </w:numPr>
    </w:pPr>
    <w:rPr>
      <w:rFonts w:eastAsia="Times New Roman"/>
      <w:szCs w:val="20"/>
      <w:lang w:val="en-GB" w:eastAsia="zh-CN"/>
    </w:r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5"/>
      </w:numPr>
    </w:pPr>
    <w:rPr>
      <w:rFonts w:eastAsia="Times New Roman"/>
      <w:szCs w:val="20"/>
      <w:lang w:val="en-GB"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uiPriority w:val="20"/>
    <w:qFormat/>
    <w:rPr>
      <w:i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Strong">
    <w:name w:val="Strong"/>
    <w:uiPriority w:val="22"/>
    <w:qFormat/>
    <w:rPr>
      <w:b/>
    </w:rPr>
  </w:style>
  <w:style w:type="paragraph" w:customStyle="1" w:styleId="Clear">
    <w:name w:val="Clear"/>
    <w:basedOn w:val="Point0"/>
    <w:link w:val="ClearChar"/>
    <w:uiPriority w:val="99"/>
    <w:pPr>
      <w:autoSpaceDE w:val="0"/>
      <w:autoSpaceDN w:val="0"/>
      <w:ind w:left="851" w:hanging="851"/>
    </w:pPr>
    <w:rPr>
      <w:rFonts w:eastAsia="Times New Roman"/>
      <w:color w:val="FF0000"/>
      <w:szCs w:val="24"/>
      <w:lang w:val="en-GB" w:eastAsia="fr-FR"/>
    </w:rPr>
  </w:style>
  <w:style w:type="character" w:customStyle="1" w:styleId="ClearChar">
    <w:name w:val="Clear Char"/>
    <w:link w:val="Clear"/>
    <w:uiPriority w:val="99"/>
    <w:locked/>
    <w:rPr>
      <w:rFonts w:ascii="Times New Roman" w:eastAsia="Times New Roman" w:hAnsi="Times New Roman" w:cs="Times New Roman"/>
      <w:color w:val="FF0000"/>
      <w:sz w:val="24"/>
      <w:szCs w:val="24"/>
      <w:lang w:val="en-GB" w:eastAsia="fr-FR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customStyle="1" w:styleId="Lignefinal">
    <w:name w:val="Ligne final"/>
    <w:basedOn w:val="Normal"/>
    <w:next w:val="Normal"/>
    <w:uiPriority w:val="99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4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  <w:lang w:val="en-GB" w:eastAsia="fr-FR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  <w:jc w:val="left"/>
    </w:pPr>
    <w:rPr>
      <w:rFonts w:ascii="Calibri" w:eastAsia="Calibri" w:hAnsi="Calibri"/>
      <w:sz w:val="22"/>
      <w:szCs w:val="21"/>
      <w:lang w:val="en-GB" w:eastAsia="fr-FR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en-GB" w:eastAsia="fr-FR"/>
    </w:rPr>
  </w:style>
  <w:style w:type="character" w:customStyle="1" w:styleId="boldface">
    <w:name w:val="boldface"/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  <w:lang w:val="en-GB" w:eastAsia="fr-FR"/>
    </w:rPr>
  </w:style>
  <w:style w:type="paragraph" w:customStyle="1" w:styleId="Foot">
    <w:name w:val="Foot"/>
    <w:basedOn w:val="FootnoteTex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/>
    </w:rPr>
  </w:style>
  <w:style w:type="paragraph" w:customStyle="1" w:styleId="Footnotet">
    <w:name w:val="Footnote t"/>
    <w:basedOn w:val="Normal"/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8"/>
      </w:numPr>
    </w:pPr>
  </w:style>
  <w:style w:type="paragraph" w:customStyle="1" w:styleId="Tiret1">
    <w:name w:val="Tiret 1"/>
    <w:basedOn w:val="Point1"/>
    <w:pPr>
      <w:numPr>
        <w:numId w:val="19"/>
      </w:numPr>
    </w:pPr>
  </w:style>
  <w:style w:type="paragraph" w:customStyle="1" w:styleId="Tiret2">
    <w:name w:val="Tiret 2"/>
    <w:basedOn w:val="Point2"/>
    <w:pPr>
      <w:numPr>
        <w:numId w:val="20"/>
      </w:numPr>
    </w:pPr>
  </w:style>
  <w:style w:type="paragraph" w:customStyle="1" w:styleId="Tiret3">
    <w:name w:val="Tiret 3"/>
    <w:basedOn w:val="Point3"/>
    <w:pPr>
      <w:numPr>
        <w:numId w:val="21"/>
      </w:numPr>
    </w:pPr>
  </w:style>
  <w:style w:type="paragraph" w:customStyle="1" w:styleId="Tiret4">
    <w:name w:val="Tiret 4"/>
    <w:basedOn w:val="Point4"/>
    <w:pPr>
      <w:numPr>
        <w:numId w:val="2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5"/>
      </w:numPr>
    </w:pPr>
  </w:style>
  <w:style w:type="paragraph" w:customStyle="1" w:styleId="Point1number">
    <w:name w:val="Point 1 (number)"/>
    <w:basedOn w:val="Normal"/>
    <w:pPr>
      <w:numPr>
        <w:ilvl w:val="2"/>
        <w:numId w:val="25"/>
      </w:numPr>
    </w:pPr>
  </w:style>
  <w:style w:type="paragraph" w:customStyle="1" w:styleId="Point2number">
    <w:name w:val="Point 2 (number)"/>
    <w:basedOn w:val="Normal"/>
    <w:pPr>
      <w:numPr>
        <w:ilvl w:val="4"/>
        <w:numId w:val="25"/>
      </w:numPr>
    </w:pPr>
  </w:style>
  <w:style w:type="paragraph" w:customStyle="1" w:styleId="Point3number">
    <w:name w:val="Point 3 (number)"/>
    <w:basedOn w:val="Normal"/>
    <w:pPr>
      <w:numPr>
        <w:ilvl w:val="6"/>
        <w:numId w:val="25"/>
      </w:numPr>
    </w:pPr>
  </w:style>
  <w:style w:type="paragraph" w:customStyle="1" w:styleId="Point0letter">
    <w:name w:val="Point 0 (letter)"/>
    <w:basedOn w:val="Normal"/>
    <w:pPr>
      <w:numPr>
        <w:ilvl w:val="1"/>
        <w:numId w:val="25"/>
      </w:numPr>
    </w:pPr>
  </w:style>
  <w:style w:type="paragraph" w:customStyle="1" w:styleId="Point1letter">
    <w:name w:val="Point 1 (letter)"/>
    <w:basedOn w:val="Normal"/>
    <w:pPr>
      <w:numPr>
        <w:ilvl w:val="3"/>
        <w:numId w:val="25"/>
      </w:numPr>
    </w:pPr>
  </w:style>
  <w:style w:type="paragraph" w:customStyle="1" w:styleId="Point2letter">
    <w:name w:val="Point 2 (letter)"/>
    <w:basedOn w:val="Normal"/>
    <w:pPr>
      <w:numPr>
        <w:ilvl w:val="5"/>
        <w:numId w:val="25"/>
      </w:numPr>
    </w:pPr>
  </w:style>
  <w:style w:type="paragraph" w:customStyle="1" w:styleId="Point3letter">
    <w:name w:val="Point 3 (letter)"/>
    <w:basedOn w:val="Normal"/>
    <w:pPr>
      <w:numPr>
        <w:ilvl w:val="7"/>
        <w:numId w:val="25"/>
      </w:numPr>
    </w:pPr>
  </w:style>
  <w:style w:type="paragraph" w:customStyle="1" w:styleId="Point4letter">
    <w:name w:val="Point 4 (letter)"/>
    <w:basedOn w:val="Normal"/>
    <w:pPr>
      <w:numPr>
        <w:ilvl w:val="8"/>
        <w:numId w:val="25"/>
      </w:numPr>
    </w:pPr>
  </w:style>
  <w:style w:type="paragraph" w:customStyle="1" w:styleId="Bullet0">
    <w:name w:val="Bullet 0"/>
    <w:basedOn w:val="Normal"/>
    <w:pPr>
      <w:numPr>
        <w:numId w:val="26"/>
      </w:numPr>
    </w:pPr>
  </w:style>
  <w:style w:type="paragraph" w:customStyle="1" w:styleId="Bullet1">
    <w:name w:val="Bullet 1"/>
    <w:basedOn w:val="Normal"/>
    <w:pPr>
      <w:numPr>
        <w:numId w:val="27"/>
      </w:numPr>
    </w:pPr>
  </w:style>
  <w:style w:type="paragraph" w:customStyle="1" w:styleId="Bullet2">
    <w:name w:val="Bullet 2"/>
    <w:basedOn w:val="Normal"/>
    <w:pPr>
      <w:numPr>
        <w:numId w:val="28"/>
      </w:numPr>
    </w:pPr>
  </w:style>
  <w:style w:type="paragraph" w:customStyle="1" w:styleId="Bullet3">
    <w:name w:val="Bullet 3"/>
    <w:basedOn w:val="Normal"/>
    <w:pPr>
      <w:numPr>
        <w:numId w:val="29"/>
      </w:numPr>
    </w:pPr>
  </w:style>
  <w:style w:type="paragraph" w:customStyle="1" w:styleId="Bullet4">
    <w:name w:val="Bullet 4"/>
    <w:basedOn w:val="Normal"/>
    <w:pPr>
      <w:numPr>
        <w:numId w:val="3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94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9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857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4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19EC-CAEA-4AB9-B5F0-5695CA6D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21</Pages>
  <Words>2113</Words>
  <Characters>9977</Characters>
  <Application>Microsoft Office Word</Application>
  <DocSecurity>0</DocSecurity>
  <Lines>2494</Lines>
  <Paragraphs>805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 Stanislava (SJ)</dc:creator>
  <cp:lastModifiedBy>DIGIT/A3</cp:lastModifiedBy>
  <cp:revision>7</cp:revision>
  <cp:lastPrinted>2015-10-26T09:11:00Z</cp:lastPrinted>
  <dcterms:created xsi:type="dcterms:W3CDTF">2015-10-29T12:01:00Z</dcterms:created>
  <dcterms:modified xsi:type="dcterms:W3CDTF">2015-11-24T14:18:00Z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4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LWCR IsRefonte">
    <vt:lpwstr>False</vt:lpwstr>
  </property>
  <property fmtid="{D5CDD505-2E9C-101B-9397-08002B2CF9AE}" pid="15" name="DQCStatus">
    <vt:lpwstr>Green (DQC version 03)</vt:lpwstr>
  </property>
</Properties>
</file>