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DDC57109D484425B96AAB62BB85B963" style="width:450.8pt;height:406.35pt">
            <v:imagedata r:id="rId7" o:title=""/>
          </v:shape>
        </w:pict>
      </w:r>
    </w:p>
    <w:bookmarkEnd w:id="0"/>
    <w:p>
      <w:pPr>
        <w:rPr>
          <w:rFonts w:eastAsia="Calibri"/>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widowControl/>
        <w:autoSpaceDE w:val="0"/>
        <w:autoSpaceDN w:val="0"/>
        <w:adjustRightInd w:val="0"/>
        <w:jc w:val="center"/>
        <w:rPr>
          <w:rFonts w:eastAsiaTheme="minorHAnsi"/>
          <w:b/>
          <w:noProof/>
          <w:szCs w:val="24"/>
          <w:lang w:val="fr-BE" w:bidi="ar-SA"/>
        </w:rPr>
      </w:pPr>
      <w:bookmarkStart w:id="1" w:name="_GoBack"/>
      <w:bookmarkEnd w:id="1"/>
      <w:r>
        <w:rPr>
          <w:rFonts w:eastAsiaTheme="minorHAnsi"/>
          <w:b/>
          <w:noProof/>
          <w:szCs w:val="24"/>
          <w:lang w:val="fr-BE" w:bidi="ar-SA"/>
        </w:rPr>
        <w:lastRenderedPageBreak/>
        <w:t>Annexes au</w:t>
      </w:r>
      <w:r>
        <w:rPr>
          <w:rFonts w:eastAsiaTheme="minorHAnsi"/>
          <w:b/>
          <w:noProof/>
          <w:szCs w:val="24"/>
          <w:lang w:val="fr-BE" w:bidi="ar-SA"/>
        </w:rPr>
        <w:br/>
        <w:t>Rapport de la Commission au Parlement européen et au Conseil</w:t>
      </w:r>
    </w:p>
    <w:p>
      <w:pPr>
        <w:widowControl/>
        <w:autoSpaceDE w:val="0"/>
        <w:autoSpaceDN w:val="0"/>
        <w:adjustRightInd w:val="0"/>
        <w:jc w:val="center"/>
        <w:rPr>
          <w:rFonts w:eastAsiaTheme="minorHAnsi"/>
          <w:b/>
          <w:noProof/>
          <w:szCs w:val="24"/>
          <w:lang w:val="fr-BE" w:bidi="ar-SA"/>
        </w:rPr>
      </w:pPr>
      <w:r>
        <w:rPr>
          <w:rFonts w:eastAsiaTheme="minorHAnsi"/>
          <w:b/>
          <w:noProof/>
          <w:szCs w:val="24"/>
          <w:lang w:val="fr-BE" w:bidi="ar-SA"/>
        </w:rPr>
        <w:t>concernant les informations relatives à l'incidence budgétaire de l'actualisation annuelle 2015 des rémunérations et des</w:t>
      </w:r>
      <w:r>
        <w:rPr>
          <w:rFonts w:eastAsiaTheme="minorHAnsi"/>
          <w:b/>
          <w:noProof/>
          <w:sz w:val="17"/>
          <w:szCs w:val="17"/>
          <w:lang w:val="fr-BE" w:bidi="ar-SA"/>
        </w:rPr>
        <w:t xml:space="preserve"> </w:t>
      </w:r>
      <w:r>
        <w:rPr>
          <w:rFonts w:eastAsiaTheme="minorHAnsi"/>
          <w:b/>
          <w:noProof/>
          <w:szCs w:val="24"/>
          <w:lang w:val="fr-BE" w:bidi="ar-SA"/>
        </w:rPr>
        <w:t>pensions des fonctionnaires et des autres agents de l'Union européenne ainsi que des coefficients correcteurs dont celles-ci sont affectées</w:t>
      </w:r>
    </w:p>
    <w:p>
      <w:pPr>
        <w:pStyle w:val="Heading1"/>
        <w:jc w:val="right"/>
        <w:rPr>
          <w:rFonts w:ascii="Times New Roman" w:eastAsia="Calibri" w:hAnsi="Times New Roman" w:cs="Times New Roman"/>
          <w:bCs w:val="0"/>
          <w:i/>
          <w:noProof/>
          <w:color w:val="auto"/>
          <w:sz w:val="24"/>
          <w:szCs w:val="20"/>
          <w:u w:val="single"/>
        </w:rPr>
      </w:pPr>
      <w:r>
        <w:rPr>
          <w:rFonts w:ascii="Times New Roman" w:hAnsi="Times New Roman"/>
          <w:i/>
          <w:noProof/>
          <w:color w:val="auto"/>
          <w:sz w:val="24"/>
          <w:u w:val="single"/>
        </w:rPr>
        <w:t xml:space="preserve">Projet </w:t>
      </w:r>
    </w:p>
    <w:p>
      <w:pPr>
        <w:pStyle w:val="Heading1"/>
        <w:jc w:val="center"/>
        <w:rPr>
          <w:rFonts w:ascii="Times New Roman" w:eastAsia="Calibri" w:hAnsi="Times New Roman" w:cs="Times New Roman"/>
          <w:bCs w:val="0"/>
          <w:i/>
          <w:noProof/>
          <w:color w:val="auto"/>
          <w:sz w:val="24"/>
          <w:szCs w:val="20"/>
        </w:rPr>
      </w:pPr>
      <w:r>
        <w:rPr>
          <w:rFonts w:ascii="Times New Roman" w:hAnsi="Times New Roman"/>
          <w:i/>
          <w:noProof/>
          <w:color w:val="auto"/>
          <w:sz w:val="24"/>
        </w:rPr>
        <w:t xml:space="preserve">ANNEXE I </w:t>
      </w:r>
    </w:p>
    <w:p>
      <w:pPr>
        <w:jc w:val="center"/>
        <w:rPr>
          <w:rFonts w:eastAsia="Calibri"/>
          <w:b/>
          <w:noProof/>
        </w:rPr>
      </w:pPr>
      <w:r>
        <w:rPr>
          <w:b/>
          <w:noProof/>
        </w:rPr>
        <w:t>ACTUALISATION 2015 DES RÉMUNÉRATIONS ET DES PENSIONS DES FONCTIONNAIRES ET AUTRES AGENTS DE L’UE AINSI QUE DES COEFFICIENTS CORRECTEURS DONT SONT AFFECTÉES CES RÉMUNÉRATIONS ET PENSIONS</w:t>
      </w:r>
    </w:p>
    <w:p>
      <w:pPr>
        <w:rPr>
          <w:rFonts w:eastAsia="Calibri"/>
          <w:noProof/>
        </w:rPr>
      </w:pPr>
    </w:p>
    <w:p>
      <w:pPr>
        <w:widowControl/>
        <w:jc w:val="both"/>
        <w:rPr>
          <w:noProof/>
        </w:rPr>
      </w:pPr>
      <w:r>
        <w:rPr>
          <w:noProof/>
        </w:rPr>
        <w:t>1.1. Tableau des montants des traitements mensuels de base pour chaque grade et chaque échelon dans les groupes de fonctions AD et AST visés à l’article 66 du statut, applicables à partir du 1</w:t>
      </w:r>
      <w:r>
        <w:rPr>
          <w:noProof/>
          <w:vertAlign w:val="superscript"/>
        </w:rPr>
        <w:t>er</w:t>
      </w:r>
      <w:r>
        <w:rPr>
          <w:noProof/>
        </w:rPr>
        <w:t xml:space="preserve"> juillet 2015:</w:t>
      </w:r>
    </w:p>
    <w:p>
      <w:pPr>
        <w:widowControl/>
        <w:jc w:val="both"/>
        <w:rPr>
          <w:noProof/>
        </w:rPr>
      </w:pPr>
      <w:r>
        <w:rPr>
          <w:noProof/>
          <w:lang w:val="en-US" w:eastAsia="en-US" w:bidi="ar-SA"/>
        </w:rPr>
        <w:drawing>
          <wp:inline distT="0" distB="0" distL="0" distR="0">
            <wp:extent cx="4067175" cy="3267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3267075"/>
                    </a:xfrm>
                    <a:prstGeom prst="rect">
                      <a:avLst/>
                    </a:prstGeom>
                    <a:noFill/>
                    <a:ln>
                      <a:noFill/>
                    </a:ln>
                  </pic:spPr>
                </pic:pic>
              </a:graphicData>
            </a:graphic>
          </wp:inline>
        </w:drawing>
      </w:r>
    </w:p>
    <w:p>
      <w:pPr>
        <w:widowControl/>
        <w:jc w:val="both"/>
        <w:rPr>
          <w:noProof/>
        </w:rPr>
      </w:pPr>
    </w:p>
    <w:p>
      <w:pPr>
        <w:widowControl/>
        <w:jc w:val="both"/>
        <w:rPr>
          <w:noProof/>
        </w:rPr>
      </w:pPr>
      <w:r>
        <w:rPr>
          <w:noProof/>
        </w:rPr>
        <w:t>2. Tableau des montants des traitements mensuels de base pour chaque grade et chaque échelon dans le groupe de fonctions AST/SC visés à l’article 66 du statut, applicables à partir du 1</w:t>
      </w:r>
      <w:r>
        <w:rPr>
          <w:noProof/>
          <w:vertAlign w:val="superscript"/>
        </w:rPr>
        <w:t>er</w:t>
      </w:r>
      <w:r>
        <w:rPr>
          <w:noProof/>
        </w:rPr>
        <w:t xml:space="preserve"> juillet 2015:</w:t>
      </w:r>
    </w:p>
    <w:p>
      <w:pPr>
        <w:widowControl/>
        <w:spacing w:before="120" w:after="120"/>
        <w:jc w:val="both"/>
        <w:rPr>
          <w:noProof/>
        </w:rPr>
      </w:pPr>
      <w:r>
        <w:rPr>
          <w:noProof/>
          <w:lang w:val="en-US" w:eastAsia="en-US" w:bidi="ar-SA"/>
        </w:rPr>
        <w:lastRenderedPageBreak/>
        <w:drawing>
          <wp:inline distT="0" distB="0" distL="0" distR="0">
            <wp:extent cx="37814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1457325"/>
                    </a:xfrm>
                    <a:prstGeom prst="rect">
                      <a:avLst/>
                    </a:prstGeom>
                    <a:noFill/>
                    <a:ln>
                      <a:noFill/>
                    </a:ln>
                  </pic:spPr>
                </pic:pic>
              </a:graphicData>
            </a:graphic>
          </wp:inline>
        </w:drawing>
      </w:r>
    </w:p>
    <w:p>
      <w:pPr>
        <w:widowControl/>
        <w:spacing w:before="120" w:after="120"/>
        <w:jc w:val="both"/>
        <w:rPr>
          <w:noProof/>
        </w:rPr>
      </w:pPr>
    </w:p>
    <w:p>
      <w:pPr>
        <w:widowControl/>
        <w:spacing w:before="120" w:after="120"/>
        <w:jc w:val="both"/>
        <w:rPr>
          <w:rFonts w:eastAsia="Calibri"/>
          <w:noProof/>
        </w:rPr>
      </w:pPr>
      <w:r>
        <w:rPr>
          <w:noProof/>
        </w:rPr>
        <w:t>3. Tableau des coefficients correcteurs applicables aux rémunérations et aux pensions des fonctionnaires et autres agents de l’Union européenne visés à l’article 64 du statut contenant:</w:t>
      </w:r>
    </w:p>
    <w:p>
      <w:pPr>
        <w:widowControl/>
        <w:jc w:val="both"/>
        <w:rPr>
          <w:rFonts w:eastAsia="Calibri"/>
          <w:noProof/>
        </w:rPr>
      </w:pPr>
      <w:r>
        <w:rPr>
          <w:noProof/>
        </w:rPr>
        <w:t>- les coefficients correcteurs applicables, à partir du 1</w:t>
      </w:r>
      <w:r>
        <w:rPr>
          <w:noProof/>
          <w:vertAlign w:val="superscript"/>
        </w:rPr>
        <w:t>er</w:t>
      </w:r>
      <w:r>
        <w:rPr>
          <w:noProof/>
        </w:rPr>
        <w:t xml:space="preserve"> juillet 2015, à la rémunération des fonctionnaires et autres agents visés à l’article 64 du statut (indiqués dans la colonne 2 du tableau ci-après);</w:t>
      </w:r>
    </w:p>
    <w:p>
      <w:pPr>
        <w:widowControl/>
        <w:jc w:val="both"/>
        <w:rPr>
          <w:rFonts w:eastAsia="Calibri"/>
          <w:noProof/>
        </w:rPr>
      </w:pPr>
      <w:r>
        <w:rPr>
          <w:noProof/>
        </w:rPr>
        <w:t>- les coefficients correcteurs applicables, à partir du 1</w:t>
      </w:r>
      <w:r>
        <w:rPr>
          <w:noProof/>
          <w:vertAlign w:val="superscript"/>
        </w:rPr>
        <w:t>er</w:t>
      </w:r>
      <w:r>
        <w:rPr>
          <w:noProof/>
        </w:rPr>
        <w:t xml:space="preserve"> janvier 2016, aux transferts effectués par les fonctionnaires et autres agents, en vertu de l’article 17, paragraphe 3, de l’annexe VII du statut (indiqués dans la colonne 3 du tableau ci-après);</w:t>
      </w:r>
    </w:p>
    <w:p>
      <w:pPr>
        <w:widowControl/>
        <w:jc w:val="both"/>
        <w:rPr>
          <w:noProof/>
        </w:rPr>
      </w:pPr>
      <w:r>
        <w:rPr>
          <w:noProof/>
        </w:rPr>
        <w:t>- les coefficients correcteurs applicables aux pensions, à partir du 1</w:t>
      </w:r>
      <w:r>
        <w:rPr>
          <w:noProof/>
          <w:vertAlign w:val="superscript"/>
        </w:rPr>
        <w:t>er</w:t>
      </w:r>
      <w:r>
        <w:rPr>
          <w:noProof/>
        </w:rPr>
        <w:t xml:space="preserve"> juillet 2015, en vertu de l’article 20, paragraphe 1, de l’annexe XIII du statut (indiqués dans la colonne 4 du tableau ci-après);</w:t>
      </w:r>
    </w:p>
    <w:p>
      <w:pPr>
        <w:widowControl/>
        <w:jc w:val="both"/>
        <w:rPr>
          <w:noProof/>
        </w:rPr>
      </w:pPr>
      <w:r>
        <w:rPr>
          <w:noProof/>
        </w:rPr>
        <w:br w:type="page"/>
      </w:r>
    </w:p>
    <w:p>
      <w:pPr>
        <w:widowControl/>
        <w:jc w:val="both"/>
        <w:rPr>
          <w:noProof/>
        </w:rPr>
      </w:pPr>
      <w:r>
        <w:rPr>
          <w:noProof/>
          <w:lang w:val="en-US" w:eastAsia="en-US" w:bidi="ar-SA"/>
        </w:rPr>
        <w:lastRenderedPageBreak/>
        <w:drawing>
          <wp:inline distT="0" distB="0" distL="0" distR="0">
            <wp:extent cx="3638550" cy="551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5514975"/>
                    </a:xfrm>
                    <a:prstGeom prst="rect">
                      <a:avLst/>
                    </a:prstGeom>
                    <a:noFill/>
                    <a:ln>
                      <a:noFill/>
                    </a:ln>
                  </pic:spPr>
                </pic:pic>
              </a:graphicData>
            </a:graphic>
          </wp:inline>
        </w:drawing>
      </w:r>
    </w:p>
    <w:p>
      <w:pPr>
        <w:widowControl/>
        <w:jc w:val="both"/>
        <w:rPr>
          <w:noProof/>
        </w:rPr>
      </w:pPr>
    </w:p>
    <w:p>
      <w:pPr>
        <w:widowControl/>
        <w:jc w:val="both"/>
        <w:rPr>
          <w:rFonts w:eastAsia="Calibri"/>
          <w:noProof/>
        </w:rPr>
      </w:pPr>
      <w:r>
        <w:rPr>
          <w:noProof/>
        </w:rPr>
        <w:t>4. Montant de l’allocation de congé parental visée à l’article 42 </w:t>
      </w:r>
      <w:r>
        <w:rPr>
          <w:i/>
          <w:noProof/>
        </w:rPr>
        <w:t>bis</w:t>
      </w:r>
      <w:r>
        <w:rPr>
          <w:noProof/>
        </w:rPr>
        <w:t>, deuxième et troisième alinéas, du statut, applicable à partir du 1</w:t>
      </w:r>
      <w:r>
        <w:rPr>
          <w:noProof/>
          <w:vertAlign w:val="superscript"/>
        </w:rPr>
        <w:t>er</w:t>
      </w:r>
      <w:r>
        <w:rPr>
          <w:noProof/>
        </w:rPr>
        <w:t xml:space="preserve"> juillet 2015:</w:t>
      </w:r>
    </w:p>
    <w:p>
      <w:pPr>
        <w:widowControl/>
        <w:jc w:val="both"/>
        <w:rPr>
          <w:rFonts w:eastAsia="Calibri"/>
          <w:noProof/>
        </w:rPr>
      </w:pPr>
      <w:r>
        <w:rPr>
          <w:noProof/>
        </w:rPr>
        <w:t>- 941,08 EUR,</w:t>
      </w:r>
    </w:p>
    <w:p>
      <w:pPr>
        <w:widowControl/>
        <w:jc w:val="both"/>
        <w:rPr>
          <w:rFonts w:eastAsia="Calibri"/>
          <w:noProof/>
        </w:rPr>
      </w:pPr>
      <w:r>
        <w:rPr>
          <w:noProof/>
        </w:rPr>
        <w:t>- 1 254,77 EUR pour les parents isolés.</w:t>
      </w:r>
    </w:p>
    <w:p>
      <w:pPr>
        <w:widowControl/>
        <w:jc w:val="both"/>
        <w:rPr>
          <w:rFonts w:eastAsia="Calibri"/>
          <w:noProof/>
        </w:rPr>
      </w:pPr>
    </w:p>
    <w:p>
      <w:pPr>
        <w:widowControl/>
        <w:jc w:val="both"/>
        <w:rPr>
          <w:rFonts w:eastAsia="Calibri"/>
          <w:noProof/>
        </w:rPr>
      </w:pPr>
      <w:r>
        <w:rPr>
          <w:noProof/>
        </w:rPr>
        <w:t>5.1. Montant de base de l’allocation de foyer visée à l'article 1</w:t>
      </w:r>
      <w:r>
        <w:rPr>
          <w:noProof/>
          <w:vertAlign w:val="superscript"/>
        </w:rPr>
        <w:t>er</w:t>
      </w:r>
      <w:r>
        <w:rPr>
          <w:noProof/>
        </w:rPr>
        <w:t>, paragraphe 1, de l'annexe VII du statut, applicable à partir du 1</w:t>
      </w:r>
      <w:r>
        <w:rPr>
          <w:noProof/>
          <w:vertAlign w:val="superscript"/>
        </w:rPr>
        <w:t>er</w:t>
      </w:r>
      <w:r>
        <w:rPr>
          <w:noProof/>
        </w:rPr>
        <w:t xml:space="preserve"> juillet 2015 - 176,01 EUR.</w:t>
      </w:r>
    </w:p>
    <w:p>
      <w:pPr>
        <w:widowControl/>
        <w:jc w:val="both"/>
        <w:rPr>
          <w:rFonts w:eastAsia="Calibri"/>
          <w:noProof/>
        </w:rPr>
      </w:pPr>
      <w:r>
        <w:rPr>
          <w:noProof/>
        </w:rPr>
        <w:t>5.2. Montant de l’allocation pour enfant à charge visée à l'article 2, paragraphe 1, de l'annexe VII du statut, applicable à partir du 1</w:t>
      </w:r>
      <w:r>
        <w:rPr>
          <w:noProof/>
          <w:vertAlign w:val="superscript"/>
        </w:rPr>
        <w:t>er</w:t>
      </w:r>
      <w:r>
        <w:rPr>
          <w:noProof/>
        </w:rPr>
        <w:t xml:space="preserve"> juillet 2015 - 384,60 EUR.</w:t>
      </w:r>
    </w:p>
    <w:p>
      <w:pPr>
        <w:widowControl/>
        <w:jc w:val="both"/>
        <w:rPr>
          <w:rFonts w:eastAsia="Calibri"/>
          <w:noProof/>
        </w:rPr>
      </w:pPr>
      <w:r>
        <w:rPr>
          <w:noProof/>
        </w:rPr>
        <w:t>5.3. Montant de l’allocation scolaire visée à l'article 3, paragraphe 1, de l'annexe VII du statut, applicable à partir du 1</w:t>
      </w:r>
      <w:r>
        <w:rPr>
          <w:noProof/>
          <w:vertAlign w:val="superscript"/>
        </w:rPr>
        <w:t>er</w:t>
      </w:r>
      <w:r>
        <w:rPr>
          <w:noProof/>
        </w:rPr>
        <w:t xml:space="preserve"> juillet 2015 - 260,95 EUR.</w:t>
      </w:r>
    </w:p>
    <w:p>
      <w:pPr>
        <w:widowControl/>
        <w:jc w:val="both"/>
        <w:rPr>
          <w:rFonts w:eastAsia="Calibri"/>
          <w:noProof/>
        </w:rPr>
      </w:pPr>
      <w:r>
        <w:rPr>
          <w:noProof/>
        </w:rPr>
        <w:lastRenderedPageBreak/>
        <w:t>5.4. Montant de l’allocation scolaire visée à l'article 3, paragraphe 2, de l'annexe VII du statut, applicable à partir du 1</w:t>
      </w:r>
      <w:r>
        <w:rPr>
          <w:noProof/>
          <w:vertAlign w:val="superscript"/>
        </w:rPr>
        <w:t>er</w:t>
      </w:r>
      <w:r>
        <w:rPr>
          <w:noProof/>
        </w:rPr>
        <w:t xml:space="preserve"> juillet 2015 - 93,95 EUR.</w:t>
      </w:r>
    </w:p>
    <w:p>
      <w:pPr>
        <w:widowControl/>
        <w:jc w:val="both"/>
        <w:rPr>
          <w:rFonts w:eastAsia="Calibri"/>
          <w:noProof/>
        </w:rPr>
      </w:pPr>
      <w:r>
        <w:rPr>
          <w:noProof/>
        </w:rPr>
        <w:t>5.5. Montant minimal de l'indemnité de dépaysement visée à l'article 69 du statut et à l'article 4, paragraphe 1, deuxième alinéa, de l'annexe VII du statut, applicable à partir du 1</w:t>
      </w:r>
      <w:r>
        <w:rPr>
          <w:noProof/>
          <w:vertAlign w:val="superscript"/>
        </w:rPr>
        <w:t>er</w:t>
      </w:r>
      <w:r>
        <w:rPr>
          <w:noProof/>
        </w:rPr>
        <w:t xml:space="preserve"> juillet 2015 - 521,66 EUR.</w:t>
      </w:r>
    </w:p>
    <w:p>
      <w:pPr>
        <w:widowControl/>
        <w:jc w:val="both"/>
        <w:rPr>
          <w:rFonts w:eastAsia="Calibri"/>
          <w:noProof/>
        </w:rPr>
      </w:pPr>
      <w:r>
        <w:rPr>
          <w:noProof/>
        </w:rPr>
        <w:t>5.6. Montant de l'indemnité de dépaysement visée à l'article 134 du régime applicable aux autres agents de l'Union européenne, applicable à partir du 1</w:t>
      </w:r>
      <w:r>
        <w:rPr>
          <w:noProof/>
          <w:vertAlign w:val="superscript"/>
        </w:rPr>
        <w:t>er</w:t>
      </w:r>
      <w:r>
        <w:rPr>
          <w:noProof/>
        </w:rPr>
        <w:t xml:space="preserve"> juillet 2015 - 375,01 EUR.</w:t>
      </w:r>
    </w:p>
    <w:p>
      <w:pPr>
        <w:widowControl/>
        <w:jc w:val="both"/>
        <w:rPr>
          <w:rFonts w:eastAsia="Calibri"/>
          <w:i/>
          <w:noProof/>
        </w:rPr>
      </w:pPr>
    </w:p>
    <w:p>
      <w:pPr>
        <w:widowControl/>
        <w:jc w:val="both"/>
        <w:rPr>
          <w:rFonts w:eastAsia="Calibri"/>
          <w:noProof/>
        </w:rPr>
      </w:pPr>
      <w:r>
        <w:rPr>
          <w:noProof/>
        </w:rPr>
        <w:t>6.1. Montant de l’indemnité kilométrique visée à l'article 7, paragraphe 2, de l'annexe VII du statut, applicable à partir du 1</w:t>
      </w:r>
      <w:r>
        <w:rPr>
          <w:noProof/>
          <w:vertAlign w:val="superscript"/>
        </w:rPr>
        <w:t>er</w:t>
      </w:r>
      <w:r>
        <w:rPr>
          <w:noProof/>
        </w:rPr>
        <w:t xml:space="preserve"> juillet 2015: </w:t>
      </w:r>
    </w:p>
    <w:tbl>
      <w:tblPr>
        <w:tblW w:w="4008"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24"/>
        <w:gridCol w:w="1984"/>
      </w:tblGrid>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 et 200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0,1940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201 et 1 000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0,3234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1 001 et 2 000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0,1940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2 001 et 3 000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0,0646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3 001 et 4 000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0,0312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4 001 et 10 000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line="240" w:lineRule="auto"/>
              <w:rPr>
                <w:noProof/>
                <w:spacing w:val="-20"/>
                <w:szCs w:val="24"/>
              </w:rPr>
            </w:pPr>
            <w:r>
              <w:rPr>
                <w:noProof/>
                <w:spacing w:val="-20"/>
              </w:rPr>
              <w:t>0 EUR par kilomètre pour les distances supérieures à</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10 000 km.</w:t>
            </w:r>
          </w:p>
        </w:tc>
      </w:tr>
    </w:tbl>
    <w:p>
      <w:pPr>
        <w:widowControl/>
        <w:jc w:val="both"/>
        <w:rPr>
          <w:rFonts w:eastAsia="Calibri"/>
          <w:noProof/>
        </w:rPr>
      </w:pPr>
    </w:p>
    <w:p>
      <w:pPr>
        <w:widowControl/>
        <w:jc w:val="both"/>
        <w:rPr>
          <w:rFonts w:eastAsia="Calibri"/>
          <w:noProof/>
        </w:rPr>
      </w:pPr>
      <w:r>
        <w:rPr>
          <w:noProof/>
        </w:rPr>
        <w:t>6.2. Montant forfaitaire supplémentaire à l’indemnité kilométrique visé à l'article 7, paragraphe 2, de l'annexe VII du statut, applicable à partir du 1</w:t>
      </w:r>
      <w:r>
        <w:rPr>
          <w:noProof/>
          <w:vertAlign w:val="superscript"/>
        </w:rPr>
        <w:t>er</w:t>
      </w:r>
      <w:r>
        <w:rPr>
          <w:noProof/>
        </w:rPr>
        <w:t xml:space="preserve"> juillet 2015: </w:t>
      </w:r>
    </w:p>
    <w:p>
      <w:pPr>
        <w:widowControl/>
        <w:jc w:val="both"/>
        <w:rPr>
          <w:rFonts w:eastAsia="Calibri"/>
          <w:noProof/>
        </w:rPr>
      </w:pPr>
      <w:r>
        <w:rPr>
          <w:noProof/>
        </w:rPr>
        <w:t>- 97,01 EUR si la distance géographique entre les lieux visés au paragraphe 1 est comprise entre 600 et 1 200 km,</w:t>
      </w:r>
    </w:p>
    <w:p>
      <w:pPr>
        <w:widowControl/>
        <w:jc w:val="both"/>
        <w:rPr>
          <w:rFonts w:eastAsia="Calibri"/>
          <w:noProof/>
        </w:rPr>
      </w:pPr>
    </w:p>
    <w:p>
      <w:pPr>
        <w:widowControl/>
        <w:jc w:val="both"/>
        <w:rPr>
          <w:rFonts w:eastAsia="Calibri"/>
          <w:noProof/>
        </w:rPr>
      </w:pPr>
      <w:r>
        <w:rPr>
          <w:noProof/>
        </w:rPr>
        <w:t>- 194,01 EUR si la distance géographique entre les lieux visés au paragraphe 1 est supérieure à 1 200 km</w:t>
      </w:r>
    </w:p>
    <w:p>
      <w:pPr>
        <w:widowControl/>
        <w:jc w:val="both"/>
        <w:rPr>
          <w:rFonts w:eastAsia="Calibri"/>
          <w:noProof/>
        </w:rPr>
      </w:pPr>
    </w:p>
    <w:p>
      <w:pPr>
        <w:widowControl/>
        <w:jc w:val="both"/>
        <w:rPr>
          <w:rFonts w:eastAsia="Calibri"/>
          <w:noProof/>
        </w:rPr>
      </w:pPr>
      <w:r>
        <w:rPr>
          <w:noProof/>
        </w:rPr>
        <w:t>7.1. Montant de l’indemnité kilométrique visée à l'article 8, paragraphe 2, de l'annexe VII du statut, applicable à partir du 1</w:t>
      </w:r>
      <w:r>
        <w:rPr>
          <w:noProof/>
          <w:vertAlign w:val="superscript"/>
        </w:rPr>
        <w:t>er</w:t>
      </w:r>
      <w:r>
        <w:rPr>
          <w:noProof/>
        </w:rPr>
        <w:t xml:space="preserve"> janvier 2016:</w:t>
      </w:r>
    </w:p>
    <w:tbl>
      <w:tblPr>
        <w:tblW w:w="4008"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24"/>
        <w:gridCol w:w="1984"/>
      </w:tblGrid>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 et 200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0,3912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201 et 1 000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0,6520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1 001 et 2 000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0,3912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2 001 et 3 000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0,1303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3 001 et 4 000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0,0629 EUR par kilomètre pour la tranche de distance entre</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4 001 et 10 000 km</w:t>
            </w:r>
          </w:p>
        </w:tc>
      </w:tr>
      <w:tr>
        <w:trPr>
          <w:tblCellSpacing w:w="0" w:type="dxa"/>
        </w:trPr>
        <w:tc>
          <w:tcPr>
            <w:tcW w:w="202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0 EUR par kilomètre pour les distances supérieures à</w:t>
            </w:r>
          </w:p>
        </w:tc>
        <w:tc>
          <w:tcPr>
            <w:tcW w:w="1984" w:type="dxa"/>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240" w:lineRule="auto"/>
              <w:rPr>
                <w:noProof/>
                <w:szCs w:val="24"/>
              </w:rPr>
            </w:pPr>
            <w:r>
              <w:rPr>
                <w:noProof/>
              </w:rPr>
              <w:t xml:space="preserve">10 000 km.  </w:t>
            </w:r>
          </w:p>
        </w:tc>
      </w:tr>
    </w:tbl>
    <w:p>
      <w:pPr>
        <w:widowControl/>
        <w:jc w:val="both"/>
        <w:rPr>
          <w:rFonts w:eastAsia="Calibri"/>
          <w:noProof/>
        </w:rPr>
      </w:pPr>
    </w:p>
    <w:p>
      <w:pPr>
        <w:widowControl/>
        <w:jc w:val="both"/>
        <w:rPr>
          <w:rFonts w:eastAsia="Calibri"/>
          <w:noProof/>
        </w:rPr>
      </w:pPr>
      <w:r>
        <w:rPr>
          <w:noProof/>
        </w:rPr>
        <w:t>7.2. Montant forfaitaire supplémentaire à l’indemnité kilométrique visé à l'article 8, paragraphe 2, de l'annexe VII du statut, applicable à partir du 1</w:t>
      </w:r>
      <w:r>
        <w:rPr>
          <w:noProof/>
          <w:vertAlign w:val="superscript"/>
        </w:rPr>
        <w:t>er</w:t>
      </w:r>
      <w:r>
        <w:rPr>
          <w:noProof/>
        </w:rPr>
        <w:t xml:space="preserve"> janvier 2016:</w:t>
      </w:r>
    </w:p>
    <w:p>
      <w:pPr>
        <w:widowControl/>
        <w:jc w:val="both"/>
        <w:rPr>
          <w:rFonts w:eastAsia="Calibri"/>
          <w:noProof/>
        </w:rPr>
      </w:pPr>
      <w:r>
        <w:rPr>
          <w:noProof/>
        </w:rPr>
        <w:t>- 195,58 EUR si la distance géographique entre le lieu d'affectation et le lieu d'origine est comprise entre 600 et 1 200 km,</w:t>
      </w:r>
    </w:p>
    <w:p>
      <w:pPr>
        <w:widowControl/>
        <w:jc w:val="both"/>
        <w:rPr>
          <w:rFonts w:eastAsia="Calibri"/>
          <w:noProof/>
        </w:rPr>
      </w:pPr>
      <w:r>
        <w:rPr>
          <w:noProof/>
        </w:rPr>
        <w:t>- 391,13 EUR si la distance géographique entre le lieu d'affectation et le lieu d'origine est est supérieure à 1 200 km.</w:t>
      </w:r>
    </w:p>
    <w:p>
      <w:pPr>
        <w:widowControl/>
        <w:jc w:val="both"/>
        <w:rPr>
          <w:rFonts w:eastAsia="Calibri"/>
          <w:noProof/>
        </w:rPr>
      </w:pPr>
    </w:p>
    <w:p>
      <w:pPr>
        <w:widowControl/>
        <w:jc w:val="both"/>
        <w:rPr>
          <w:rFonts w:eastAsia="Calibri"/>
          <w:noProof/>
        </w:rPr>
      </w:pPr>
      <w:r>
        <w:rPr>
          <w:noProof/>
        </w:rPr>
        <w:t>8. Montant de l’indemnité journalière visée à l'article 10, paragraphe 1, de l'annexe VII du statut, applicable à partir du 1</w:t>
      </w:r>
      <w:r>
        <w:rPr>
          <w:noProof/>
          <w:vertAlign w:val="superscript"/>
        </w:rPr>
        <w:t>er</w:t>
      </w:r>
      <w:r>
        <w:rPr>
          <w:noProof/>
        </w:rPr>
        <w:t xml:space="preserve"> juillet 2015:</w:t>
      </w:r>
    </w:p>
    <w:p>
      <w:pPr>
        <w:widowControl/>
        <w:tabs>
          <w:tab w:val="num" w:pos="283"/>
        </w:tabs>
        <w:ind w:left="283" w:hanging="283"/>
        <w:jc w:val="both"/>
        <w:rPr>
          <w:noProof/>
          <w:szCs w:val="24"/>
        </w:rPr>
      </w:pPr>
      <w:r>
        <w:rPr>
          <w:noProof/>
        </w:rPr>
        <w:t>-</w:t>
      </w:r>
      <w:r>
        <w:rPr>
          <w:noProof/>
        </w:rPr>
        <w:tab/>
        <w:t>40,43 EUR pour un fonctionnaire ayant droit à l’allocation de foyer,</w:t>
      </w:r>
    </w:p>
    <w:p>
      <w:pPr>
        <w:widowControl/>
        <w:tabs>
          <w:tab w:val="num" w:pos="283"/>
        </w:tabs>
        <w:ind w:left="283" w:hanging="283"/>
        <w:jc w:val="both"/>
        <w:rPr>
          <w:noProof/>
          <w:szCs w:val="24"/>
        </w:rPr>
      </w:pPr>
      <w:r>
        <w:rPr>
          <w:noProof/>
        </w:rPr>
        <w:lastRenderedPageBreak/>
        <w:t>-</w:t>
      </w:r>
      <w:r>
        <w:rPr>
          <w:noProof/>
        </w:rPr>
        <w:tab/>
        <w:t>32,59 EUR pour un fonctionnaire n’ayant pas droit à l’allocation de foyer.</w:t>
      </w:r>
    </w:p>
    <w:p>
      <w:pPr>
        <w:widowControl/>
        <w:tabs>
          <w:tab w:val="num" w:pos="283"/>
        </w:tabs>
        <w:ind w:left="283" w:hanging="283"/>
        <w:jc w:val="both"/>
        <w:rPr>
          <w:noProof/>
          <w:szCs w:val="24"/>
        </w:rPr>
      </w:pPr>
    </w:p>
    <w:p>
      <w:pPr>
        <w:widowControl/>
        <w:jc w:val="both"/>
        <w:rPr>
          <w:rFonts w:eastAsia="Calibri"/>
          <w:noProof/>
        </w:rPr>
      </w:pPr>
      <w:r>
        <w:rPr>
          <w:noProof/>
        </w:rPr>
        <w:t>9. Montant de la limite inférieure pour l'indemnité d'installation visée à l'article 24, paragraphe 3, du régime applicable aux autres agents, applicable à partir du 1</w:t>
      </w:r>
      <w:r>
        <w:rPr>
          <w:noProof/>
          <w:vertAlign w:val="superscript"/>
        </w:rPr>
        <w:t>er</w:t>
      </w:r>
      <w:r>
        <w:rPr>
          <w:noProof/>
        </w:rPr>
        <w:t xml:space="preserve"> juillet 2015: </w:t>
      </w:r>
    </w:p>
    <w:p>
      <w:pPr>
        <w:widowControl/>
        <w:tabs>
          <w:tab w:val="num" w:pos="283"/>
        </w:tabs>
        <w:ind w:left="283" w:hanging="283"/>
        <w:jc w:val="both"/>
        <w:rPr>
          <w:noProof/>
          <w:szCs w:val="24"/>
        </w:rPr>
      </w:pPr>
      <w:r>
        <w:rPr>
          <w:noProof/>
        </w:rPr>
        <w:t>-</w:t>
      </w:r>
      <w:r>
        <w:rPr>
          <w:noProof/>
        </w:rPr>
        <w:tab/>
        <w:t>1 150,88 EUR pour un fonctionnaire ayant droit à l’allocation de foyer,</w:t>
      </w:r>
    </w:p>
    <w:p>
      <w:pPr>
        <w:widowControl/>
        <w:tabs>
          <w:tab w:val="num" w:pos="283"/>
        </w:tabs>
        <w:ind w:left="283" w:hanging="283"/>
        <w:jc w:val="both"/>
        <w:rPr>
          <w:noProof/>
          <w:szCs w:val="24"/>
        </w:rPr>
      </w:pPr>
      <w:r>
        <w:rPr>
          <w:noProof/>
        </w:rPr>
        <w:t>-</w:t>
      </w:r>
      <w:r>
        <w:rPr>
          <w:noProof/>
        </w:rPr>
        <w:tab/>
        <w:t>684,31 EUR pour un fonctionnaire n'ayant pas droit à l’allocation de foyer.</w:t>
      </w:r>
    </w:p>
    <w:p>
      <w:pPr>
        <w:widowControl/>
        <w:tabs>
          <w:tab w:val="num" w:pos="283"/>
        </w:tabs>
        <w:ind w:left="283" w:hanging="283"/>
        <w:jc w:val="both"/>
        <w:rPr>
          <w:noProof/>
          <w:szCs w:val="24"/>
        </w:rPr>
      </w:pPr>
    </w:p>
    <w:p>
      <w:pPr>
        <w:widowControl/>
        <w:jc w:val="both"/>
        <w:rPr>
          <w:rFonts w:eastAsia="Calibri"/>
          <w:noProof/>
        </w:rPr>
      </w:pPr>
      <w:r>
        <w:rPr>
          <w:noProof/>
        </w:rPr>
        <w:t xml:space="preserve">10,1. Montant des limites inférieure et supérieure pour l'allocation de chômage visées à l'article 28 </w:t>
      </w:r>
      <w:r>
        <w:rPr>
          <w:i/>
          <w:noProof/>
        </w:rPr>
        <w:t>bis</w:t>
      </w:r>
      <w:r>
        <w:rPr>
          <w:noProof/>
        </w:rPr>
        <w:t>, paragraphe 3, deuxième alinéa, du régime applicable aux autres agents, applicable à partir du 1</w:t>
      </w:r>
      <w:r>
        <w:rPr>
          <w:noProof/>
          <w:vertAlign w:val="superscript"/>
        </w:rPr>
        <w:t>er</w:t>
      </w:r>
      <w:r>
        <w:rPr>
          <w:noProof/>
        </w:rPr>
        <w:t xml:space="preserve"> juillet 2015:</w:t>
      </w:r>
    </w:p>
    <w:p>
      <w:pPr>
        <w:widowControl/>
        <w:jc w:val="both"/>
        <w:rPr>
          <w:rFonts w:eastAsia="Calibri"/>
          <w:noProof/>
        </w:rPr>
      </w:pPr>
      <w:r>
        <w:rPr>
          <w:noProof/>
        </w:rPr>
        <w:t>- 1 380,24 EUR (limite inférieure);</w:t>
      </w:r>
    </w:p>
    <w:p>
      <w:pPr>
        <w:widowControl/>
        <w:jc w:val="both"/>
        <w:rPr>
          <w:rFonts w:eastAsia="Calibri"/>
          <w:noProof/>
        </w:rPr>
      </w:pPr>
      <w:r>
        <w:rPr>
          <w:noProof/>
        </w:rPr>
        <w:t xml:space="preserve">- 2 760,49 EUR (limite supérieure). </w:t>
      </w:r>
    </w:p>
    <w:p>
      <w:pPr>
        <w:widowControl/>
        <w:jc w:val="both"/>
        <w:rPr>
          <w:rFonts w:eastAsia="Calibri"/>
          <w:noProof/>
        </w:rPr>
      </w:pPr>
      <w:r>
        <w:rPr>
          <w:noProof/>
        </w:rPr>
        <w:t xml:space="preserve">10.2. Montant de l’abattement forfaitaire visé à l’article 28 </w:t>
      </w:r>
      <w:r>
        <w:rPr>
          <w:i/>
          <w:noProof/>
        </w:rPr>
        <w:t>bis</w:t>
      </w:r>
      <w:r>
        <w:rPr>
          <w:noProof/>
        </w:rPr>
        <w:t>, paragraphe 7, du régime applicable aux autres agents, applicable à partir du 1</w:t>
      </w:r>
      <w:r>
        <w:rPr>
          <w:noProof/>
          <w:vertAlign w:val="superscript"/>
        </w:rPr>
        <w:t>er</w:t>
      </w:r>
      <w:r>
        <w:rPr>
          <w:noProof/>
        </w:rPr>
        <w:t xml:space="preserve"> juillet 2015 - 1 254,77 EUR.</w:t>
      </w:r>
    </w:p>
    <w:p>
      <w:pPr>
        <w:widowControl/>
        <w:jc w:val="both"/>
        <w:rPr>
          <w:rFonts w:eastAsia="Calibri"/>
          <w:noProof/>
        </w:rPr>
      </w:pPr>
      <w:r>
        <w:rPr>
          <w:rFonts w:eastAsia="Calibri"/>
          <w:noProof/>
        </w:rPr>
        <w:br w:type="page"/>
      </w:r>
    </w:p>
    <w:p>
      <w:pPr>
        <w:widowControl/>
        <w:jc w:val="both"/>
        <w:rPr>
          <w:noProof/>
        </w:rPr>
      </w:pPr>
      <w:r>
        <w:rPr>
          <w:noProof/>
        </w:rPr>
        <w:lastRenderedPageBreak/>
        <w:t>11. Tableau contenant le barème des traitements de base prévu à l'article 93, du régime applicable aux autres agents, applicable à partir du 1</w:t>
      </w:r>
      <w:r>
        <w:rPr>
          <w:noProof/>
          <w:vertAlign w:val="superscript"/>
        </w:rPr>
        <w:t>er</w:t>
      </w:r>
      <w:r>
        <w:rPr>
          <w:noProof/>
        </w:rPr>
        <w:t xml:space="preserve"> juillet 2015:</w:t>
      </w:r>
    </w:p>
    <w:p>
      <w:pPr>
        <w:widowControl/>
        <w:jc w:val="both"/>
        <w:rPr>
          <w:rFonts w:eastAsia="Calibri"/>
          <w:noProof/>
        </w:rPr>
      </w:pPr>
    </w:p>
    <w:p>
      <w:pPr>
        <w:widowControl/>
        <w:jc w:val="both"/>
        <w:rPr>
          <w:noProof/>
        </w:rPr>
      </w:pPr>
      <w:r>
        <w:rPr>
          <w:rFonts w:eastAsia="Calibri"/>
          <w:noProof/>
          <w:lang w:val="en-US" w:eastAsia="en-US" w:bidi="ar-SA"/>
        </w:rPr>
        <w:drawing>
          <wp:inline distT="0" distB="0" distL="0" distR="0">
            <wp:extent cx="5410200" cy="3286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3286125"/>
                    </a:xfrm>
                    <a:prstGeom prst="rect">
                      <a:avLst/>
                    </a:prstGeom>
                    <a:noFill/>
                    <a:ln>
                      <a:noFill/>
                    </a:ln>
                  </pic:spPr>
                </pic:pic>
              </a:graphicData>
            </a:graphic>
          </wp:inline>
        </w:drawing>
      </w:r>
    </w:p>
    <w:p>
      <w:pPr>
        <w:widowControl/>
        <w:jc w:val="both"/>
        <w:rPr>
          <w:noProof/>
        </w:rPr>
      </w:pPr>
    </w:p>
    <w:p>
      <w:pPr>
        <w:widowControl/>
        <w:jc w:val="both"/>
        <w:rPr>
          <w:rFonts w:eastAsia="Calibri"/>
          <w:noProof/>
        </w:rPr>
      </w:pPr>
      <w:r>
        <w:rPr>
          <w:noProof/>
        </w:rPr>
        <w:t>12. Montant de la limite inférieure pour l'indemnité d'installation visée à l'article 94 du régime applicable aux autres agents, applicable à partir du 1</w:t>
      </w:r>
      <w:r>
        <w:rPr>
          <w:noProof/>
          <w:vertAlign w:val="superscript"/>
        </w:rPr>
        <w:t>er</w:t>
      </w:r>
      <w:r>
        <w:rPr>
          <w:noProof/>
        </w:rPr>
        <w:t xml:space="preserve"> juillet 2015: </w:t>
      </w:r>
    </w:p>
    <w:p>
      <w:pPr>
        <w:widowControl/>
        <w:tabs>
          <w:tab w:val="num" w:pos="283"/>
        </w:tabs>
        <w:ind w:left="283" w:hanging="283"/>
        <w:jc w:val="both"/>
        <w:rPr>
          <w:noProof/>
          <w:szCs w:val="24"/>
        </w:rPr>
      </w:pPr>
      <w:r>
        <w:rPr>
          <w:noProof/>
        </w:rPr>
        <w:t>-</w:t>
      </w:r>
      <w:r>
        <w:rPr>
          <w:noProof/>
        </w:rPr>
        <w:tab/>
        <w:t>865,66 EUR pour un fonctionnaire ayant droit à l’allocation de foyer,</w:t>
      </w:r>
    </w:p>
    <w:p>
      <w:pPr>
        <w:widowControl/>
        <w:tabs>
          <w:tab w:val="num" w:pos="283"/>
        </w:tabs>
        <w:ind w:left="283" w:hanging="283"/>
        <w:jc w:val="both"/>
        <w:rPr>
          <w:noProof/>
          <w:szCs w:val="24"/>
        </w:rPr>
      </w:pPr>
      <w:r>
        <w:rPr>
          <w:noProof/>
        </w:rPr>
        <w:t>-</w:t>
      </w:r>
      <w:r>
        <w:rPr>
          <w:noProof/>
        </w:rPr>
        <w:tab/>
        <w:t>513,23 EUR pour un fonctionnaire n'ayant pas droit à l’allocation de foyer.</w:t>
      </w:r>
    </w:p>
    <w:p>
      <w:pPr>
        <w:widowControl/>
        <w:jc w:val="both"/>
        <w:rPr>
          <w:rFonts w:eastAsia="Calibri"/>
          <w:i/>
          <w:noProof/>
        </w:rPr>
      </w:pPr>
    </w:p>
    <w:p>
      <w:pPr>
        <w:widowControl/>
        <w:jc w:val="both"/>
        <w:rPr>
          <w:rFonts w:eastAsia="Calibri"/>
          <w:noProof/>
        </w:rPr>
      </w:pPr>
      <w:r>
        <w:rPr>
          <w:noProof/>
        </w:rPr>
        <w:t>13.1. Montant des limites inférieure et supérieure pour l'allocation de chômage visées à l'article 96, paragraphe 3, deuxième alinéa, du régime applicable aux autres agents, applicable à partir du 1</w:t>
      </w:r>
      <w:r>
        <w:rPr>
          <w:noProof/>
          <w:vertAlign w:val="superscript"/>
        </w:rPr>
        <w:t>er</w:t>
      </w:r>
      <w:r>
        <w:rPr>
          <w:noProof/>
        </w:rPr>
        <w:t xml:space="preserve"> juillet 2015:</w:t>
      </w:r>
    </w:p>
    <w:p>
      <w:pPr>
        <w:widowControl/>
        <w:jc w:val="both"/>
        <w:rPr>
          <w:rFonts w:eastAsia="Calibri"/>
          <w:noProof/>
        </w:rPr>
      </w:pPr>
      <w:r>
        <w:rPr>
          <w:noProof/>
        </w:rPr>
        <w:t>- 1 035,18 EUR (limite inférieure),</w:t>
      </w:r>
    </w:p>
    <w:p>
      <w:pPr>
        <w:widowControl/>
        <w:jc w:val="both"/>
        <w:rPr>
          <w:rFonts w:eastAsia="Calibri"/>
          <w:noProof/>
        </w:rPr>
      </w:pPr>
      <w:r>
        <w:rPr>
          <w:noProof/>
        </w:rPr>
        <w:t>- 2 070,35 EUR (limite supérieure).</w:t>
      </w:r>
    </w:p>
    <w:p>
      <w:pPr>
        <w:widowControl/>
        <w:jc w:val="both"/>
        <w:rPr>
          <w:rFonts w:eastAsia="Calibri"/>
          <w:noProof/>
        </w:rPr>
      </w:pPr>
      <w:r>
        <w:rPr>
          <w:noProof/>
        </w:rPr>
        <w:t>13.2 Montant de l’abattement forfaitaire visé à l’article 96, paragraphe 7, du régime applicable aux autres agents - 941,08 EUR.</w:t>
      </w:r>
    </w:p>
    <w:p>
      <w:pPr>
        <w:widowControl/>
        <w:jc w:val="both"/>
        <w:rPr>
          <w:rFonts w:eastAsia="Calibri"/>
          <w:noProof/>
        </w:rPr>
      </w:pPr>
      <w:r>
        <w:rPr>
          <w:noProof/>
        </w:rPr>
        <w:t>13.3 Montant des limites inférieure et supérieure pour l'allocation de chômage visées à l'article 136 du régime applicable aux autres agents, applicable à partir du 1</w:t>
      </w:r>
      <w:r>
        <w:rPr>
          <w:noProof/>
          <w:vertAlign w:val="superscript"/>
        </w:rPr>
        <w:t>er</w:t>
      </w:r>
      <w:r>
        <w:rPr>
          <w:noProof/>
        </w:rPr>
        <w:t xml:space="preserve"> juillet 2015:</w:t>
      </w:r>
    </w:p>
    <w:p>
      <w:pPr>
        <w:widowControl/>
        <w:jc w:val="both"/>
        <w:rPr>
          <w:rFonts w:eastAsia="Calibri"/>
          <w:noProof/>
        </w:rPr>
      </w:pPr>
      <w:r>
        <w:rPr>
          <w:noProof/>
        </w:rPr>
        <w:t>- 910,74 EUR (limite inférieure),</w:t>
      </w:r>
    </w:p>
    <w:p>
      <w:pPr>
        <w:widowControl/>
        <w:jc w:val="both"/>
        <w:rPr>
          <w:rFonts w:eastAsia="Calibri"/>
          <w:noProof/>
        </w:rPr>
      </w:pPr>
      <w:r>
        <w:rPr>
          <w:noProof/>
        </w:rPr>
        <w:t>- 2 142,90 EUR (limite supérieure).</w:t>
      </w:r>
    </w:p>
    <w:p>
      <w:pPr>
        <w:widowControl/>
        <w:jc w:val="both"/>
        <w:rPr>
          <w:rFonts w:eastAsia="Calibri"/>
          <w:noProof/>
        </w:rPr>
      </w:pPr>
    </w:p>
    <w:p>
      <w:pPr>
        <w:widowControl/>
        <w:jc w:val="both"/>
        <w:rPr>
          <w:rFonts w:eastAsia="Calibri"/>
          <w:noProof/>
        </w:rPr>
      </w:pPr>
      <w:r>
        <w:rPr>
          <w:noProof/>
        </w:rPr>
        <w:lastRenderedPageBreak/>
        <w:t>14. Montant des indemnités pour service par tours prévues à l'article 1</w:t>
      </w:r>
      <w:r>
        <w:rPr>
          <w:noProof/>
          <w:vertAlign w:val="superscript"/>
        </w:rPr>
        <w:t>er</w:t>
      </w:r>
      <w:r>
        <w:rPr>
          <w:noProof/>
        </w:rPr>
        <w:t>, paragraphe 1, premier alinéa, du règlement (CECA, CEE, Euratom) n° 300/76 Conseil</w:t>
      </w:r>
      <w:r>
        <w:rPr>
          <w:noProof/>
          <w:vertAlign w:val="superscript"/>
        </w:rPr>
        <w:footnoteReference w:id="1"/>
      </w:r>
      <w:r>
        <w:rPr>
          <w:noProof/>
        </w:rPr>
        <w:t>:</w:t>
      </w:r>
    </w:p>
    <w:p>
      <w:pPr>
        <w:widowControl/>
        <w:jc w:val="both"/>
        <w:rPr>
          <w:rFonts w:eastAsia="Calibri"/>
          <w:noProof/>
        </w:rPr>
      </w:pPr>
      <w:r>
        <w:rPr>
          <w:noProof/>
        </w:rPr>
        <w:t xml:space="preserve">- 394,48 EUR, </w:t>
      </w:r>
    </w:p>
    <w:p>
      <w:pPr>
        <w:widowControl/>
        <w:jc w:val="both"/>
        <w:rPr>
          <w:rFonts w:eastAsia="Calibri"/>
          <w:noProof/>
        </w:rPr>
      </w:pPr>
      <w:r>
        <w:rPr>
          <w:noProof/>
        </w:rPr>
        <w:t xml:space="preserve">- 595,40 EUR, </w:t>
      </w:r>
    </w:p>
    <w:p>
      <w:pPr>
        <w:widowControl/>
        <w:jc w:val="both"/>
        <w:rPr>
          <w:rFonts w:eastAsia="Calibri"/>
          <w:noProof/>
        </w:rPr>
      </w:pPr>
      <w:r>
        <w:rPr>
          <w:noProof/>
        </w:rPr>
        <w:t>- 651,00 EUR,</w:t>
      </w:r>
    </w:p>
    <w:p>
      <w:pPr>
        <w:widowControl/>
        <w:jc w:val="both"/>
        <w:rPr>
          <w:rFonts w:eastAsia="Calibri"/>
          <w:noProof/>
        </w:rPr>
      </w:pPr>
      <w:r>
        <w:rPr>
          <w:noProof/>
        </w:rPr>
        <w:t>- 887,52 EUR.</w:t>
      </w:r>
    </w:p>
    <w:p>
      <w:pPr>
        <w:widowControl/>
        <w:jc w:val="both"/>
        <w:rPr>
          <w:rFonts w:eastAsia="Calibri"/>
          <w:noProof/>
        </w:rPr>
      </w:pPr>
    </w:p>
    <w:p>
      <w:pPr>
        <w:widowControl/>
        <w:jc w:val="both"/>
        <w:rPr>
          <w:rFonts w:eastAsia="Calibri"/>
          <w:noProof/>
        </w:rPr>
      </w:pPr>
      <w:r>
        <w:rPr>
          <w:noProof/>
        </w:rPr>
        <w:t>15. Coefficient applicable, à partir du 1</w:t>
      </w:r>
      <w:r>
        <w:rPr>
          <w:noProof/>
          <w:vertAlign w:val="superscript"/>
        </w:rPr>
        <w:t>er</w:t>
      </w:r>
      <w:r>
        <w:rPr>
          <w:noProof/>
        </w:rPr>
        <w:t xml:space="preserve"> juillet 2015, aux montants visés à l'article 4 du règlement (CEE, Euratom, CECA) n° 260/68 du Conseil</w:t>
      </w:r>
      <w:r>
        <w:rPr>
          <w:noProof/>
          <w:vertAlign w:val="superscript"/>
        </w:rPr>
        <w:footnoteReference w:id="2"/>
      </w:r>
      <w:r>
        <w:rPr>
          <w:noProof/>
        </w:rPr>
        <w:t xml:space="preserve"> - 5,6944.</w:t>
      </w:r>
    </w:p>
    <w:p>
      <w:pPr>
        <w:widowControl/>
        <w:jc w:val="both"/>
        <w:rPr>
          <w:rFonts w:eastAsia="Calibri"/>
          <w:noProof/>
        </w:rPr>
      </w:pPr>
    </w:p>
    <w:p>
      <w:pPr>
        <w:widowControl/>
        <w:jc w:val="both"/>
        <w:rPr>
          <w:noProof/>
        </w:rPr>
      </w:pPr>
      <w:r>
        <w:rPr>
          <w:noProof/>
        </w:rPr>
        <w:t>16. Tableau des montants prévus à l'article 8, paragraphe 2, de l'annexe XIII du statut, applicable à partir du 1</w:t>
      </w:r>
      <w:r>
        <w:rPr>
          <w:noProof/>
          <w:vertAlign w:val="superscript"/>
        </w:rPr>
        <w:t>er</w:t>
      </w:r>
      <w:r>
        <w:rPr>
          <w:noProof/>
        </w:rPr>
        <w:t xml:space="preserve"> juillet 2015:</w:t>
      </w:r>
    </w:p>
    <w:p>
      <w:pPr>
        <w:widowControl/>
        <w:jc w:val="both"/>
        <w:rPr>
          <w:noProof/>
        </w:rPr>
      </w:pPr>
      <w:r>
        <w:rPr>
          <w:noProof/>
          <w:lang w:val="en-US" w:eastAsia="en-US" w:bidi="ar-SA"/>
        </w:rPr>
        <w:drawing>
          <wp:inline distT="0" distB="0" distL="0" distR="0">
            <wp:extent cx="5638800" cy="326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3267075"/>
                    </a:xfrm>
                    <a:prstGeom prst="rect">
                      <a:avLst/>
                    </a:prstGeom>
                    <a:noFill/>
                    <a:ln>
                      <a:noFill/>
                    </a:ln>
                  </pic:spPr>
                </pic:pic>
              </a:graphicData>
            </a:graphic>
          </wp:inline>
        </w:drawing>
      </w:r>
    </w:p>
    <w:p>
      <w:pPr>
        <w:widowControl/>
        <w:jc w:val="both"/>
        <w:rPr>
          <w:rFonts w:eastAsia="Calibri"/>
          <w:noProof/>
        </w:rPr>
      </w:pPr>
      <w:r>
        <w:rPr>
          <w:noProof/>
        </w:rPr>
        <w:lastRenderedPageBreak/>
        <w:t>17. Montant, applicable, à partir du 1</w:t>
      </w:r>
      <w:r>
        <w:rPr>
          <w:noProof/>
          <w:vertAlign w:val="superscript"/>
        </w:rPr>
        <w:t>er</w:t>
      </w:r>
      <w:r>
        <w:rPr>
          <w:noProof/>
        </w:rPr>
        <w:t xml:space="preserve"> juillet 2015, de l’indemnité forfaitaire mentionnée à l’article 4 </w:t>
      </w:r>
      <w:r>
        <w:rPr>
          <w:i/>
          <w:noProof/>
        </w:rPr>
        <w:t>bis</w:t>
      </w:r>
      <w:r>
        <w:rPr>
          <w:noProof/>
        </w:rPr>
        <w:t xml:space="preserve"> de l’annexe VII du statut en vigueur avant le 1</w:t>
      </w:r>
      <w:r>
        <w:rPr>
          <w:noProof/>
          <w:vertAlign w:val="superscript"/>
        </w:rPr>
        <w:t>er</w:t>
      </w:r>
      <w:r>
        <w:rPr>
          <w:noProof/>
        </w:rPr>
        <w:t xml:space="preserve"> mai 2004, utilisé pour l’application de l’article 18, paragraphe 1, de l’annexe XIII du statut:</w:t>
      </w:r>
    </w:p>
    <w:p>
      <w:pPr>
        <w:widowControl/>
        <w:jc w:val="both"/>
        <w:rPr>
          <w:rFonts w:eastAsia="Calibri"/>
          <w:noProof/>
        </w:rPr>
      </w:pPr>
      <w:r>
        <w:rPr>
          <w:noProof/>
        </w:rPr>
        <w:t>- 136,08 EUR par mois pour les fonctionnaires classés dans les grades C4 ou C5,</w:t>
      </w:r>
    </w:p>
    <w:p>
      <w:pPr>
        <w:widowControl/>
        <w:jc w:val="both"/>
        <w:rPr>
          <w:rFonts w:eastAsia="Calibri"/>
          <w:noProof/>
        </w:rPr>
      </w:pPr>
      <w:r>
        <w:rPr>
          <w:noProof/>
        </w:rPr>
        <w:t>- 208,65 EUR par mois pour les fonctionnaires classés dans les grades C1, C2 ou C3.</w:t>
      </w:r>
    </w:p>
    <w:p>
      <w:pPr>
        <w:widowControl/>
        <w:jc w:val="both"/>
        <w:rPr>
          <w:rFonts w:eastAsia="Calibri"/>
          <w:noProof/>
        </w:rPr>
      </w:pPr>
    </w:p>
    <w:p>
      <w:pPr>
        <w:widowControl/>
        <w:jc w:val="both"/>
        <w:rPr>
          <w:noProof/>
        </w:rPr>
      </w:pPr>
      <w:r>
        <w:rPr>
          <w:noProof/>
        </w:rPr>
        <w:t>18. Tableau contenant le barème des traitements de base prévu à l'article 133 du régime applicable aux autres agents, applicable à partir du 1</w:t>
      </w:r>
      <w:r>
        <w:rPr>
          <w:noProof/>
          <w:vertAlign w:val="superscript"/>
        </w:rPr>
        <w:t>er</w:t>
      </w:r>
      <w:r>
        <w:rPr>
          <w:noProof/>
        </w:rPr>
        <w:t xml:space="preserve"> juillet 2015:</w:t>
      </w:r>
    </w:p>
    <w:p>
      <w:pPr>
        <w:widowControl/>
        <w:spacing w:after="200" w:line="276" w:lineRule="auto"/>
        <w:rPr>
          <w:noProof/>
        </w:rPr>
      </w:pPr>
      <w:r>
        <w:rPr>
          <w:noProof/>
          <w:lang w:val="en-US" w:eastAsia="en-US" w:bidi="ar-SA"/>
        </w:rPr>
        <w:drawing>
          <wp:inline distT="0" distB="0" distL="0" distR="0">
            <wp:extent cx="4838700" cy="1952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1952625"/>
                    </a:xfrm>
                    <a:prstGeom prst="rect">
                      <a:avLst/>
                    </a:prstGeom>
                    <a:noFill/>
                    <a:ln>
                      <a:noFill/>
                    </a:ln>
                  </pic:spPr>
                </pic:pic>
              </a:graphicData>
            </a:graphic>
          </wp:inline>
        </w:drawing>
      </w:r>
      <w:r>
        <w:rPr>
          <w:noProof/>
        </w:rPr>
        <w:br w:type="page"/>
      </w:r>
    </w:p>
    <w:p>
      <w:pPr>
        <w:widowControl/>
        <w:spacing w:before="360" w:after="360" w:line="240" w:lineRule="auto"/>
        <w:jc w:val="right"/>
        <w:rPr>
          <w:b/>
          <w:i/>
          <w:noProof/>
          <w:szCs w:val="24"/>
          <w:u w:val="single"/>
        </w:rPr>
      </w:pPr>
      <w:r>
        <w:rPr>
          <w:b/>
          <w:i/>
          <w:noProof/>
          <w:u w:val="single"/>
        </w:rPr>
        <w:lastRenderedPageBreak/>
        <w:t xml:space="preserve">Projet </w:t>
      </w:r>
    </w:p>
    <w:p>
      <w:pPr>
        <w:widowControl/>
        <w:spacing w:before="360" w:after="360" w:line="240" w:lineRule="auto"/>
        <w:jc w:val="center"/>
        <w:rPr>
          <w:b/>
          <w:i/>
          <w:noProof/>
          <w:szCs w:val="24"/>
        </w:rPr>
      </w:pPr>
      <w:r>
        <w:rPr>
          <w:b/>
          <w:i/>
          <w:noProof/>
        </w:rPr>
        <w:t xml:space="preserve">ANNEXE II </w:t>
      </w:r>
    </w:p>
    <w:p>
      <w:pPr>
        <w:widowControl/>
        <w:spacing w:before="360" w:after="360" w:line="240" w:lineRule="auto"/>
        <w:jc w:val="center"/>
        <w:rPr>
          <w:b/>
          <w:noProof/>
          <w:szCs w:val="24"/>
        </w:rPr>
      </w:pPr>
      <w:r>
        <w:rPr>
          <w:b/>
          <w:noProof/>
        </w:rPr>
        <w:t>ACTUALISATION</w:t>
      </w:r>
    </w:p>
    <w:p>
      <w:pPr>
        <w:widowControl/>
        <w:spacing w:before="360" w:after="360" w:line="240" w:lineRule="auto"/>
        <w:jc w:val="center"/>
        <w:rPr>
          <w:b/>
          <w:noProof/>
          <w:szCs w:val="24"/>
        </w:rPr>
      </w:pPr>
      <w:r>
        <w:rPr>
          <w:b/>
          <w:noProof/>
        </w:rPr>
        <w:t>DES COEFFICIENTS CORRECTEURS APPLICABLES AUX RÉMUNÉRATIONS DES FONCTIONNAIRES, AGENTS TEMPORAIRES ET AGENTS CONTRACTUELS DE L’UE AFFECTÉS DANS LES PAYS TIERS</w:t>
      </w:r>
      <w:r>
        <w:rPr>
          <w:rFonts w:ascii="Calibri" w:hAnsi="Calibri"/>
          <w:b/>
          <w:noProof/>
          <w:sz w:val="22"/>
          <w:vertAlign w:val="superscript"/>
        </w:rPr>
        <w:footnoteReference w:id="3"/>
      </w:r>
    </w:p>
    <w:tbl>
      <w:tblPr>
        <w:tblW w:w="9229"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551"/>
        <w:gridCol w:w="1560"/>
        <w:gridCol w:w="1559"/>
        <w:gridCol w:w="1559"/>
      </w:tblGrid>
      <w:tr>
        <w:trPr>
          <w:trHeight w:val="120"/>
        </w:trPr>
        <w:tc>
          <w:tcPr>
            <w:tcW w:w="4551" w:type="dxa"/>
            <w:shd w:val="clear" w:color="000000" w:fill="FFFFFF"/>
            <w:vAlign w:val="center"/>
            <w:hideMark/>
          </w:tcPr>
          <w:p>
            <w:pPr>
              <w:widowControl/>
              <w:spacing w:line="276" w:lineRule="auto"/>
              <w:jc w:val="center"/>
              <w:rPr>
                <w:rFonts w:ascii="Calibri" w:eastAsia="Calibri" w:hAnsi="Calibri"/>
                <w:b/>
                <w:noProof/>
                <w:sz w:val="22"/>
                <w:szCs w:val="22"/>
              </w:rPr>
            </w:pPr>
            <w:r>
              <w:rPr>
                <w:rFonts w:ascii="Calibri" w:hAnsi="Calibri"/>
                <w:b/>
                <w:noProof/>
                <w:sz w:val="22"/>
              </w:rPr>
              <w:t>LIEU D'AFFECTATION</w:t>
            </w:r>
          </w:p>
        </w:tc>
        <w:tc>
          <w:tcPr>
            <w:tcW w:w="1560" w:type="dxa"/>
            <w:shd w:val="clear" w:color="000000" w:fill="FFFFFF"/>
            <w:vAlign w:val="center"/>
            <w:hideMark/>
          </w:tcPr>
          <w:p>
            <w:pPr>
              <w:widowControl/>
              <w:spacing w:line="276" w:lineRule="auto"/>
              <w:jc w:val="center"/>
              <w:rPr>
                <w:rFonts w:ascii="Calibri" w:eastAsia="Calibri" w:hAnsi="Calibri"/>
                <w:b/>
                <w:noProof/>
                <w:sz w:val="22"/>
                <w:szCs w:val="22"/>
              </w:rPr>
            </w:pPr>
            <w:r>
              <w:rPr>
                <w:b/>
                <w:noProof/>
              </w:rPr>
              <w:t>Parités économiques</w:t>
            </w:r>
            <w:r>
              <w:rPr>
                <w:noProof/>
              </w:rPr>
              <w:t xml:space="preserve"> </w:t>
            </w:r>
            <w:r>
              <w:rPr>
                <w:noProof/>
              </w:rPr>
              <w:br/>
            </w:r>
            <w:r>
              <w:rPr>
                <w:rFonts w:ascii="Calibri" w:hAnsi="Calibri"/>
                <w:b/>
                <w:noProof/>
                <w:sz w:val="22"/>
              </w:rPr>
              <w:t>Juillet 2015</w:t>
            </w:r>
          </w:p>
        </w:tc>
        <w:tc>
          <w:tcPr>
            <w:tcW w:w="1559" w:type="dxa"/>
            <w:shd w:val="clear" w:color="000000" w:fill="FFFFFF"/>
            <w:vAlign w:val="center"/>
            <w:hideMark/>
          </w:tcPr>
          <w:p>
            <w:pPr>
              <w:widowControl/>
              <w:spacing w:line="276" w:lineRule="auto"/>
              <w:jc w:val="center"/>
              <w:rPr>
                <w:rFonts w:ascii="Calibri" w:eastAsia="Calibri" w:hAnsi="Calibri"/>
                <w:b/>
                <w:noProof/>
                <w:sz w:val="22"/>
                <w:szCs w:val="22"/>
              </w:rPr>
            </w:pPr>
            <w:r>
              <w:rPr>
                <w:b/>
                <w:noProof/>
              </w:rPr>
              <w:t>Taux de change</w:t>
            </w:r>
            <w:r>
              <w:rPr>
                <w:noProof/>
              </w:rPr>
              <w:br/>
            </w:r>
            <w:r>
              <w:rPr>
                <w:rFonts w:ascii="Calibri" w:hAnsi="Calibri"/>
                <w:b/>
                <w:noProof/>
                <w:sz w:val="22"/>
              </w:rPr>
              <w:t>Juillet 2015 (*)</w:t>
            </w:r>
          </w:p>
        </w:tc>
        <w:tc>
          <w:tcPr>
            <w:tcW w:w="1559" w:type="dxa"/>
            <w:shd w:val="clear" w:color="000000" w:fill="FFFFFF"/>
            <w:vAlign w:val="center"/>
            <w:hideMark/>
          </w:tcPr>
          <w:p>
            <w:pPr>
              <w:widowControl/>
              <w:spacing w:line="276" w:lineRule="auto"/>
              <w:jc w:val="center"/>
              <w:rPr>
                <w:rFonts w:ascii="Calibri" w:eastAsia="Calibri" w:hAnsi="Calibri"/>
                <w:b/>
                <w:noProof/>
                <w:sz w:val="22"/>
                <w:szCs w:val="22"/>
              </w:rPr>
            </w:pPr>
            <w:r>
              <w:rPr>
                <w:b/>
                <w:noProof/>
              </w:rPr>
              <w:t xml:space="preserve">Coefficients correcteurs </w:t>
            </w:r>
            <w:r>
              <w:rPr>
                <w:noProof/>
              </w:rPr>
              <w:br/>
            </w:r>
            <w:r>
              <w:rPr>
                <w:rFonts w:ascii="Calibri" w:hAnsi="Calibri"/>
                <w:b/>
                <w:noProof/>
                <w:sz w:val="22"/>
              </w:rPr>
              <w:t xml:space="preserve"> Juillet 2015 (*)</w:t>
            </w:r>
          </w:p>
        </w:tc>
      </w:tr>
      <w:tr>
        <w:trPr>
          <w:trHeight w:val="120"/>
        </w:trPr>
        <w:tc>
          <w:tcPr>
            <w:tcW w:w="4551" w:type="dxa"/>
            <w:tcBorders>
              <w:top w:val="double" w:sz="6"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Afghanistan(***)</w:t>
            </w:r>
          </w:p>
        </w:tc>
        <w:tc>
          <w:tcPr>
            <w:tcW w:w="1560" w:type="dxa"/>
            <w:tcBorders>
              <w:top w:val="double" w:sz="6"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p>
        </w:tc>
        <w:tc>
          <w:tcPr>
            <w:tcW w:w="1559" w:type="dxa"/>
            <w:tcBorders>
              <w:top w:val="double" w:sz="6"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p>
        </w:tc>
        <w:tc>
          <w:tcPr>
            <w:tcW w:w="1559" w:type="dxa"/>
            <w:tcBorders>
              <w:top w:val="double" w:sz="6"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Afrique du Sud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7,905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57,9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Albanie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79,96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140,550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56,9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Algérie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79,28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110,821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71,5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ancienne République yougoslave de Macédoine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30,65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61,6940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49,7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Angola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200,1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134,757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148,5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Arabie saoudite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3,521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4,17488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Argentine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9,287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10,0965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92,0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Arménie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437,7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529,690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82,6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Australie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1,457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1,45260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100,3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Azerbaïdjan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1,078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1,16696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92,4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Bangladesh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71,37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86,6147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82,4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Barbade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2,749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2,23853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122,8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lastRenderedPageBreak/>
              <w:t>Biélorussie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9132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17248,0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52,9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Belize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2,24330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82,8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Bénin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684,2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104,3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Bolivie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6,891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7,69290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Theme="minorHAnsi" w:eastAsia="Calibri" w:hAnsiTheme="minorHAnsi" w:cstheme="minorHAnsi"/>
                <w:noProof/>
                <w:sz w:val="22"/>
                <w:szCs w:val="22"/>
              </w:rPr>
            </w:pPr>
            <w:r>
              <w:rPr>
                <w:rFonts w:asciiTheme="minorHAnsi" w:hAnsiTheme="minorHAnsi" w:cstheme="minorHAnsi"/>
                <w:noProof/>
                <w:sz w:val="22"/>
              </w:rPr>
              <w:t>89,6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Bosnie-Herzégovine (Banja Luka)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55,8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Bosnie-Herzégovine (Sarajevo)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1,95583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Botswana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6,330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11,0742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Brésil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3,597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3,49590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Burkina Faso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636,2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Burundi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1751,18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Cambodge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3827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4614,00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Cameroun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633,7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96,6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Canada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1,37760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103,2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Cap Vert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76,68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110,265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Chili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397,1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704,519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Chine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6,91210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100,2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Colombie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2839,74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Comores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317,2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491,968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64,5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Congo (Brazzaville)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806,2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Corée du Sud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1286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1249,68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102,9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Costa Rica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498,7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595,543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83,7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Côte d'Ivoire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637,3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Cuba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Djibouti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181,1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197,857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Égypte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6,718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8,52845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El Salvador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0,8567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Émirats arabes unis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3,988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4,09190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États-Unis (New York)</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1,212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États-Unis (Washington)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97,5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lastRenderedPageBreak/>
              <w:t>Équateur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Érythrée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17,3943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Éthiopie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23,2380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95,4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Fidji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1,609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2,33918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Gabon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719,9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Gambie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33,81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43,9300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77,0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Géorgie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1,577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2,51700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Ghana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2,787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4,81095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Guatemala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8,027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8,47985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Guinée (Conakry)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7414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8206,67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90,3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Guinée-Bissau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585,6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Guyana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171,5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231,930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Haïti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53,18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55,8709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95,2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Honduras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22,08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24,4101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Hong Kong</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8,63060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124,1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Îles Salomon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8,73172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Islande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186,8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147,770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126,4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54,37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71,0695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76,5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Indonésie (Banda Aceh)</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10316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14868,3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Indonésie (Jakarta)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11232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14868,3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75,5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auto" w:fill="auto"/>
            <w:noWrap/>
            <w:vAlign w:val="bottom"/>
          </w:tcPr>
          <w:p>
            <w:pPr>
              <w:widowControl/>
              <w:spacing w:line="276" w:lineRule="auto"/>
              <w:rPr>
                <w:rFonts w:ascii="Calibri" w:eastAsia="Calibri" w:hAnsi="Calibri"/>
                <w:noProof/>
                <w:sz w:val="22"/>
                <w:szCs w:val="22"/>
                <w:highlight w:val="yellow"/>
              </w:rPr>
            </w:pPr>
            <w:r>
              <w:rPr>
                <w:rFonts w:ascii="Calibri" w:hAnsi="Calibri"/>
                <w:noProof/>
                <w:sz w:val="22"/>
              </w:rPr>
              <w:t>Irak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auto" w:fill="auto"/>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Iran (***) Irak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Israël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4,559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4,22500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Jamaïque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129,193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Japon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136,810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94,7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Jordanie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0,8276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0,789330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Kazakhstan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206,1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208,950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98,6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Kenya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99,88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110,340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90,5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highlight w:val="yellow"/>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highlight w:val="yellow"/>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lastRenderedPageBreak/>
              <w:t xml:space="preserve">Kirghizstan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68,1088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79,3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Kosovo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0,7104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71,0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Laos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9306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9075,00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Lesotho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Liban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1678,30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101,4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Liberia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124,9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Libye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Madagascar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3080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3197,30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Malawi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374,0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490,125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76,3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Malaisie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3,053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4,20700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Mali</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648,5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Maroc</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7,879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10,9025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72,3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Mauritanie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249,5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364,760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Maurice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28,69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39,4345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72,8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Mexique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17,3959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71,9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Moldavie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21,1341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56,9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Monténégro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0,6274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1,00000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62,7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Mozambique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32,16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44,8000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71,8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Myanmar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815,3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1212,38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Namibie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67,7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Népal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114,080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Nicaragua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19,43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30,3371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Niger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553,7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Nigeria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214,1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220,223</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Norvège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8,80650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135,6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Nouvelle-Calédonie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128,9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119,332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Nouvelle-Zélande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1,705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1,62680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104,8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Ouganda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2551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3646,60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70,0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Ouzbékistan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2681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2839,86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94,4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lastRenderedPageBreak/>
              <w:t>Pakistan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113,767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Panama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0,8670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77,9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Papouasie-Nouvelle-Guinée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3,514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3,05432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Paraguay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3984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5738,95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Pérou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3,322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3,53640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Philippines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50,3010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84,0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 xml:space="preserve">République centrafricaine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République démocratique du Congo (Kinshasa)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1,825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163,9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République dominicaine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33,73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50,2830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67,1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Russie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57,26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61,6025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93,0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Rwanda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702,2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805,110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87,2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Samoa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2,715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2,85462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Sénégal</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666,0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101,5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Serbie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73,39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120,422</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60,9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Sierra Leone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7270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5411,94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134,3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Singapour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1,971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1,50160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Somalie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Soudan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9,975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7,01746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142,1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Soudan du Sud (Juba)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4,259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3,28424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129,7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Sri Lanka</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149,945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81,6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Suisse (Berne)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1,03760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142,4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Suisse (Genève)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1,478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1,03760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142,4</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Suriname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2,791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3,67389</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76,0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Swaziland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8,707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13,6434</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63,8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Syrie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Taïwan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32,23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34,4458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93,6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Tadjikistan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4,656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6,96948</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66,8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Tanzanie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1443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2337,55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61,7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Tchad</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780,1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118,9</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lastRenderedPageBreak/>
              <w:t>Thaïlande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37,6350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82,5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Timor-Oriental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1,065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95,7</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Togo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533,1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655,957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81,3</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Trinité-et-Tobago</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6,886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7,16400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96,1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Tunisie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1,519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2,17640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69,8</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tcPr>
          <w:p>
            <w:pPr>
              <w:widowControl/>
              <w:spacing w:line="276" w:lineRule="auto"/>
              <w:rPr>
                <w:rFonts w:ascii="Calibri" w:eastAsia="Calibri" w:hAnsi="Calibri"/>
                <w:noProof/>
                <w:sz w:val="22"/>
                <w:szCs w:val="22"/>
              </w:rPr>
            </w:pPr>
            <w:r>
              <w:rPr>
                <w:rFonts w:ascii="Calibri" w:hAnsi="Calibri"/>
                <w:noProof/>
                <w:sz w:val="22"/>
              </w:rPr>
              <w:t>Turkménistan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2,536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3,89655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65,1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Turquie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2,99050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78,0</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Ukraine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23,5775</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59,2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Uruguay</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27,92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29,8676</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93,5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Vanuatu</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134,7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121,130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111,2</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Venezuela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 xml:space="preserve">Viêt Nam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15329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24281,1</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63,1</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 xml:space="preserve">Cisjordanie et Bande de Gaza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5,181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4,22500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122,6</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Yémen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285,8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239,237</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119,5</w:t>
            </w:r>
          </w:p>
        </w:tc>
      </w:tr>
      <w:tr>
        <w:trPr>
          <w:trHeight w:val="120"/>
        </w:trPr>
        <w:tc>
          <w:tcPr>
            <w:tcW w:w="4551" w:type="dxa"/>
            <w:tcBorders>
              <w:top w:val="single" w:sz="4" w:space="0" w:color="auto"/>
              <w:left w:val="double" w:sz="6" w:space="0" w:color="auto"/>
              <w:bottom w:val="single" w:sz="4"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Zambie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7,632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8,23290</w:t>
            </w:r>
          </w:p>
        </w:tc>
        <w:tc>
          <w:tcPr>
            <w:tcW w:w="1559"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pPr>
              <w:widowControl/>
              <w:spacing w:after="200" w:line="276" w:lineRule="auto"/>
              <w:jc w:val="center"/>
              <w:rPr>
                <w:rFonts w:ascii="Arial" w:eastAsia="Calibri" w:hAnsi="Arial" w:cs="Arial"/>
                <w:noProof/>
                <w:sz w:val="20"/>
              </w:rPr>
            </w:pPr>
            <w:r>
              <w:rPr>
                <w:rFonts w:ascii="Arial" w:hAnsi="Arial"/>
                <w:noProof/>
                <w:sz w:val="20"/>
              </w:rPr>
              <w:t>92,7</w:t>
            </w:r>
          </w:p>
        </w:tc>
      </w:tr>
      <w:tr>
        <w:trPr>
          <w:trHeight w:val="120"/>
        </w:trPr>
        <w:tc>
          <w:tcPr>
            <w:tcW w:w="4551"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pPr>
              <w:widowControl/>
              <w:spacing w:line="276" w:lineRule="auto"/>
              <w:rPr>
                <w:rFonts w:ascii="Calibri" w:eastAsia="Calibri" w:hAnsi="Calibri"/>
                <w:noProof/>
                <w:sz w:val="22"/>
                <w:szCs w:val="22"/>
              </w:rPr>
            </w:pPr>
            <w:r>
              <w:rPr>
                <w:rFonts w:ascii="Calibri" w:hAnsi="Calibri"/>
                <w:noProof/>
                <w:sz w:val="22"/>
              </w:rPr>
              <w:t>Zimbabwe (*)</w:t>
            </w:r>
          </w:p>
        </w:tc>
        <w:tc>
          <w:tcPr>
            <w:tcW w:w="1560" w:type="dxa"/>
            <w:tcBorders>
              <w:top w:val="single" w:sz="4" w:space="0" w:color="auto"/>
              <w:left w:val="single" w:sz="4" w:space="0" w:color="auto"/>
              <w:bottom w:val="double" w:sz="6"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1,078</w:t>
            </w:r>
          </w:p>
        </w:tc>
        <w:tc>
          <w:tcPr>
            <w:tcW w:w="1559" w:type="dxa"/>
            <w:tcBorders>
              <w:top w:val="single" w:sz="4" w:space="0" w:color="auto"/>
              <w:left w:val="single" w:sz="4" w:space="0" w:color="auto"/>
              <w:bottom w:val="double" w:sz="6" w:space="0" w:color="auto"/>
              <w:right w:val="single" w:sz="4"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1,11330</w:t>
            </w:r>
          </w:p>
        </w:tc>
        <w:tc>
          <w:tcPr>
            <w:tcW w:w="1559" w:type="dxa"/>
            <w:tcBorders>
              <w:top w:val="single" w:sz="4" w:space="0" w:color="auto"/>
              <w:left w:val="single" w:sz="4" w:space="0" w:color="auto"/>
              <w:bottom w:val="double" w:sz="6" w:space="0" w:color="auto"/>
              <w:right w:val="double" w:sz="6" w:space="0" w:color="auto"/>
            </w:tcBorders>
            <w:shd w:val="clear" w:color="000000" w:fill="FFFFFF"/>
            <w:noWrap/>
            <w:vAlign w:val="bottom"/>
          </w:tcPr>
          <w:p>
            <w:pPr>
              <w:widowControl/>
              <w:spacing w:after="200" w:line="276" w:lineRule="auto"/>
              <w:jc w:val="center"/>
              <w:rPr>
                <w:rFonts w:ascii="Arial" w:eastAsia="Calibri" w:hAnsi="Arial" w:cs="Arial"/>
                <w:noProof/>
                <w:sz w:val="20"/>
              </w:rPr>
            </w:pPr>
            <w:r>
              <w:rPr>
                <w:rFonts w:ascii="Arial" w:hAnsi="Arial"/>
                <w:noProof/>
                <w:sz w:val="20"/>
              </w:rPr>
              <w:t>96,8</w:t>
            </w:r>
          </w:p>
        </w:tc>
      </w:tr>
    </w:tbl>
    <w:p>
      <w:pPr>
        <w:widowControl/>
        <w:spacing w:after="200" w:line="276" w:lineRule="auto"/>
        <w:rPr>
          <w:rFonts w:ascii="Calibri" w:eastAsia="Calibri" w:hAnsi="Calibri"/>
          <w:noProof/>
          <w:sz w:val="16"/>
          <w:szCs w:val="16"/>
        </w:rPr>
      </w:pPr>
      <w:r>
        <w:rPr>
          <w:rFonts w:ascii="Calibri" w:hAnsi="Calibri"/>
          <w:noProof/>
          <w:sz w:val="16"/>
        </w:rPr>
        <w:t xml:space="preserve">(*) 1 EUR = x unités de la monnaie nationale (USD pour Cuba, l'El Salvador, l'Équateur, le Liberia, le Panama, la République démocratique du Congo, le Timor-Oriental et le Zimbabwe). </w:t>
      </w:r>
    </w:p>
    <w:p>
      <w:pPr>
        <w:widowControl/>
        <w:spacing w:after="200" w:line="276" w:lineRule="auto"/>
        <w:rPr>
          <w:rFonts w:ascii="Calibri" w:eastAsia="Calibri" w:hAnsi="Calibri"/>
          <w:noProof/>
          <w:sz w:val="16"/>
          <w:szCs w:val="16"/>
        </w:rPr>
      </w:pPr>
      <w:r>
        <w:rPr>
          <w:rFonts w:ascii="Calibri" w:hAnsi="Calibri"/>
          <w:noProof/>
          <w:sz w:val="16"/>
        </w:rPr>
        <w:t>(**) Bruxelles et Luxembourg = 100 %.</w:t>
      </w:r>
    </w:p>
    <w:p>
      <w:pPr>
        <w:widowControl/>
        <w:spacing w:after="200" w:line="276" w:lineRule="auto"/>
        <w:rPr>
          <w:rFonts w:ascii="Calibri" w:eastAsia="Calibri" w:hAnsi="Calibri"/>
          <w:noProof/>
          <w:sz w:val="22"/>
          <w:szCs w:val="22"/>
        </w:rPr>
      </w:pPr>
      <w:r>
        <w:rPr>
          <w:rFonts w:ascii="Calibri" w:hAnsi="Calibri"/>
          <w:noProof/>
          <w:sz w:val="16"/>
        </w:rPr>
        <w:t>(***)  Non disponible à cause des difficultés liées à l’instabilité locale ou au manque de fiabilité des données.</w:t>
      </w:r>
    </w:p>
    <w:p>
      <w:pPr>
        <w:widowControl/>
        <w:spacing w:after="200" w:line="276" w:lineRule="auto"/>
        <w:rPr>
          <w:noProof/>
        </w:rPr>
      </w:pPr>
      <w:r>
        <w:rPr>
          <w:noProof/>
        </w:rPr>
        <w:br w:type="page"/>
      </w:r>
    </w:p>
    <w:tbl>
      <w:tblPr>
        <w:tblpPr w:leftFromText="180" w:rightFromText="180" w:vertAnchor="page" w:horzAnchor="margin" w:tblpY="965"/>
        <w:tblW w:w="9940" w:type="dxa"/>
        <w:tblLayout w:type="fixed"/>
        <w:tblLook w:val="04A0" w:firstRow="1" w:lastRow="0" w:firstColumn="1" w:lastColumn="0" w:noHBand="0" w:noVBand="1"/>
      </w:tblPr>
      <w:tblGrid>
        <w:gridCol w:w="510"/>
        <w:gridCol w:w="3638"/>
        <w:gridCol w:w="1814"/>
        <w:gridCol w:w="10"/>
        <w:gridCol w:w="11"/>
        <w:gridCol w:w="346"/>
        <w:gridCol w:w="1437"/>
        <w:gridCol w:w="17"/>
        <w:gridCol w:w="348"/>
        <w:gridCol w:w="1573"/>
        <w:gridCol w:w="236"/>
      </w:tblGrid>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right"/>
              <w:rPr>
                <w:b/>
                <w:i/>
                <w:iCs/>
                <w:noProof/>
                <w:szCs w:val="32"/>
              </w:rPr>
            </w:pPr>
            <w:r>
              <w:rPr>
                <w:b/>
                <w:i/>
                <w:noProof/>
              </w:rPr>
              <w:t>Projet</w:t>
            </w:r>
          </w:p>
          <w:p>
            <w:pPr>
              <w:widowControl/>
              <w:spacing w:before="120" w:line="240" w:lineRule="auto"/>
              <w:jc w:val="center"/>
              <w:rPr>
                <w:b/>
                <w:iCs/>
                <w:noProof/>
                <w:szCs w:val="32"/>
              </w:rPr>
            </w:pPr>
          </w:p>
          <w:p>
            <w:pPr>
              <w:widowControl/>
              <w:spacing w:before="120" w:line="240" w:lineRule="auto"/>
              <w:jc w:val="center"/>
              <w:rPr>
                <w:b/>
                <w:noProof/>
                <w:szCs w:val="24"/>
              </w:rPr>
            </w:pPr>
            <w:r>
              <w:rPr>
                <w:b/>
                <w:noProof/>
              </w:rPr>
              <w:t>ANNEXE III</w:t>
            </w:r>
          </w:p>
          <w:p>
            <w:pPr>
              <w:widowControl/>
              <w:spacing w:before="120" w:line="240" w:lineRule="auto"/>
              <w:jc w:val="center"/>
              <w:rPr>
                <w:b/>
                <w:noProof/>
                <w:szCs w:val="24"/>
              </w:rPr>
            </w:pPr>
          </w:p>
          <w:p>
            <w:pPr>
              <w:widowControl/>
              <w:spacing w:before="120" w:line="240" w:lineRule="auto"/>
              <w:jc w:val="center"/>
              <w:rPr>
                <w:b/>
                <w:noProof/>
                <w:szCs w:val="24"/>
              </w:rPr>
            </w:pPr>
            <w:r>
              <w:rPr>
                <w:b/>
                <w:noProof/>
              </w:rPr>
              <w:t xml:space="preserve">ACTUALISATION INTERMÉDIAIRE </w:t>
            </w:r>
          </w:p>
          <w:p>
            <w:pPr>
              <w:widowControl/>
              <w:spacing w:before="120" w:line="240" w:lineRule="auto"/>
              <w:jc w:val="center"/>
              <w:rPr>
                <w:i/>
                <w:iCs/>
                <w:noProof/>
                <w:sz w:val="32"/>
                <w:szCs w:val="32"/>
              </w:rPr>
            </w:pPr>
            <w:r>
              <w:rPr>
                <w:b/>
                <w:noProof/>
              </w:rPr>
              <w:t>DES COEFFICIENTS CORRECTEURS APPLICABLES AUX</w:t>
            </w:r>
            <w:r>
              <w:rPr>
                <w:noProof/>
              </w:rPr>
              <w:br/>
            </w:r>
            <w:r>
              <w:rPr>
                <w:b/>
                <w:noProof/>
              </w:rPr>
              <w:t xml:space="preserve">  RÉMUNÉRATIONS DES FONCTIONNAIRES,  AGENTS TEMPORAIRES ET AGENTS CONTRACTUELS</w:t>
            </w:r>
            <w:r>
              <w:rPr>
                <w:noProof/>
              </w:rPr>
              <w:t xml:space="preserve"> </w:t>
            </w:r>
            <w:r>
              <w:rPr>
                <w:noProof/>
              </w:rPr>
              <w:br/>
            </w:r>
            <w:r>
              <w:rPr>
                <w:b/>
                <w:noProof/>
              </w:rPr>
              <w:t xml:space="preserve"> DE L'UE AFFECTÉS DANS LES PAYS TIERS</w:t>
            </w:r>
            <w:r>
              <w:rPr>
                <w:b/>
                <w:noProof/>
                <w:vertAlign w:val="superscript"/>
              </w:rPr>
              <w:footnoteReference w:id="4"/>
            </w:r>
          </w:p>
          <w:p>
            <w:pPr>
              <w:widowControl/>
              <w:spacing w:before="120" w:line="240" w:lineRule="auto"/>
              <w:jc w:val="center"/>
              <w:rPr>
                <w:i/>
                <w:iCs/>
                <w:noProof/>
                <w:sz w:val="32"/>
                <w:szCs w:val="32"/>
              </w:rPr>
            </w:pPr>
            <w:r>
              <w:rPr>
                <w:noProof/>
              </w:rPr>
              <w:br/>
            </w:r>
            <w:r>
              <w:rPr>
                <w:i/>
                <w:noProof/>
                <w:sz w:val="32"/>
              </w:rPr>
              <w:t>FÉVRIER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63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Février 2015</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Février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 xml:space="preserve">Coefficients correcteurs </w:t>
            </w:r>
            <w:r>
              <w:rPr>
                <w:noProof/>
              </w:rPr>
              <w:br/>
            </w:r>
            <w:r>
              <w:rPr>
                <w:b/>
                <w:noProof/>
                <w:sz w:val="16"/>
              </w:rPr>
              <w:t>Février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rPr>
            </w:pPr>
            <w:r>
              <w:rPr>
                <w:noProof/>
                <w:sz w:val="18"/>
              </w:rPr>
              <w:t>Albanie</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80,21</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139,690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57,4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rPr>
            </w:pPr>
            <w:r>
              <w:rPr>
                <w:noProof/>
                <w:sz w:val="18"/>
              </w:rPr>
              <w:t>Algérie</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79,14</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103,264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76,6</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rPr>
            </w:pPr>
            <w:r>
              <w:rPr>
                <w:noProof/>
                <w:sz w:val="18"/>
              </w:rPr>
              <w:t>Arménie</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449,2</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536,780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83,7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Bangladesh</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71,67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87,4394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82,0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Barbade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2,821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2,27512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124,0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Bosnie-Herzégovine (Banja Luka)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1,128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1,95583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57,7</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Bosnie-Herzégovine (Sarajevo)</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1,334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1,95583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68,2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Cambodge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4252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4589,50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92,6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Ghana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2,660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3,63590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73,2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Liberia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1,426</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1,13150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126,0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Mexique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12,55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16,7722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74,8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Népal</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104,7</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110,360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94,9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Nigeria</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210,5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188,103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111,9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République centrafricaine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661,4</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100,8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Russie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56,65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78,2726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72,4</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Sierra Leone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7232</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5573,77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129,8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Soudan</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9,769</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7,13218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137,0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Ukraine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10,08</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17,9904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56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1814" w:type="dxa"/>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804" w:type="dxa"/>
            <w:gridSpan w:val="4"/>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1 EUR = x unités de la monnaie nationale (sauf USD pour: Cuba, l'El Salvador, l'Équateur, le Liberia, le Panama, la République démocratique du Congo, le Timor-Oriental et le Zimbabwe).</w:t>
            </w: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MARS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6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Mars 2015</w:t>
            </w:r>
          </w:p>
        </w:tc>
        <w:tc>
          <w:tcPr>
            <w:tcW w:w="1804" w:type="dxa"/>
            <w:gridSpan w:val="4"/>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Mars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Mars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rPr>
            </w:pPr>
            <w:r>
              <w:rPr>
                <w:noProof/>
                <w:sz w:val="18"/>
              </w:rPr>
              <w:t>Azerbaïdjan</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1,078</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1,18840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90,7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6"/>
              </w:rPr>
            </w:pPr>
            <w:r>
              <w:rPr>
                <w:noProof/>
                <w:sz w:val="18"/>
              </w:rPr>
              <w:t>Malawi</w:t>
            </w:r>
          </w:p>
        </w:tc>
        <w:tc>
          <w:tcPr>
            <w:tcW w:w="1814" w:type="dxa"/>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372,3</w:t>
            </w:r>
          </w:p>
        </w:tc>
        <w:tc>
          <w:tcPr>
            <w:tcW w:w="1804" w:type="dxa"/>
            <w:gridSpan w:val="4"/>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496,614</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6"/>
              </w:rPr>
            </w:pPr>
            <w:r>
              <w:rPr>
                <w:noProof/>
                <w:sz w:val="18"/>
              </w:rPr>
              <w:t>75,0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Moldavie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11,85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20,1215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58,9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Mozambique</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32,70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37,9900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86,1</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Îles Salomon</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11,25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8,44729</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133,2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Soudan du Sud</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4,080</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3,33852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122,2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Tchad</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789,1</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655,957</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120,3</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6"/>
              </w:rPr>
            </w:pPr>
            <w:r>
              <w:rPr>
                <w:noProof/>
                <w:sz w:val="18"/>
              </w:rPr>
              <w:t>Timor-Oriental</w:t>
            </w:r>
          </w:p>
        </w:tc>
        <w:tc>
          <w:tcPr>
            <w:tcW w:w="1814" w:type="dxa"/>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1,165</w:t>
            </w:r>
          </w:p>
        </w:tc>
        <w:tc>
          <w:tcPr>
            <w:tcW w:w="1804" w:type="dxa"/>
            <w:gridSpan w:val="4"/>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1,13170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6"/>
              </w:rPr>
            </w:pPr>
            <w:r>
              <w:rPr>
                <w:noProof/>
                <w:sz w:val="18"/>
              </w:rPr>
              <w:t>102,9</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28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1814" w:type="dxa"/>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804" w:type="dxa"/>
            <w:gridSpan w:val="4"/>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1 EUR = x unités de la monnaie nationale (sauf USD pour: Cuba, l'El Salvador, l'Équateur, le Liberia, le Panama, la République démocratique du Congo, le Timor-Oriental et le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AVRIL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63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Avril 2015</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Avril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Avril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Angola</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199,0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118,288</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168,2</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ancienne République yougoslave de Macédoine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33,53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61,6614</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54,4</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El Salvador</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0,9040</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1,08450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83,4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Serbie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79,08</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120,633</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65,6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Swaziland</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8,251</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13,1446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62,8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Turkménistan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2,520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3,79575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66,4</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Turquie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2,293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2,82650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81,1</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11,67</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25,4866</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45,8</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1824"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794"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1 EUR = x unités de la monnaie nationale (sauf USD pour: Cuba, l'El Salvador, l'Équateur, le Liberia, le Panama, la République démocratique du Congo, le Timor-Oriental et le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MAI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84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1824"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Mai 2015</w:t>
            </w:r>
          </w:p>
        </w:tc>
        <w:tc>
          <w:tcPr>
            <w:tcW w:w="1794"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Mai 2015 (*)</w:t>
            </w:r>
          </w:p>
        </w:tc>
        <w:tc>
          <w:tcPr>
            <w:tcW w:w="1938"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Mai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Afrique du Sud</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7,712</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13,0682</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59,0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Cambodge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4014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4387,50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91,5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Chine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7,144</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6,82110</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104,7</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Éthiopie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22,98</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22,0862</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104,0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Jamaïque</w:t>
            </w:r>
          </w:p>
        </w:tc>
        <w:tc>
          <w:tcPr>
            <w:tcW w:w="1824"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125,6</w:t>
            </w:r>
          </w:p>
        </w:tc>
        <w:tc>
          <w:tcPr>
            <w:tcW w:w="1794"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123,326</w:t>
            </w:r>
          </w:p>
        </w:tc>
        <w:tc>
          <w:tcPr>
            <w:tcW w:w="1938"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101,8</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Kenya</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99,86</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102,458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97,5</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Liban</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1675</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1658,55</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101,0</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Maurice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30,10</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39,0038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77,2</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République dominicaine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34,53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48,4068</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71,3</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Ukraine</w:t>
            </w:r>
          </w:p>
        </w:tc>
        <w:tc>
          <w:tcPr>
            <w:tcW w:w="1824"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13,23</w:t>
            </w:r>
          </w:p>
        </w:tc>
        <w:tc>
          <w:tcPr>
            <w:tcW w:w="1794"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25,1930</w:t>
            </w:r>
          </w:p>
        </w:tc>
        <w:tc>
          <w:tcPr>
            <w:tcW w:w="1938"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52,5</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1824"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794"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938"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1 EUR = x unités de la monnaie nationale (sauf USD pour: Cuba, l'El Salvador, l'Équateur, le Liberia, le Panama, la République démocratique du Congo, le Timor-Oriental et le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405"/>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JUIN 2015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84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1835"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Juin 2015</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 xml:space="preserve"> Juin 2015 (*)</w:t>
            </w:r>
          </w:p>
        </w:tc>
        <w:tc>
          <w:tcPr>
            <w:tcW w:w="1921"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Juin 2015 (**)</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Bénin</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683,3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655,957</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104,2</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Bosnie-Herzégovine (Banja Luka)</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1,063</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1,95583</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54,4</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Bosnie-Herzégovine (Sarajevo)</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1,262</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1,95583</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64,5</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Îles Salomon</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10,43</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8,43340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123,7</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8"/>
                <w:szCs w:val="18"/>
              </w:rPr>
            </w:pPr>
            <w:r>
              <w:rPr>
                <w:noProof/>
                <w:sz w:val="18"/>
              </w:rPr>
              <w:t>Papouasie-Nouvelle-Guinée</w:t>
            </w:r>
          </w:p>
        </w:tc>
        <w:tc>
          <w:tcPr>
            <w:tcW w:w="1835"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3,616</w:t>
            </w:r>
          </w:p>
        </w:tc>
        <w:tc>
          <w:tcPr>
            <w:tcW w:w="1800" w:type="dxa"/>
            <w:gridSpan w:val="3"/>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2,96490</w:t>
            </w:r>
          </w:p>
        </w:tc>
        <w:tc>
          <w:tcPr>
            <w:tcW w:w="1921" w:type="dxa"/>
            <w:gridSpan w:val="2"/>
            <w:tcBorders>
              <w:top w:val="nil"/>
              <w:left w:val="nil"/>
              <w:bottom w:val="single" w:sz="4" w:space="0" w:color="000000"/>
              <w:right w:val="single" w:sz="4" w:space="0" w:color="000000"/>
            </w:tcBorders>
            <w:shd w:val="clear" w:color="000000" w:fill="FFFFFF"/>
            <w:noWrap/>
            <w:vAlign w:val="center"/>
            <w:hideMark/>
          </w:tcPr>
          <w:p>
            <w:pPr>
              <w:widowControl/>
              <w:spacing w:after="200" w:line="276" w:lineRule="auto"/>
              <w:jc w:val="center"/>
              <w:rPr>
                <w:rFonts w:eastAsia="Calibri"/>
                <w:noProof/>
                <w:sz w:val="18"/>
                <w:szCs w:val="18"/>
              </w:rPr>
            </w:pPr>
            <w:r>
              <w:rPr>
                <w:noProof/>
                <w:sz w:val="18"/>
              </w:rPr>
              <w:t>122,0</w:t>
            </w: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tcPr>
          <w:p>
            <w:pPr>
              <w:widowControl/>
              <w:spacing w:before="120" w:line="240" w:lineRule="auto"/>
              <w:jc w:val="both"/>
              <w:rPr>
                <w:rFonts w:ascii="Arial" w:hAnsi="Arial" w:cs="Arial"/>
                <w:noProof/>
                <w:sz w:val="20"/>
              </w:rPr>
            </w:pPr>
          </w:p>
        </w:tc>
        <w:tc>
          <w:tcPr>
            <w:tcW w:w="3638" w:type="dxa"/>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8"/>
                <w:szCs w:val="18"/>
              </w:rPr>
            </w:pPr>
            <w:r>
              <w:rPr>
                <w:noProof/>
                <w:sz w:val="18"/>
              </w:rPr>
              <w:t>Timor-Oriental</w:t>
            </w:r>
          </w:p>
        </w:tc>
        <w:tc>
          <w:tcPr>
            <w:tcW w:w="1835"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1,085</w:t>
            </w:r>
          </w:p>
        </w:tc>
        <w:tc>
          <w:tcPr>
            <w:tcW w:w="1800"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1,08960</w:t>
            </w:r>
          </w:p>
        </w:tc>
        <w:tc>
          <w:tcPr>
            <w:tcW w:w="1921"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8"/>
                <w:szCs w:val="18"/>
              </w:rPr>
            </w:pPr>
            <w:r>
              <w:rPr>
                <w:noProof/>
                <w:sz w:val="18"/>
              </w:rPr>
              <w:t>99,6</w:t>
            </w:r>
          </w:p>
        </w:tc>
        <w:tc>
          <w:tcPr>
            <w:tcW w:w="236" w:type="dxa"/>
            <w:tcBorders>
              <w:top w:val="nil"/>
              <w:left w:val="nil"/>
              <w:bottom w:val="nil"/>
              <w:right w:val="nil"/>
            </w:tcBorders>
            <w:shd w:val="clear" w:color="auto" w:fill="auto"/>
            <w:noWrap/>
            <w:vAlign w:val="bottom"/>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1835"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800"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1921"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1"/>
          <w:wAfter w:w="236" w:type="dxa"/>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9194" w:type="dxa"/>
            <w:gridSpan w:val="9"/>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1 EUR = x unités de la monnaie nationale (sauf USD pour: Cuba, l'El Salvador, l'Équateur, le Liberia, le Panama, la République démocratique du Congo, le Timor-Oriental et le Zimbabwe).</w:t>
            </w: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b/>
                <w:bCs/>
                <w:noProof/>
                <w:sz w:val="20"/>
              </w:rPr>
            </w:pPr>
            <w:r>
              <w:rPr>
                <w:rFonts w:ascii="Arial" w:hAnsi="Arial"/>
                <w:b/>
                <w:noProof/>
                <w:sz w:val="20"/>
              </w:rPr>
              <w:t>(**)</w:t>
            </w: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Bruxelles et Luxembourg = 100.</w:t>
            </w: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510"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363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181"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02" w:type="dxa"/>
            <w:gridSpan w:val="3"/>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573"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236"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bl>
    <w:p>
      <w:pPr>
        <w:widowControl/>
        <w:spacing w:after="200" w:line="276" w:lineRule="auto"/>
        <w:rPr>
          <w:noProof/>
        </w:rPr>
      </w:pPr>
      <w:r>
        <w:rPr>
          <w:noProof/>
        </w:rPr>
        <w:br w:type="page"/>
      </w:r>
    </w:p>
    <w:p>
      <w:pPr>
        <w:widowControl/>
        <w:spacing w:before="120" w:line="240" w:lineRule="auto"/>
        <w:jc w:val="both"/>
        <w:rPr>
          <w:rFonts w:cstheme="minorBidi"/>
          <w:noProof/>
        </w:rPr>
      </w:pPr>
    </w:p>
    <w:p>
      <w:pPr>
        <w:widowControl/>
        <w:spacing w:before="120" w:line="240" w:lineRule="auto"/>
        <w:jc w:val="center"/>
        <w:rPr>
          <w:rFonts w:cstheme="minorBidi"/>
          <w:b/>
          <w:i/>
          <w:noProof/>
          <w:szCs w:val="24"/>
        </w:rPr>
      </w:pPr>
      <w:r>
        <w:rPr>
          <w:rFonts w:cstheme="minorBidi"/>
          <w:b/>
          <w:i/>
          <w:noProof/>
        </w:rPr>
        <w:t>ANNEXE IV</w:t>
      </w:r>
    </w:p>
    <w:p>
      <w:pPr>
        <w:widowControl/>
        <w:spacing w:before="120" w:line="240" w:lineRule="auto"/>
        <w:jc w:val="center"/>
        <w:rPr>
          <w:rFonts w:cstheme="minorBidi"/>
          <w:b/>
          <w:i/>
          <w:noProof/>
          <w:szCs w:val="24"/>
          <w:u w:val="single"/>
        </w:rPr>
      </w:pPr>
      <w:r>
        <w:rPr>
          <w:rFonts w:cstheme="minorBidi"/>
          <w:b/>
          <w:i/>
          <w:noProof/>
          <w:u w:val="single"/>
        </w:rPr>
        <w:t>Déjà publiée au JO C/193 du 11 juin 2015</w:t>
      </w:r>
    </w:p>
    <w:p>
      <w:pPr>
        <w:widowControl/>
        <w:spacing w:before="120" w:line="240" w:lineRule="auto"/>
        <w:jc w:val="center"/>
        <w:rPr>
          <w:rFonts w:cstheme="minorBidi"/>
          <w:b/>
          <w:i/>
          <w:noProof/>
          <w:szCs w:val="24"/>
        </w:rPr>
      </w:pPr>
    </w:p>
    <w:p>
      <w:pPr>
        <w:widowControl/>
        <w:spacing w:before="120" w:line="240" w:lineRule="auto"/>
        <w:jc w:val="center"/>
        <w:rPr>
          <w:rFonts w:cstheme="minorBidi"/>
          <w:b/>
          <w:i/>
          <w:noProof/>
          <w:szCs w:val="24"/>
        </w:rPr>
      </w:pPr>
    </w:p>
    <w:p>
      <w:pPr>
        <w:widowControl/>
        <w:spacing w:before="120" w:line="240" w:lineRule="auto"/>
        <w:jc w:val="center"/>
        <w:rPr>
          <w:rFonts w:cstheme="minorBidi"/>
          <w:b/>
          <w:noProof/>
          <w:szCs w:val="24"/>
        </w:rPr>
      </w:pPr>
      <w:r>
        <w:rPr>
          <w:rFonts w:cstheme="minorBidi"/>
          <w:b/>
          <w:i/>
          <w:noProof/>
          <w:szCs w:val="24"/>
        </w:rPr>
        <w:br/>
      </w:r>
      <w:r>
        <w:rPr>
          <w:rFonts w:cstheme="minorBidi"/>
          <w:b/>
          <w:noProof/>
        </w:rPr>
        <w:t xml:space="preserve">ACTUALISATION INTERMÉDIAIRE </w:t>
      </w:r>
    </w:p>
    <w:p>
      <w:pPr>
        <w:widowControl/>
        <w:spacing w:before="120" w:line="240" w:lineRule="auto"/>
        <w:jc w:val="center"/>
        <w:rPr>
          <w:rFonts w:cstheme="minorBidi"/>
          <w:b/>
          <w:noProof/>
          <w:szCs w:val="24"/>
        </w:rPr>
      </w:pPr>
      <w:r>
        <w:rPr>
          <w:rFonts w:cstheme="minorBidi"/>
          <w:b/>
          <w:noProof/>
        </w:rPr>
        <w:t>des coefficients correcteurs applicables à partir du 1</w:t>
      </w:r>
      <w:r>
        <w:rPr>
          <w:rFonts w:cstheme="minorBidi"/>
          <w:b/>
          <w:noProof/>
          <w:vertAlign w:val="superscript"/>
        </w:rPr>
        <w:t>er</w:t>
      </w:r>
      <w:r>
        <w:rPr>
          <w:rFonts w:cstheme="minorBidi"/>
          <w:b/>
          <w:noProof/>
        </w:rPr>
        <w:t xml:space="preserve"> janvier 2015 aux rémunérations et aux pensions des  </w:t>
      </w:r>
    </w:p>
    <w:p>
      <w:pPr>
        <w:widowControl/>
        <w:spacing w:before="120" w:line="240" w:lineRule="auto"/>
        <w:jc w:val="center"/>
        <w:rPr>
          <w:rFonts w:cstheme="minorBidi"/>
          <w:b/>
          <w:noProof/>
          <w:szCs w:val="24"/>
        </w:rPr>
      </w:pPr>
      <w:r>
        <w:rPr>
          <w:rFonts w:cstheme="minorBidi"/>
          <w:b/>
          <w:noProof/>
        </w:rPr>
        <w:t>fonctionnaires et autres agents de l’Union européenne</w:t>
      </w:r>
      <w:r>
        <w:rPr>
          <w:rFonts w:cstheme="minorBidi"/>
          <w:b/>
          <w:noProof/>
          <w:vertAlign w:val="superscript"/>
        </w:rPr>
        <w:footnoteReference w:id="5"/>
      </w:r>
    </w:p>
    <w:p>
      <w:pPr>
        <w:widowControl/>
        <w:spacing w:before="120" w:line="240" w:lineRule="auto"/>
        <w:jc w:val="center"/>
        <w:rPr>
          <w:rFonts w:cstheme="minorBidi"/>
          <w:iCs/>
          <w:noProof/>
          <w:sz w:val="32"/>
          <w:szCs w:val="32"/>
        </w:rPr>
      </w:pPr>
      <w:r>
        <w:rPr>
          <w:rFonts w:cstheme="minorBidi"/>
          <w:i/>
          <w:iCs/>
          <w:noProof/>
          <w:sz w:val="32"/>
          <w:szCs w:val="32"/>
        </w:rPr>
        <w:br/>
      </w:r>
    </w:p>
    <w:tbl>
      <w:tblPr>
        <w:tblW w:w="0" w:type="auto"/>
        <w:jc w:val="center"/>
        <w:tblInd w:w="1008" w:type="dxa"/>
        <w:tblCellMar>
          <w:left w:w="0" w:type="dxa"/>
          <w:right w:w="0" w:type="dxa"/>
        </w:tblCellMar>
        <w:tblLook w:val="04A0" w:firstRow="1" w:lastRow="0" w:firstColumn="1" w:lastColumn="0" w:noHBand="0" w:noVBand="1"/>
      </w:tblPr>
      <w:tblGrid>
        <w:gridCol w:w="557"/>
        <w:gridCol w:w="1854"/>
        <w:gridCol w:w="2561"/>
      </w:tblGrid>
      <w:tr>
        <w:trPr>
          <w:jc w:val="center"/>
        </w:trPr>
        <w:tc>
          <w:tcPr>
            <w:tcW w:w="24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widowControl/>
              <w:spacing w:before="40" w:after="40" w:line="240" w:lineRule="auto"/>
              <w:jc w:val="center"/>
              <w:rPr>
                <w:rFonts w:eastAsiaTheme="minorHAnsi" w:cstheme="minorBidi"/>
                <w:b/>
                <w:bCs/>
                <w:noProof/>
                <w:sz w:val="22"/>
                <w:szCs w:val="22"/>
              </w:rPr>
            </w:pPr>
            <w:r>
              <w:rPr>
                <w:rFonts w:eastAsiaTheme="minorHAnsi" w:cstheme="minorBidi"/>
                <w:b/>
                <w:noProof/>
                <w:sz w:val="22"/>
              </w:rPr>
              <w:t>Lieu d'affectation</w:t>
            </w:r>
          </w:p>
        </w:tc>
        <w:tc>
          <w:tcPr>
            <w:tcW w:w="2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jc w:val="center"/>
              <w:rPr>
                <w:rFonts w:eastAsiaTheme="minorHAnsi" w:cstheme="minorBidi"/>
                <w:b/>
                <w:bCs/>
                <w:noProof/>
                <w:sz w:val="22"/>
                <w:szCs w:val="22"/>
              </w:rPr>
            </w:pPr>
            <w:r>
              <w:rPr>
                <w:rFonts w:eastAsiaTheme="minorHAnsi" w:cstheme="minorBidi"/>
                <w:b/>
                <w:noProof/>
                <w:sz w:val="22"/>
              </w:rPr>
              <w:t>Coefficients correcteurs pour les rémunérations</w:t>
            </w:r>
          </w:p>
        </w:tc>
      </w:tr>
      <w:tr>
        <w:trPr>
          <w:jc w:val="center"/>
        </w:trPr>
        <w:tc>
          <w:tcPr>
            <w:tcW w:w="557"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pPr>
              <w:widowControl/>
              <w:spacing w:before="40" w:after="40" w:line="240" w:lineRule="auto"/>
              <w:rPr>
                <w:rFonts w:eastAsiaTheme="minorHAnsi" w:cstheme="minorBidi"/>
                <w:noProof/>
                <w:sz w:val="22"/>
                <w:szCs w:val="22"/>
              </w:rPr>
            </w:pPr>
            <w:r>
              <w:rPr>
                <w:rFonts w:eastAsiaTheme="minorHAnsi" w:cstheme="minorBidi"/>
                <w:noProof/>
                <w:sz w:val="22"/>
              </w:rPr>
              <w:t>EL</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rPr>
                <w:rFonts w:eastAsiaTheme="minorHAnsi" w:cstheme="minorBidi"/>
                <w:noProof/>
                <w:sz w:val="22"/>
                <w:szCs w:val="22"/>
              </w:rPr>
            </w:pPr>
            <w:r>
              <w:rPr>
                <w:rFonts w:eastAsiaTheme="minorHAnsi" w:cstheme="minorBidi"/>
                <w:noProof/>
                <w:sz w:val="22"/>
              </w:rPr>
              <w:t xml:space="preserve">Athènes </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pPr>
              <w:widowControl/>
              <w:spacing w:before="40" w:after="40" w:line="240" w:lineRule="auto"/>
              <w:jc w:val="center"/>
              <w:rPr>
                <w:rFonts w:eastAsiaTheme="minorHAnsi" w:cstheme="minorBidi"/>
                <w:noProof/>
                <w:sz w:val="22"/>
                <w:szCs w:val="22"/>
              </w:rPr>
            </w:pPr>
            <w:r>
              <w:rPr>
                <w:rFonts w:eastAsiaTheme="minorHAnsi" w:cstheme="minorBidi"/>
                <w:noProof/>
                <w:sz w:val="22"/>
              </w:rPr>
              <w:t>83.8</w:t>
            </w:r>
          </w:p>
        </w:tc>
      </w:tr>
      <w:tr>
        <w:trPr>
          <w:jc w:val="center"/>
        </w:trPr>
        <w:tc>
          <w:tcPr>
            <w:tcW w:w="557" w:type="dxa"/>
            <w:tcBorders>
              <w:top w:val="nil"/>
              <w:left w:val="single" w:sz="8" w:space="0" w:color="auto"/>
              <w:bottom w:val="single" w:sz="8" w:space="0" w:color="auto"/>
              <w:right w:val="dotted" w:sz="8" w:space="0" w:color="auto"/>
            </w:tcBorders>
            <w:tcMar>
              <w:top w:w="0" w:type="dxa"/>
              <w:left w:w="108" w:type="dxa"/>
              <w:bottom w:w="0" w:type="dxa"/>
              <w:right w:w="108" w:type="dxa"/>
            </w:tcMar>
          </w:tcPr>
          <w:p>
            <w:pPr>
              <w:widowControl/>
              <w:spacing w:before="40" w:after="40" w:line="240" w:lineRule="auto"/>
              <w:rPr>
                <w:rFonts w:eastAsiaTheme="minorHAnsi" w:cstheme="minorBidi"/>
                <w:noProof/>
                <w:sz w:val="22"/>
                <w:szCs w:val="22"/>
              </w:rPr>
            </w:pPr>
            <w:r>
              <w:rPr>
                <w:rFonts w:eastAsiaTheme="minorHAnsi" w:cstheme="minorBidi"/>
                <w:noProof/>
                <w:sz w:val="22"/>
              </w:rPr>
              <w:t>CY</w:t>
            </w:r>
          </w:p>
        </w:tc>
        <w:tc>
          <w:tcPr>
            <w:tcW w:w="1854" w:type="dxa"/>
            <w:tcBorders>
              <w:top w:val="nil"/>
              <w:left w:val="nil"/>
              <w:bottom w:val="single" w:sz="8" w:space="0" w:color="auto"/>
              <w:right w:val="single" w:sz="8" w:space="0" w:color="auto"/>
            </w:tcBorders>
            <w:tcMar>
              <w:top w:w="0" w:type="dxa"/>
              <w:left w:w="108" w:type="dxa"/>
              <w:bottom w:w="0" w:type="dxa"/>
              <w:right w:w="108" w:type="dxa"/>
            </w:tcMar>
          </w:tcPr>
          <w:p>
            <w:pPr>
              <w:widowControl/>
              <w:spacing w:before="40" w:after="40" w:line="240" w:lineRule="auto"/>
              <w:rPr>
                <w:rFonts w:eastAsiaTheme="minorHAnsi" w:cstheme="minorBidi"/>
                <w:noProof/>
                <w:sz w:val="22"/>
                <w:szCs w:val="22"/>
              </w:rPr>
            </w:pPr>
            <w:r>
              <w:rPr>
                <w:rFonts w:eastAsiaTheme="minorHAnsi" w:cstheme="minorBidi"/>
                <w:noProof/>
                <w:sz w:val="22"/>
              </w:rPr>
              <w:t>Nicosie</w:t>
            </w:r>
          </w:p>
        </w:tc>
        <w:tc>
          <w:tcPr>
            <w:tcW w:w="2561" w:type="dxa"/>
            <w:tcBorders>
              <w:top w:val="nil"/>
              <w:left w:val="nil"/>
              <w:bottom w:val="single" w:sz="8" w:space="0" w:color="auto"/>
              <w:right w:val="single" w:sz="8" w:space="0" w:color="auto"/>
            </w:tcBorders>
            <w:tcMar>
              <w:top w:w="0" w:type="dxa"/>
              <w:left w:w="108" w:type="dxa"/>
              <w:bottom w:w="0" w:type="dxa"/>
              <w:right w:w="108" w:type="dxa"/>
            </w:tcMar>
          </w:tcPr>
          <w:p>
            <w:pPr>
              <w:widowControl/>
              <w:spacing w:before="40" w:after="40" w:line="240" w:lineRule="auto"/>
              <w:jc w:val="center"/>
              <w:rPr>
                <w:rFonts w:eastAsiaTheme="minorHAnsi" w:cstheme="minorBidi"/>
                <w:noProof/>
                <w:sz w:val="22"/>
                <w:szCs w:val="22"/>
              </w:rPr>
            </w:pPr>
            <w:r>
              <w:rPr>
                <w:rFonts w:eastAsiaTheme="minorHAnsi" w:cstheme="minorBidi"/>
                <w:noProof/>
                <w:sz w:val="22"/>
              </w:rPr>
              <w:t>78.4</w:t>
            </w:r>
          </w:p>
        </w:tc>
      </w:tr>
      <w:tr>
        <w:trPr>
          <w:jc w:val="center"/>
        </w:trPr>
        <w:tc>
          <w:tcPr>
            <w:tcW w:w="444" w:type="dxa"/>
            <w:vAlign w:val="center"/>
            <w:hideMark/>
          </w:tcPr>
          <w:p>
            <w:pPr>
              <w:widowControl/>
              <w:spacing w:after="200" w:line="240" w:lineRule="auto"/>
              <w:rPr>
                <w:rFonts w:cstheme="minorBidi"/>
                <w:noProof/>
                <w:sz w:val="20"/>
              </w:rPr>
            </w:pPr>
          </w:p>
        </w:tc>
        <w:tc>
          <w:tcPr>
            <w:tcW w:w="1488" w:type="dxa"/>
            <w:vAlign w:val="center"/>
            <w:hideMark/>
          </w:tcPr>
          <w:p>
            <w:pPr>
              <w:widowControl/>
              <w:spacing w:after="200" w:line="240" w:lineRule="auto"/>
              <w:rPr>
                <w:rFonts w:cstheme="minorBidi"/>
                <w:noProof/>
                <w:sz w:val="20"/>
              </w:rPr>
            </w:pPr>
          </w:p>
        </w:tc>
        <w:tc>
          <w:tcPr>
            <w:tcW w:w="2052" w:type="dxa"/>
            <w:vAlign w:val="center"/>
            <w:hideMark/>
          </w:tcPr>
          <w:p>
            <w:pPr>
              <w:widowControl/>
              <w:spacing w:after="200" w:line="240" w:lineRule="auto"/>
              <w:rPr>
                <w:rFonts w:cstheme="minorBidi"/>
                <w:noProof/>
                <w:sz w:val="20"/>
              </w:rPr>
            </w:pPr>
          </w:p>
        </w:tc>
      </w:tr>
    </w:tbl>
    <w:p>
      <w:pPr>
        <w:widowControl/>
        <w:spacing w:before="120" w:line="240" w:lineRule="auto"/>
        <w:jc w:val="center"/>
        <w:rPr>
          <w:rFonts w:cstheme="minorBidi"/>
          <w:iCs/>
          <w:noProof/>
          <w:sz w:val="32"/>
          <w:szCs w:val="32"/>
        </w:rPr>
      </w:pPr>
    </w:p>
    <w:p>
      <w:pPr>
        <w:widowControl/>
        <w:spacing w:after="200" w:line="276" w:lineRule="auto"/>
        <w:rPr>
          <w:noProof/>
        </w:rPr>
      </w:pPr>
      <w:r>
        <w:rPr>
          <w:noProof/>
        </w:rPr>
        <w:br w:type="page"/>
      </w:r>
    </w:p>
    <w:tbl>
      <w:tblPr>
        <w:tblpPr w:leftFromText="180" w:rightFromText="180" w:vertAnchor="page" w:horzAnchor="margin" w:tblpY="965"/>
        <w:tblW w:w="9727" w:type="dxa"/>
        <w:tblLayout w:type="fixed"/>
        <w:tblLook w:val="04A0" w:firstRow="1" w:lastRow="0" w:firstColumn="1" w:lastColumn="0" w:noHBand="0" w:noVBand="1"/>
      </w:tblPr>
      <w:tblGrid>
        <w:gridCol w:w="1668"/>
        <w:gridCol w:w="240"/>
        <w:gridCol w:w="1461"/>
        <w:gridCol w:w="1179"/>
        <w:gridCol w:w="663"/>
        <w:gridCol w:w="1737"/>
        <w:gridCol w:w="1665"/>
        <w:gridCol w:w="993"/>
        <w:gridCol w:w="121"/>
      </w:tblGrid>
      <w:tr>
        <w:trPr>
          <w:gridAfter w:val="1"/>
          <w:wAfter w:w="121" w:type="dxa"/>
          <w:trHeight w:val="405"/>
        </w:trPr>
        <w:tc>
          <w:tcPr>
            <w:tcW w:w="9606" w:type="dxa"/>
            <w:gridSpan w:val="8"/>
            <w:tcBorders>
              <w:top w:val="nil"/>
              <w:left w:val="nil"/>
              <w:bottom w:val="nil"/>
              <w:right w:val="nil"/>
            </w:tcBorders>
            <w:shd w:val="clear" w:color="auto" w:fill="auto"/>
            <w:noWrap/>
            <w:vAlign w:val="bottom"/>
            <w:hideMark/>
          </w:tcPr>
          <w:p>
            <w:pPr>
              <w:widowControl/>
              <w:spacing w:before="120" w:line="240" w:lineRule="auto"/>
              <w:jc w:val="center"/>
              <w:rPr>
                <w:b/>
                <w:i/>
                <w:noProof/>
                <w:szCs w:val="24"/>
              </w:rPr>
            </w:pPr>
            <w:r>
              <w:rPr>
                <w:b/>
                <w:i/>
                <w:noProof/>
              </w:rPr>
              <w:lastRenderedPageBreak/>
              <w:t>ANNEXE V</w:t>
            </w:r>
          </w:p>
          <w:p>
            <w:pPr>
              <w:widowControl/>
              <w:spacing w:before="120" w:line="240" w:lineRule="auto"/>
              <w:jc w:val="center"/>
              <w:rPr>
                <w:b/>
                <w:i/>
                <w:noProof/>
                <w:szCs w:val="24"/>
                <w:u w:val="single"/>
              </w:rPr>
            </w:pPr>
            <w:r>
              <w:rPr>
                <w:b/>
                <w:i/>
                <w:noProof/>
                <w:u w:val="single"/>
              </w:rPr>
              <w:t>Puliée au JO C/193 du 11 juin 2015</w:t>
            </w:r>
            <w:r>
              <w:rPr>
                <w:b/>
                <w:i/>
                <w:noProof/>
                <w:szCs w:val="24"/>
                <w:u w:val="single"/>
              </w:rPr>
              <w:br/>
            </w:r>
          </w:p>
          <w:p>
            <w:pPr>
              <w:widowControl/>
              <w:spacing w:before="120" w:line="240" w:lineRule="auto"/>
              <w:jc w:val="center"/>
              <w:rPr>
                <w:b/>
                <w:noProof/>
                <w:szCs w:val="24"/>
              </w:rPr>
            </w:pPr>
          </w:p>
          <w:p>
            <w:pPr>
              <w:widowControl/>
              <w:spacing w:before="120" w:line="240" w:lineRule="auto"/>
              <w:jc w:val="center"/>
              <w:rPr>
                <w:b/>
                <w:noProof/>
                <w:szCs w:val="24"/>
              </w:rPr>
            </w:pPr>
            <w:r>
              <w:rPr>
                <w:b/>
                <w:noProof/>
              </w:rPr>
              <w:t xml:space="preserve">ACTUALISATION INTERMÉDIAIRE </w:t>
            </w:r>
          </w:p>
          <w:p>
            <w:pPr>
              <w:widowControl/>
              <w:spacing w:before="120" w:line="240" w:lineRule="auto"/>
              <w:jc w:val="center"/>
              <w:rPr>
                <w:i/>
                <w:iCs/>
                <w:noProof/>
                <w:sz w:val="32"/>
                <w:szCs w:val="32"/>
              </w:rPr>
            </w:pPr>
            <w:r>
              <w:rPr>
                <w:b/>
                <w:noProof/>
              </w:rPr>
              <w:t>DES COEFFICIENTS CORRECTEURS APPLICABLES AUX</w:t>
            </w:r>
            <w:r>
              <w:rPr>
                <w:noProof/>
              </w:rPr>
              <w:br/>
            </w:r>
            <w:r>
              <w:rPr>
                <w:b/>
                <w:noProof/>
              </w:rPr>
              <w:t xml:space="preserve"> RÉMUNÉRATIONS DES FONCTIONNAIRES, AGENTS TEMPORAIRES ET AGENTS CONTRACTUELS</w:t>
            </w:r>
            <w:r>
              <w:rPr>
                <w:noProof/>
              </w:rPr>
              <w:br/>
            </w:r>
            <w:r>
              <w:rPr>
                <w:b/>
                <w:noProof/>
              </w:rPr>
              <w:t xml:space="preserve"> DE L'UNION EUROPÉENNE AFFECTÉS DANS LES PAYS TIERS</w:t>
            </w:r>
            <w:r>
              <w:rPr>
                <w:b/>
                <w:noProof/>
                <w:vertAlign w:val="superscript"/>
              </w:rPr>
              <w:footnoteReference w:id="6"/>
            </w:r>
          </w:p>
          <w:p>
            <w:pPr>
              <w:widowControl/>
              <w:spacing w:before="120" w:line="240" w:lineRule="auto"/>
              <w:jc w:val="center"/>
              <w:rPr>
                <w:i/>
                <w:iCs/>
                <w:noProof/>
                <w:sz w:val="32"/>
                <w:szCs w:val="32"/>
              </w:rPr>
            </w:pPr>
            <w:r>
              <w:rPr>
                <w:noProof/>
              </w:rPr>
              <w:br/>
            </w:r>
            <w:r>
              <w:rPr>
                <w:i/>
                <w:noProof/>
                <w:sz w:val="32"/>
              </w:rPr>
              <w:t>AOÛT 2014</w:t>
            </w:r>
          </w:p>
        </w:tc>
      </w:tr>
      <w:tr>
        <w:trPr>
          <w:gridAfter w:val="1"/>
          <w:wAfter w:w="121" w:type="dxa"/>
          <w:trHeight w:val="63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Août 2014</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Août 2014 (*)</w:t>
            </w:r>
          </w:p>
        </w:tc>
        <w:tc>
          <w:tcPr>
            <w:tcW w:w="2658"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Août 2014 (**)</w:t>
            </w:r>
          </w:p>
        </w:tc>
      </w:tr>
      <w:tr>
        <w:trPr>
          <w:gridAfter w:val="1"/>
          <w:wAfter w:w="121" w:type="dxa"/>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Chili</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382,1</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755,120</w:t>
            </w:r>
          </w:p>
        </w:tc>
        <w:tc>
          <w:tcPr>
            <w:tcW w:w="2658"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50,6</w:t>
            </w:r>
          </w:p>
        </w:tc>
      </w:tr>
      <w:tr>
        <w:trPr>
          <w:gridAfter w:val="1"/>
          <w:wAfter w:w="121" w:type="dxa"/>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Japon</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131,9</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137,050</w:t>
            </w:r>
          </w:p>
        </w:tc>
        <w:tc>
          <w:tcPr>
            <w:tcW w:w="2658"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96,2</w:t>
            </w:r>
          </w:p>
        </w:tc>
      </w:tr>
      <w:tr>
        <w:trPr>
          <w:gridAfter w:val="1"/>
          <w:wAfter w:w="121" w:type="dxa"/>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Liberia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1,286</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1,34010</w:t>
            </w:r>
          </w:p>
        </w:tc>
        <w:tc>
          <w:tcPr>
            <w:tcW w:w="2658"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96,0</w:t>
            </w:r>
          </w:p>
        </w:tc>
      </w:tr>
      <w:tr>
        <w:trPr>
          <w:gridAfter w:val="1"/>
          <w:wAfter w:w="121" w:type="dxa"/>
          <w:trHeight w:val="285"/>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658"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1"/>
          <w:wAfter w:w="121" w:type="dxa"/>
          <w:trHeight w:val="300"/>
        </w:trPr>
        <w:tc>
          <w:tcPr>
            <w:tcW w:w="9606" w:type="dxa"/>
            <w:gridSpan w:val="8"/>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427"/>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2"/>
          <w:wAfter w:w="1114" w:type="dxa"/>
          <w:trHeight w:val="285"/>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SEPTEMBRE 2014</w:t>
            </w:r>
          </w:p>
        </w:tc>
      </w:tr>
      <w:tr>
        <w:trPr>
          <w:trHeight w:val="60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Septembre 2014</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Septembre 2014 (*)</w:t>
            </w:r>
          </w:p>
        </w:tc>
        <w:tc>
          <w:tcPr>
            <w:tcW w:w="2779"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sz w:val="16"/>
              </w:rPr>
              <w:t>Septembre 2014 (**)</w:t>
            </w:r>
          </w:p>
        </w:tc>
      </w:tr>
      <w:tr>
        <w:trPr>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Égypte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6,398</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9,45165</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67,7</w:t>
            </w:r>
          </w:p>
        </w:tc>
      </w:tr>
      <w:tr>
        <w:trPr>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Mozambique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31,06</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39,7600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78,1</w:t>
            </w:r>
          </w:p>
        </w:tc>
      </w:tr>
      <w:tr>
        <w:trPr>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Timor-Oriental</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1,320</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1,31780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100,2</w:t>
            </w:r>
          </w:p>
        </w:tc>
      </w:tr>
      <w:tr>
        <w:trPr>
          <w:trHeight w:val="285"/>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Venezuela</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13,05</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8,29173</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157,4</w:t>
            </w:r>
          </w:p>
        </w:tc>
      </w:tr>
      <w:tr>
        <w:trPr>
          <w:trHeight w:val="285"/>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779"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2"/>
          <w:wAfter w:w="1114" w:type="dxa"/>
          <w:trHeight w:val="300"/>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2"/>
          <w:wAfter w:w="1114" w:type="dxa"/>
          <w:trHeight w:val="405"/>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lastRenderedPageBreak/>
              <w:t>OCTOBRE 2014</w:t>
            </w:r>
          </w:p>
        </w:tc>
      </w:tr>
      <w:tr>
        <w:trPr>
          <w:trHeight w:val="63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Octobre 2014</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Octobre 2014 (*)</w:t>
            </w:r>
          </w:p>
        </w:tc>
        <w:tc>
          <w:tcPr>
            <w:tcW w:w="2779"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 xml:space="preserve">Coefficients correcteurs </w:t>
            </w:r>
            <w:r>
              <w:rPr>
                <w:noProof/>
              </w:rPr>
              <w:br/>
            </w:r>
            <w:r>
              <w:rPr>
                <w:b/>
                <w:noProof/>
                <w:sz w:val="16"/>
              </w:rPr>
              <w:t>Octobre 2014 (**)</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Brésil</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3,270</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3,14310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104,0</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Chili</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405,9</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760,625</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53,4</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Liberia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1,351</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1,27010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106,4</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Madagascar</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2891</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3182,21</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90,8</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Norvège</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11,50</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8,19600</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140,3</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Ouzbékistan</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2525</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3001,84</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84,1</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Venezuela</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13,99</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7,99160</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175,1</w:t>
            </w:r>
          </w:p>
        </w:tc>
      </w:tr>
      <w:tr>
        <w:trPr>
          <w:trHeight w:val="300"/>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779"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2"/>
          <w:wAfter w:w="1114" w:type="dxa"/>
          <w:trHeight w:val="300"/>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2"/>
          <w:wAfter w:w="1114" w:type="dxa"/>
          <w:trHeight w:val="405"/>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NOVEMBRE 2014</w:t>
            </w:r>
          </w:p>
        </w:tc>
      </w:tr>
      <w:tr>
        <w:trPr>
          <w:trHeight w:val="84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Novembre 2014</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Novembre 2014 (*)</w:t>
            </w:r>
          </w:p>
        </w:tc>
        <w:tc>
          <w:tcPr>
            <w:tcW w:w="2779"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 xml:space="preserve">Coefficients correcteurs </w:t>
            </w:r>
            <w:r>
              <w:rPr>
                <w:noProof/>
              </w:rPr>
              <w:br/>
            </w:r>
            <w:r>
              <w:rPr>
                <w:b/>
                <w:noProof/>
              </w:rPr>
              <w:t>Novembre</w:t>
            </w:r>
            <w:r>
              <w:rPr>
                <w:noProof/>
              </w:rPr>
              <w:t xml:space="preserve"> </w:t>
            </w:r>
            <w:r>
              <w:rPr>
                <w:b/>
                <w:noProof/>
                <w:sz w:val="16"/>
              </w:rPr>
              <w:t>2014 (**)</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Canada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1,368</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1,40740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97,2</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Costa Rica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541,3</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678,913</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79,7</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Ghana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2,515</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4,06355</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61,9</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Ukraine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9,245</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16,3156</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56,7</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Venezuela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14,96</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7,92679</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188,7</w:t>
            </w:r>
          </w:p>
        </w:tc>
      </w:tr>
      <w:tr>
        <w:trPr>
          <w:trHeight w:val="300"/>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779"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2"/>
          <w:wAfter w:w="1114" w:type="dxa"/>
          <w:trHeight w:val="300"/>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2"/>
          <w:wAfter w:w="1114" w:type="dxa"/>
          <w:trHeight w:val="405"/>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DÉCEMBRE 2014</w:t>
            </w:r>
          </w:p>
        </w:tc>
      </w:tr>
      <w:tr>
        <w:trPr>
          <w:trHeight w:val="84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Décembre 2014</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 xml:space="preserve"> Décembre 2014 (*)</w:t>
            </w:r>
          </w:p>
        </w:tc>
        <w:tc>
          <w:tcPr>
            <w:tcW w:w="2779"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 xml:space="preserve">Coefficients correcteurs </w:t>
            </w:r>
            <w:r>
              <w:rPr>
                <w:noProof/>
              </w:rPr>
              <w:br/>
            </w:r>
            <w:r>
              <w:rPr>
                <w:b/>
                <w:noProof/>
                <w:sz w:val="16"/>
              </w:rPr>
              <w:t>Décembre 2014 (**)</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République centrafricaine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732,1</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655,957</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111,6</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Cuba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1,043</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1,24800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83,6</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Islande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182,9</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154,070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118,7</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Kirghizstan</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53,44</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71,8550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74,4</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lastRenderedPageBreak/>
              <w:t>Malawi</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349,2</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619,615</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56,4</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Ouzbékistan</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2666</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2996,56</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89,0</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Soudan</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9,182</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7,76543</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118,2</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Soudan du Sud</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4,055</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3,68160</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110,1</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Venezuela</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16,00</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7,85254</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203,8</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Yémen</w:t>
            </w:r>
          </w:p>
        </w:tc>
        <w:tc>
          <w:tcPr>
            <w:tcW w:w="264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278,8</w:t>
            </w:r>
          </w:p>
        </w:tc>
        <w:tc>
          <w:tcPr>
            <w:tcW w:w="2400" w:type="dxa"/>
            <w:gridSpan w:val="2"/>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268,183</w:t>
            </w:r>
          </w:p>
        </w:tc>
        <w:tc>
          <w:tcPr>
            <w:tcW w:w="2779" w:type="dxa"/>
            <w:gridSpan w:val="3"/>
            <w:tcBorders>
              <w:top w:val="nil"/>
              <w:left w:val="nil"/>
              <w:bottom w:val="single" w:sz="4" w:space="0" w:color="000000"/>
              <w:right w:val="single" w:sz="4" w:space="0" w:color="000000"/>
            </w:tcBorders>
            <w:shd w:val="clear" w:color="000000" w:fill="FFFFFF"/>
            <w:noWrap/>
            <w:vAlign w:val="center"/>
          </w:tcPr>
          <w:p>
            <w:pPr>
              <w:widowControl/>
              <w:spacing w:after="200" w:line="276" w:lineRule="auto"/>
              <w:jc w:val="center"/>
              <w:rPr>
                <w:rFonts w:eastAsia="Calibri"/>
                <w:noProof/>
                <w:sz w:val="16"/>
                <w:szCs w:val="16"/>
              </w:rPr>
            </w:pPr>
            <w:r>
              <w:rPr>
                <w:noProof/>
                <w:sz w:val="16"/>
              </w:rPr>
              <w:t>104,0</w:t>
            </w:r>
          </w:p>
        </w:tc>
      </w:tr>
      <w:tr>
        <w:trPr>
          <w:trHeight w:val="300"/>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779"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2"/>
          <w:wAfter w:w="1114" w:type="dxa"/>
          <w:trHeight w:val="300"/>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r>
        <w:trPr>
          <w:gridAfter w:val="2"/>
          <w:wAfter w:w="1114" w:type="dxa"/>
          <w:trHeight w:val="405"/>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center"/>
              <w:rPr>
                <w:i/>
                <w:iCs/>
                <w:noProof/>
                <w:sz w:val="32"/>
                <w:szCs w:val="32"/>
              </w:rPr>
            </w:pPr>
            <w:r>
              <w:rPr>
                <w:i/>
                <w:noProof/>
                <w:sz w:val="32"/>
              </w:rPr>
              <w:t>JANVIER 2015</w:t>
            </w:r>
          </w:p>
        </w:tc>
      </w:tr>
      <w:tr>
        <w:trPr>
          <w:trHeight w:val="840"/>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sz w:val="16"/>
              </w:rPr>
              <w:t>LIEU D'AFFECTATION</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Parités économiques</w:t>
            </w:r>
            <w:r>
              <w:rPr>
                <w:noProof/>
              </w:rPr>
              <w:br/>
            </w:r>
            <w:r>
              <w:rPr>
                <w:b/>
                <w:noProof/>
                <w:sz w:val="16"/>
              </w:rPr>
              <w:t>Janvier 2015</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Taux de change</w:t>
            </w:r>
            <w:r>
              <w:rPr>
                <w:noProof/>
              </w:rPr>
              <w:br/>
            </w:r>
            <w:r>
              <w:rPr>
                <w:b/>
                <w:noProof/>
                <w:sz w:val="16"/>
              </w:rPr>
              <w:t xml:space="preserve"> Janvier 2015 (*)</w:t>
            </w:r>
          </w:p>
        </w:tc>
        <w:tc>
          <w:tcPr>
            <w:tcW w:w="2779" w:type="dxa"/>
            <w:gridSpan w:val="3"/>
            <w:tcBorders>
              <w:top w:val="single" w:sz="4" w:space="0" w:color="000000"/>
              <w:left w:val="nil"/>
              <w:bottom w:val="single" w:sz="4" w:space="0" w:color="000000"/>
              <w:right w:val="single" w:sz="4" w:space="0" w:color="000000"/>
            </w:tcBorders>
            <w:shd w:val="clear" w:color="auto" w:fill="auto"/>
            <w:vAlign w:val="center"/>
            <w:hideMark/>
          </w:tcPr>
          <w:p>
            <w:pPr>
              <w:widowControl/>
              <w:spacing w:before="120" w:line="240" w:lineRule="auto"/>
              <w:jc w:val="center"/>
              <w:rPr>
                <w:b/>
                <w:bCs/>
                <w:noProof/>
                <w:sz w:val="16"/>
                <w:szCs w:val="16"/>
              </w:rPr>
            </w:pPr>
            <w:r>
              <w:rPr>
                <w:b/>
                <w:noProof/>
              </w:rPr>
              <w:t xml:space="preserve">Coefficients correcteurs </w:t>
            </w:r>
            <w:r>
              <w:rPr>
                <w:noProof/>
              </w:rPr>
              <w:br/>
            </w:r>
            <w:r>
              <w:rPr>
                <w:b/>
                <w:noProof/>
                <w:sz w:val="16"/>
              </w:rPr>
              <w:t>Janvier 2015 (**)</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Biélorussie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8640</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13440,0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64,3</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Brésil</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3,492</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3,23940</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107,8</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Corée du Sud</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1298</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1334,19</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97,3</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Costa Rica</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509,4</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655,467</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77,7</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hideMark/>
          </w:tcPr>
          <w:p>
            <w:pPr>
              <w:widowControl/>
              <w:spacing w:after="200" w:line="276" w:lineRule="auto"/>
              <w:jc w:val="center"/>
              <w:rPr>
                <w:rFonts w:eastAsia="Calibri"/>
                <w:noProof/>
                <w:sz w:val="16"/>
                <w:szCs w:val="16"/>
              </w:rPr>
            </w:pPr>
            <w:r>
              <w:rPr>
                <w:noProof/>
                <w:sz w:val="16"/>
              </w:rPr>
              <w:t>Érythrée</w:t>
            </w:r>
          </w:p>
        </w:tc>
        <w:tc>
          <w:tcPr>
            <w:tcW w:w="264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24,99</w:t>
            </w:r>
          </w:p>
        </w:tc>
        <w:tc>
          <w:tcPr>
            <w:tcW w:w="2400" w:type="dxa"/>
            <w:gridSpan w:val="2"/>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19,0638</w:t>
            </w:r>
          </w:p>
        </w:tc>
        <w:tc>
          <w:tcPr>
            <w:tcW w:w="2779" w:type="dxa"/>
            <w:gridSpan w:val="3"/>
            <w:tcBorders>
              <w:top w:val="nil"/>
              <w:left w:val="nil"/>
              <w:bottom w:val="single" w:sz="4" w:space="0" w:color="000000"/>
              <w:right w:val="single" w:sz="4" w:space="0" w:color="000000"/>
            </w:tcBorders>
            <w:shd w:val="clear" w:color="000000" w:fill="FFFFFF"/>
            <w:noWrap/>
            <w:vAlign w:val="bottom"/>
            <w:hideMark/>
          </w:tcPr>
          <w:p>
            <w:pPr>
              <w:widowControl/>
              <w:spacing w:after="200" w:line="276" w:lineRule="auto"/>
              <w:jc w:val="center"/>
              <w:rPr>
                <w:rFonts w:eastAsia="Calibri"/>
                <w:noProof/>
                <w:sz w:val="16"/>
                <w:szCs w:val="16"/>
              </w:rPr>
            </w:pPr>
            <w:r>
              <w:rPr>
                <w:noProof/>
                <w:sz w:val="16"/>
              </w:rPr>
              <w:t>131,1</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Indonésie (Banda Aceh)</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10384</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15099,7</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68,8</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Indonésie (Jakarta)</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11307</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15099,7</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74,9</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Madagascar</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3041</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3166,69</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96,0</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Népal</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98,03</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124,455</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78,8</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Soudan du Sud</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3,820</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3,58720</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106,5</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Swaziland</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7,829</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14,1487</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55,3</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Timor-Oriental</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1,240</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1,21600</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102,0</w:t>
            </w:r>
          </w:p>
        </w:tc>
      </w:tr>
      <w:tr>
        <w:trPr>
          <w:trHeight w:val="300"/>
        </w:trPr>
        <w:tc>
          <w:tcPr>
            <w:tcW w:w="1908" w:type="dxa"/>
            <w:gridSpan w:val="2"/>
            <w:tcBorders>
              <w:top w:val="nil"/>
              <w:left w:val="single" w:sz="4" w:space="0" w:color="000000"/>
              <w:bottom w:val="single" w:sz="4" w:space="0" w:color="000000"/>
              <w:right w:val="single" w:sz="4" w:space="0" w:color="000000"/>
            </w:tcBorders>
            <w:shd w:val="clear" w:color="auto" w:fill="auto"/>
            <w:vAlign w:val="center"/>
          </w:tcPr>
          <w:p>
            <w:pPr>
              <w:widowControl/>
              <w:spacing w:after="200" w:line="276" w:lineRule="auto"/>
              <w:jc w:val="center"/>
              <w:rPr>
                <w:rFonts w:eastAsia="Calibri"/>
                <w:noProof/>
                <w:sz w:val="16"/>
                <w:szCs w:val="16"/>
              </w:rPr>
            </w:pPr>
            <w:r>
              <w:rPr>
                <w:noProof/>
                <w:sz w:val="16"/>
              </w:rPr>
              <w:t>Venezuela</w:t>
            </w:r>
          </w:p>
        </w:tc>
        <w:tc>
          <w:tcPr>
            <w:tcW w:w="264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16,96</w:t>
            </w:r>
          </w:p>
        </w:tc>
        <w:tc>
          <w:tcPr>
            <w:tcW w:w="2400" w:type="dxa"/>
            <w:gridSpan w:val="2"/>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7,65119</w:t>
            </w:r>
          </w:p>
        </w:tc>
        <w:tc>
          <w:tcPr>
            <w:tcW w:w="2779" w:type="dxa"/>
            <w:gridSpan w:val="3"/>
            <w:tcBorders>
              <w:top w:val="nil"/>
              <w:left w:val="nil"/>
              <w:bottom w:val="single" w:sz="4" w:space="0" w:color="000000"/>
              <w:right w:val="single" w:sz="4" w:space="0" w:color="000000"/>
            </w:tcBorders>
            <w:shd w:val="clear" w:color="000000" w:fill="FFFFFF"/>
            <w:noWrap/>
            <w:vAlign w:val="bottom"/>
          </w:tcPr>
          <w:p>
            <w:pPr>
              <w:widowControl/>
              <w:spacing w:after="200" w:line="276" w:lineRule="auto"/>
              <w:jc w:val="center"/>
              <w:rPr>
                <w:rFonts w:eastAsia="Calibri"/>
                <w:noProof/>
                <w:sz w:val="16"/>
                <w:szCs w:val="16"/>
              </w:rPr>
            </w:pPr>
            <w:r>
              <w:rPr>
                <w:noProof/>
                <w:sz w:val="16"/>
              </w:rPr>
              <w:t>221,7</w:t>
            </w:r>
          </w:p>
        </w:tc>
      </w:tr>
      <w:tr>
        <w:trPr>
          <w:trHeight w:val="300"/>
        </w:trPr>
        <w:tc>
          <w:tcPr>
            <w:tcW w:w="1908" w:type="dxa"/>
            <w:gridSpan w:val="2"/>
            <w:tcBorders>
              <w:top w:val="nil"/>
              <w:left w:val="nil"/>
              <w:bottom w:val="nil"/>
              <w:right w:val="nil"/>
            </w:tcBorders>
            <w:shd w:val="clear" w:color="auto" w:fill="auto"/>
            <w:vAlign w:val="center"/>
            <w:hideMark/>
          </w:tcPr>
          <w:p>
            <w:pPr>
              <w:widowControl/>
              <w:spacing w:before="120" w:line="240" w:lineRule="auto"/>
              <w:jc w:val="both"/>
              <w:rPr>
                <w:noProof/>
                <w:sz w:val="16"/>
                <w:szCs w:val="16"/>
              </w:rPr>
            </w:pPr>
          </w:p>
        </w:tc>
        <w:tc>
          <w:tcPr>
            <w:tcW w:w="264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400" w:type="dxa"/>
            <w:gridSpan w:val="2"/>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c>
          <w:tcPr>
            <w:tcW w:w="2779" w:type="dxa"/>
            <w:gridSpan w:val="3"/>
            <w:tcBorders>
              <w:top w:val="nil"/>
              <w:left w:val="nil"/>
              <w:bottom w:val="nil"/>
              <w:right w:val="nil"/>
            </w:tcBorders>
            <w:shd w:val="clear" w:color="auto" w:fill="auto"/>
            <w:vAlign w:val="center"/>
            <w:hideMark/>
          </w:tcPr>
          <w:p>
            <w:pPr>
              <w:widowControl/>
              <w:spacing w:before="120" w:line="240" w:lineRule="auto"/>
              <w:jc w:val="right"/>
              <w:rPr>
                <w:noProof/>
                <w:sz w:val="16"/>
                <w:szCs w:val="16"/>
              </w:rPr>
            </w:pPr>
          </w:p>
        </w:tc>
      </w:tr>
      <w:tr>
        <w:trPr>
          <w:gridAfter w:val="2"/>
          <w:wAfter w:w="1114" w:type="dxa"/>
          <w:trHeight w:val="300"/>
        </w:trPr>
        <w:tc>
          <w:tcPr>
            <w:tcW w:w="8613" w:type="dxa"/>
            <w:gridSpan w:val="7"/>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1 EUR = x unités de la monnaie nationale (sauf USD pour: Cuba, l'El Salvador, l'Équateur, le Liberia, le Panama, la République démocratique du Congo et le Timor-Oriental).</w:t>
            </w:r>
          </w:p>
        </w:tc>
      </w:tr>
      <w:tr>
        <w:trPr>
          <w:trHeight w:val="300"/>
        </w:trPr>
        <w:tc>
          <w:tcPr>
            <w:tcW w:w="1668" w:type="dxa"/>
            <w:tcBorders>
              <w:top w:val="nil"/>
              <w:left w:val="nil"/>
              <w:bottom w:val="nil"/>
              <w:right w:val="nil"/>
            </w:tcBorders>
            <w:shd w:val="clear" w:color="auto" w:fill="auto"/>
            <w:noWrap/>
            <w:vAlign w:val="bottom"/>
            <w:hideMark/>
          </w:tcPr>
          <w:p>
            <w:pPr>
              <w:widowControl/>
              <w:spacing w:before="120" w:line="240" w:lineRule="auto"/>
              <w:jc w:val="both"/>
              <w:rPr>
                <w:rFonts w:ascii="Arial" w:hAnsi="Arial" w:cs="Arial"/>
                <w:noProof/>
                <w:sz w:val="16"/>
                <w:szCs w:val="16"/>
              </w:rPr>
            </w:pPr>
            <w:r>
              <w:rPr>
                <w:rFonts w:ascii="Arial" w:hAnsi="Arial"/>
                <w:noProof/>
                <w:sz w:val="16"/>
              </w:rPr>
              <w:t>(**) Bruxelles et Luxembourg = 100.</w:t>
            </w:r>
          </w:p>
        </w:tc>
        <w:tc>
          <w:tcPr>
            <w:tcW w:w="1701"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1842" w:type="dxa"/>
            <w:gridSpan w:val="2"/>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c>
          <w:tcPr>
            <w:tcW w:w="4516" w:type="dxa"/>
            <w:gridSpan w:val="4"/>
            <w:tcBorders>
              <w:top w:val="nil"/>
              <w:left w:val="nil"/>
              <w:bottom w:val="nil"/>
              <w:right w:val="nil"/>
            </w:tcBorders>
            <w:shd w:val="clear" w:color="auto" w:fill="auto"/>
            <w:noWrap/>
            <w:vAlign w:val="bottom"/>
            <w:hideMark/>
          </w:tcPr>
          <w:p>
            <w:pPr>
              <w:widowControl/>
              <w:spacing w:before="120" w:line="240" w:lineRule="auto"/>
              <w:jc w:val="both"/>
              <w:rPr>
                <w:rFonts w:cs="Calibri"/>
                <w:noProof/>
                <w:color w:val="000000"/>
                <w:szCs w:val="24"/>
              </w:rPr>
            </w:pP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159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Fonts w:eastAsiaTheme="majorEastAsia"/>
        </w:rPr>
        <w:footnoteRef/>
      </w:r>
      <w:r>
        <w:tab/>
        <w:t>Règlement (CECA, CEE, Euratom) n° 300/76 du Conseil du 9 février 1976 déterminant les catégories de bénéficiaires, les conditions d'attribution et les taux des indemnités qui peuvent être accordées aux fonctionnaires appelés à exercer leurs fonctions dans le cadre d'un service continu ou par tours (JO L 38 du 13.2.1976, p. 1).</w:t>
      </w:r>
      <w:r>
        <w:rPr>
          <w:rStyle w:val="FootnoteReference"/>
          <w:rFonts w:eastAsiaTheme="majorEastAsia"/>
        </w:rPr>
        <w:t xml:space="preserve"> </w:t>
      </w:r>
      <w:r>
        <w:t>Règlement complété par le règlement (Euratom, CECA, CEE) n° 1307/87 (JO L 124 du 13.5.1987, p. 6).</w:t>
      </w:r>
    </w:p>
  </w:footnote>
  <w:footnote w:id="2">
    <w:p>
      <w:pPr>
        <w:pStyle w:val="FootnoteText"/>
      </w:pPr>
      <w:r>
        <w:rPr>
          <w:rStyle w:val="FootnoteReference"/>
          <w:rFonts w:eastAsiaTheme="majorEastAsia"/>
        </w:rPr>
        <w:footnoteRef/>
      </w:r>
      <w:r>
        <w:tab/>
        <w:t>Règlement (CEE, Euratom, CECA) nº 260/68 du Conseil du 29 février 1968 portant fixation des conditions et de la procédure d'application de l'impôt établi au profit des Communautés européennes (JO L 56 du 4.3.1968, p. 8).</w:t>
      </w:r>
    </w:p>
  </w:footnote>
  <w:footnote w:id="3">
    <w:p>
      <w:pPr>
        <w:pStyle w:val="FootnoteText"/>
      </w:pPr>
      <w:r>
        <w:rPr>
          <w:rStyle w:val="FootnoteReference"/>
        </w:rPr>
        <w:footnoteRef/>
      </w:r>
      <w:r>
        <w:t xml:space="preserve"> </w:t>
      </w:r>
      <w:r>
        <w:rPr>
          <w:sz w:val="18"/>
        </w:rPr>
        <w:t>Rapport d'Eurostat du 22 octobre 2015 sur l'actualisation annuelle 2015 des rémunérations et des pensions des fonctionnaires de l'UE conformément aux articles 64 et 65 et à l'annexe XI du statut applicable aux fonctionnaires et autres agents de l'Union européenne portant adaptation, avec effet au 1</w:t>
      </w:r>
      <w:r>
        <w:rPr>
          <w:sz w:val="18"/>
          <w:vertAlign w:val="superscript"/>
        </w:rPr>
        <w:t>er</w:t>
      </w:r>
      <w:r>
        <w:rPr>
          <w:sz w:val="18"/>
        </w:rPr>
        <w:t> juillet 2015, des rémunérations du personnel en activité et des pensions du personnel retraité, et portant actualisation, avec effet au 1</w:t>
      </w:r>
      <w:r>
        <w:rPr>
          <w:sz w:val="18"/>
          <w:vertAlign w:val="superscript"/>
        </w:rPr>
        <w:t>er</w:t>
      </w:r>
      <w:r>
        <w:rPr>
          <w:sz w:val="18"/>
        </w:rPr>
        <w:t> juillet 2015, des coefficients correcteurs applicables à la rémunération du personnel en service dans des lieux d'affectation situés à l'intérieur de l'UE et en dehors de l'UE, aux pensions du personnel retraité en fonction de son pays de résidence et aux transferts de pension [Ares(2015)4498187]</w:t>
      </w:r>
      <w:r>
        <w:br/>
        <w:t>De plus amples informations concernant la méthodologie sont disponibles sur le site web d’Eurostat</w:t>
      </w:r>
      <w:r>
        <w:rPr>
          <w:sz w:val="18"/>
        </w:rPr>
        <w:t xml:space="preserve"> (en suivant l’arborescence  «Base de données» &gt; «Économie et finances» &gt; «Prix» &gt; «Coefficients correcteurs»). </w:t>
      </w:r>
    </w:p>
  </w:footnote>
  <w:footnote w:id="4">
    <w:p>
      <w:pPr>
        <w:pStyle w:val="FootnoteText"/>
        <w:rPr>
          <w:sz w:val="18"/>
        </w:rPr>
      </w:pPr>
      <w:r>
        <w:rPr>
          <w:rStyle w:val="FootnoteReference"/>
        </w:rPr>
        <w:footnoteRef/>
      </w:r>
      <w:r>
        <w:rPr>
          <w:sz w:val="18"/>
        </w:rPr>
        <w:t xml:space="preserve"> Rapport d'Eurostat du 15 septembre 2015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[Ares(2015)3805783].</w:t>
      </w:r>
      <w:r>
        <w:rPr>
          <w:sz w:val="18"/>
        </w:rPr>
        <w:br/>
        <w:t xml:space="preserve">De plus amples informations sont disponibles sur le site web d’Eurostat (en suivant l’arborescence  «Base de données» &gt; «Économie et finances» &gt; «Prix» &gt; «Coefficients correcteurs»). </w:t>
      </w:r>
    </w:p>
  </w:footnote>
  <w:footnote w:id="5">
    <w:p>
      <w:pPr>
        <w:pStyle w:val="FootnoteText"/>
        <w:rPr>
          <w:sz w:val="18"/>
        </w:rPr>
      </w:pPr>
      <w:r>
        <w:rPr>
          <w:rStyle w:val="FootnoteReference"/>
        </w:rPr>
        <w:footnoteRef/>
      </w:r>
      <w:r>
        <w:t xml:space="preserve"> </w:t>
      </w:r>
      <w:r>
        <w:rPr>
          <w:sz w:val="18"/>
        </w:rPr>
        <w:t>Selon le rapport d’Eurostat du 20 avril 2015 sur l’actualisation intermédiaire des rémunérations et pensions des fonctionnaires de l’UE conformément aux articles 64 et 65 et à l’annexe XI du statut applicable aux fonctionnaires et autres agents de l’Union européenne [Ares(2015)1660037].</w:t>
      </w:r>
    </w:p>
    <w:p>
      <w:pPr>
        <w:pStyle w:val="FootnoteText"/>
      </w:pPr>
      <w:r>
        <w:t xml:space="preserve">De plus amples informations sont disponibles sur le site web d’Eurostat </w:t>
      </w:r>
      <w:r>
        <w:rPr>
          <w:sz w:val="18"/>
        </w:rPr>
        <w:t>(</w:t>
      </w:r>
      <w:hyperlink r:id="rId1">
        <w:r>
          <w:rPr>
            <w:rStyle w:val="Hyperlink"/>
            <w:sz w:val="18"/>
          </w:rPr>
          <w:t>http://ec.europa.eu/eurostat</w:t>
        </w:r>
      </w:hyperlink>
      <w:r>
        <w:rPr>
          <w:sz w:val="18"/>
        </w:rPr>
        <w:t xml:space="preserve"> &gt; (en suivant l’arborescence «Données» &gt; «Base de données» &gt; «Économie et finances» &gt; «Prix» &gt; «Coefficients correcteurs»).</w:t>
      </w:r>
    </w:p>
  </w:footnote>
  <w:footnote w:id="6">
    <w:p>
      <w:pPr>
        <w:pStyle w:val="FootnoteText"/>
        <w:rPr>
          <w:sz w:val="18"/>
        </w:rPr>
      </w:pPr>
      <w:r>
        <w:rPr>
          <w:rStyle w:val="FootnoteReference"/>
        </w:rPr>
        <w:footnoteRef/>
      </w:r>
      <w:r>
        <w:rPr>
          <w:sz w:val="18"/>
        </w:rPr>
        <w:t xml:space="preserve"> Selon le rapport d'Eurostat du 17 avril 2015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[Ares(2015)1638258]</w:t>
      </w:r>
      <w:r>
        <w:rPr>
          <w:sz w:val="18"/>
        </w:rPr>
        <w:br/>
      </w:r>
      <w:r>
        <w:rPr>
          <w:sz w:val="18"/>
        </w:rPr>
        <w:br/>
      </w:r>
      <w:r>
        <w:t xml:space="preserve">De plus amples informations sont disponibles sur le site web d’Eurostat </w:t>
      </w:r>
      <w:r>
        <w:rPr>
          <w:sz w:val="18"/>
        </w:rPr>
        <w:t>(</w:t>
      </w:r>
      <w:hyperlink r:id="rId2">
        <w:r>
          <w:rPr>
            <w:rStyle w:val="Hyperlink"/>
            <w:sz w:val="18"/>
          </w:rPr>
          <w:t>http://ec.europa.eu/eurostat</w:t>
        </w:r>
      </w:hyperlink>
      <w:r>
        <w:rPr>
          <w:sz w:val="18"/>
        </w:rPr>
        <w:t xml:space="preserve"> &gt; (en suivant l’arborescence  «Données» &gt; «Base de données» &gt; «Économie et finances» &gt; «Prix» &gt; «Coefficients correcteurs»).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u"/>
    <w:docVar w:name="LW_ANNEX_NBR_FIRST" w:val="1"/>
    <w:docVar w:name="LW_ANNEX_NBR_LAST" w:val="5"/>
    <w:docVar w:name="LW_CONFIDENCE" w:val=" "/>
    <w:docVar w:name="LW_CONST_RESTREINT_UE" w:val="RESTREINT UE"/>
    <w:docVar w:name="LW_CORRIGENDUM" w:val="&lt;UNUSED&gt;"/>
    <w:docVar w:name="LW_COVERPAGE_GUID" w:val="CDDC57109D484425B96AAB62BB85B963"/>
    <w:docVar w:name="LW_CROSSREFERENCE" w:val="&lt;UNUSED&gt;"/>
    <w:docVar w:name="LW_DATE.ADOPT.CP_ISODATE" w:val="&lt;EMPTY&gt;"/>
    <w:docVar w:name="LW_DocType" w:val="NORMAL"/>
    <w:docVar w:name="LW_EMISSION" w:val="2.12.2015"/>
    <w:docVar w:name="LW_EMISSION_ISODATE" w:val="2015-12-02"/>
    <w:docVar w:name="LW_EMISSION_LOCATION" w:val="BRX"/>
    <w:docVar w:name="LW_EMISSION_PREFIX" w:val="Bruxelles, le "/>
    <w:docVar w:name="LW_EMISSION_SUFFIX" w:val=" "/>
    <w:docVar w:name="LW_ID_DOCTYPE_NONLW" w:val="CP-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concernant les informations relatives à l'incidence budgétaire de l'actualisation annuelle 2015 des rémunérations et des pensions des fonctionnaires et des autres agents de l'Union européenne ainsi que des coefficients correcteurs dont celles-ci sont affectées_x000b_"/>
    <w:docVar w:name="LW_PART_NBR" w:val="&lt;UNUSED&gt;"/>
    <w:docVar w:name="LW_PART_NBR_TOTAL" w:val="&lt;UNUSED&gt;"/>
    <w:docVar w:name="LW_REF.II.NEW.CP" w:val="&lt;UNUSED&gt;"/>
    <w:docVar w:name="LW_REF.II.NEW.CP_NUMBER" w:val="&lt;UNUSED&gt;"/>
    <w:docVar w:name="LW_REF.II.NEW.CP_YEAR" w:val="2015"/>
    <w:docVar w:name="LW_REF.INST.NEW" w:val="COM"/>
    <w:docVar w:name="LW_REF.INST.NEW_ADOPTED" w:val="final"/>
    <w:docVar w:name="LW_REF.INST.NEW_TEXT" w:val="(2015) 597"/>
    <w:docVar w:name="LW_REF.INTERNE" w:val="&lt;UNUSED&gt;"/>
    <w:docVar w:name="LW_SOUS.TITRE.OBJ.CP" w:val="&lt;UNUSED&gt;"/>
    <w:docVar w:name="LW_SUPERTITRE" w:val="&lt;UNUSED&gt;"/>
    <w:docVar w:name="LW_TITRE.OBJ.CP"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eastAsia="fr-FR"/>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color w:val="365F91" w:themeColor="accent1" w:themeShade="BF"/>
    </w:rPr>
  </w:style>
  <w:style w:type="character" w:customStyle="1" w:styleId="FooterCoverPageChar">
    <w:name w:val="Footer Cover Page Char"/>
    <w:basedOn w:val="Heading1Char"/>
    <w:link w:val="FooterCoverPage"/>
    <w:rPr>
      <w:rFonts w:ascii="Times New Roman" w:eastAsia="Calibri" w:hAnsi="Times New Roman" w:cs="Times New Roman"/>
      <w:b w:val="0"/>
      <w:bCs/>
      <w:color w:val="365F91" w:themeColor="accent1" w:themeShade="BF"/>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color w:val="365F91" w:themeColor="accent1" w:themeShade="BF"/>
    </w:rPr>
  </w:style>
  <w:style w:type="character" w:customStyle="1" w:styleId="HeaderCoverPageChar">
    <w:name w:val="Header Cover Page Char"/>
    <w:basedOn w:val="Heading1Char"/>
    <w:link w:val="HeaderCoverPage"/>
    <w:rPr>
      <w:rFonts w:ascii="Times New Roman" w:eastAsia="Calibri" w:hAnsi="Times New Roman" w:cs="Times New Roman"/>
      <w:b w:val="0"/>
      <w:bCs/>
      <w:color w:val="365F91" w:themeColor="accent1" w:themeShade="BF"/>
      <w:sz w:val="24"/>
      <w:szCs w:val="20"/>
      <w:lang w:eastAsia="fr-FR"/>
    </w:rPr>
  </w:style>
  <w:style w:type="character" w:styleId="Hyperlink">
    <w:name w:val="Hyperlink"/>
    <w:rPr>
      <w:color w:val="0000FF"/>
      <w:u w:val="single"/>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eastAsia="fr-FR"/>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color w:val="365F91" w:themeColor="accent1" w:themeShade="BF"/>
    </w:rPr>
  </w:style>
  <w:style w:type="character" w:customStyle="1" w:styleId="FooterCoverPageChar">
    <w:name w:val="Footer Cover Page Char"/>
    <w:basedOn w:val="Heading1Char"/>
    <w:link w:val="FooterCoverPage"/>
    <w:rPr>
      <w:rFonts w:ascii="Times New Roman" w:eastAsia="Calibri" w:hAnsi="Times New Roman" w:cs="Times New Roman"/>
      <w:b w:val="0"/>
      <w:bCs/>
      <w:color w:val="365F91" w:themeColor="accent1" w:themeShade="BF"/>
      <w:sz w:val="24"/>
      <w:szCs w:val="20"/>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color w:val="365F91" w:themeColor="accent1" w:themeShade="BF"/>
    </w:rPr>
  </w:style>
  <w:style w:type="character" w:customStyle="1" w:styleId="HeaderCoverPageChar">
    <w:name w:val="Header Cover Page Char"/>
    <w:basedOn w:val="Heading1Char"/>
    <w:link w:val="HeaderCoverPage"/>
    <w:rPr>
      <w:rFonts w:ascii="Times New Roman" w:eastAsia="Calibri" w:hAnsi="Times New Roman" w:cs="Times New Roman"/>
      <w:b w:val="0"/>
      <w:bCs/>
      <w:color w:val="365F91" w:themeColor="accent1" w:themeShade="BF"/>
      <w:sz w:val="24"/>
      <w:szCs w:val="20"/>
      <w:lang w:eastAsia="fr-FR"/>
    </w:rPr>
  </w:style>
  <w:style w:type="character" w:styleId="Hyperlink">
    <w:name w:val="Hyperlink"/>
    <w:rPr>
      <w:color w:val="0000FF"/>
      <w:u w:val="single"/>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409">
      <w:bodyDiv w:val="1"/>
      <w:marLeft w:val="0"/>
      <w:marRight w:val="0"/>
      <w:marTop w:val="0"/>
      <w:marBottom w:val="0"/>
      <w:divBdr>
        <w:top w:val="none" w:sz="0" w:space="0" w:color="auto"/>
        <w:left w:val="none" w:sz="0" w:space="0" w:color="auto"/>
        <w:bottom w:val="none" w:sz="0" w:space="0" w:color="auto"/>
        <w:right w:val="none" w:sz="0" w:space="0" w:color="auto"/>
      </w:divBdr>
    </w:div>
    <w:div w:id="171529536">
      <w:bodyDiv w:val="1"/>
      <w:marLeft w:val="0"/>
      <w:marRight w:val="0"/>
      <w:marTop w:val="0"/>
      <w:marBottom w:val="0"/>
      <w:divBdr>
        <w:top w:val="none" w:sz="0" w:space="0" w:color="auto"/>
        <w:left w:val="none" w:sz="0" w:space="0" w:color="auto"/>
        <w:bottom w:val="none" w:sz="0" w:space="0" w:color="auto"/>
        <w:right w:val="none" w:sz="0" w:space="0" w:color="auto"/>
      </w:divBdr>
    </w:div>
    <w:div w:id="204173995">
      <w:bodyDiv w:val="1"/>
      <w:marLeft w:val="0"/>
      <w:marRight w:val="0"/>
      <w:marTop w:val="0"/>
      <w:marBottom w:val="0"/>
      <w:divBdr>
        <w:top w:val="none" w:sz="0" w:space="0" w:color="auto"/>
        <w:left w:val="none" w:sz="0" w:space="0" w:color="auto"/>
        <w:bottom w:val="none" w:sz="0" w:space="0" w:color="auto"/>
        <w:right w:val="none" w:sz="0" w:space="0" w:color="auto"/>
      </w:divBdr>
    </w:div>
    <w:div w:id="240875007">
      <w:bodyDiv w:val="1"/>
      <w:marLeft w:val="0"/>
      <w:marRight w:val="0"/>
      <w:marTop w:val="0"/>
      <w:marBottom w:val="0"/>
      <w:divBdr>
        <w:top w:val="none" w:sz="0" w:space="0" w:color="auto"/>
        <w:left w:val="none" w:sz="0" w:space="0" w:color="auto"/>
        <w:bottom w:val="none" w:sz="0" w:space="0" w:color="auto"/>
        <w:right w:val="none" w:sz="0" w:space="0" w:color="auto"/>
      </w:divBdr>
    </w:div>
    <w:div w:id="241843149">
      <w:bodyDiv w:val="1"/>
      <w:marLeft w:val="0"/>
      <w:marRight w:val="0"/>
      <w:marTop w:val="0"/>
      <w:marBottom w:val="0"/>
      <w:divBdr>
        <w:top w:val="none" w:sz="0" w:space="0" w:color="auto"/>
        <w:left w:val="none" w:sz="0" w:space="0" w:color="auto"/>
        <w:bottom w:val="none" w:sz="0" w:space="0" w:color="auto"/>
        <w:right w:val="none" w:sz="0" w:space="0" w:color="auto"/>
      </w:divBdr>
    </w:div>
    <w:div w:id="364672191">
      <w:bodyDiv w:val="1"/>
      <w:marLeft w:val="0"/>
      <w:marRight w:val="0"/>
      <w:marTop w:val="0"/>
      <w:marBottom w:val="0"/>
      <w:divBdr>
        <w:top w:val="none" w:sz="0" w:space="0" w:color="auto"/>
        <w:left w:val="none" w:sz="0" w:space="0" w:color="auto"/>
        <w:bottom w:val="none" w:sz="0" w:space="0" w:color="auto"/>
        <w:right w:val="none" w:sz="0" w:space="0" w:color="auto"/>
      </w:divBdr>
    </w:div>
    <w:div w:id="433326719">
      <w:bodyDiv w:val="1"/>
      <w:marLeft w:val="0"/>
      <w:marRight w:val="0"/>
      <w:marTop w:val="0"/>
      <w:marBottom w:val="0"/>
      <w:divBdr>
        <w:top w:val="none" w:sz="0" w:space="0" w:color="auto"/>
        <w:left w:val="none" w:sz="0" w:space="0" w:color="auto"/>
        <w:bottom w:val="none" w:sz="0" w:space="0" w:color="auto"/>
        <w:right w:val="none" w:sz="0" w:space="0" w:color="auto"/>
      </w:divBdr>
    </w:div>
    <w:div w:id="496120244">
      <w:bodyDiv w:val="1"/>
      <w:marLeft w:val="0"/>
      <w:marRight w:val="0"/>
      <w:marTop w:val="0"/>
      <w:marBottom w:val="0"/>
      <w:divBdr>
        <w:top w:val="none" w:sz="0" w:space="0" w:color="auto"/>
        <w:left w:val="none" w:sz="0" w:space="0" w:color="auto"/>
        <w:bottom w:val="none" w:sz="0" w:space="0" w:color="auto"/>
        <w:right w:val="none" w:sz="0" w:space="0" w:color="auto"/>
      </w:divBdr>
    </w:div>
    <w:div w:id="697387036">
      <w:bodyDiv w:val="1"/>
      <w:marLeft w:val="0"/>
      <w:marRight w:val="0"/>
      <w:marTop w:val="0"/>
      <w:marBottom w:val="0"/>
      <w:divBdr>
        <w:top w:val="none" w:sz="0" w:space="0" w:color="auto"/>
        <w:left w:val="none" w:sz="0" w:space="0" w:color="auto"/>
        <w:bottom w:val="none" w:sz="0" w:space="0" w:color="auto"/>
        <w:right w:val="none" w:sz="0" w:space="0" w:color="auto"/>
      </w:divBdr>
    </w:div>
    <w:div w:id="726148082">
      <w:bodyDiv w:val="1"/>
      <w:marLeft w:val="0"/>
      <w:marRight w:val="0"/>
      <w:marTop w:val="0"/>
      <w:marBottom w:val="0"/>
      <w:divBdr>
        <w:top w:val="none" w:sz="0" w:space="0" w:color="auto"/>
        <w:left w:val="none" w:sz="0" w:space="0" w:color="auto"/>
        <w:bottom w:val="none" w:sz="0" w:space="0" w:color="auto"/>
        <w:right w:val="none" w:sz="0" w:space="0" w:color="auto"/>
      </w:divBdr>
    </w:div>
    <w:div w:id="759909151">
      <w:bodyDiv w:val="1"/>
      <w:marLeft w:val="0"/>
      <w:marRight w:val="0"/>
      <w:marTop w:val="0"/>
      <w:marBottom w:val="0"/>
      <w:divBdr>
        <w:top w:val="none" w:sz="0" w:space="0" w:color="auto"/>
        <w:left w:val="none" w:sz="0" w:space="0" w:color="auto"/>
        <w:bottom w:val="none" w:sz="0" w:space="0" w:color="auto"/>
        <w:right w:val="none" w:sz="0" w:space="0" w:color="auto"/>
      </w:divBdr>
    </w:div>
    <w:div w:id="816531575">
      <w:bodyDiv w:val="1"/>
      <w:marLeft w:val="0"/>
      <w:marRight w:val="0"/>
      <w:marTop w:val="0"/>
      <w:marBottom w:val="0"/>
      <w:divBdr>
        <w:top w:val="none" w:sz="0" w:space="0" w:color="auto"/>
        <w:left w:val="none" w:sz="0" w:space="0" w:color="auto"/>
        <w:bottom w:val="none" w:sz="0" w:space="0" w:color="auto"/>
        <w:right w:val="none" w:sz="0" w:space="0" w:color="auto"/>
      </w:divBdr>
    </w:div>
    <w:div w:id="964769540">
      <w:bodyDiv w:val="1"/>
      <w:marLeft w:val="0"/>
      <w:marRight w:val="0"/>
      <w:marTop w:val="0"/>
      <w:marBottom w:val="0"/>
      <w:divBdr>
        <w:top w:val="none" w:sz="0" w:space="0" w:color="auto"/>
        <w:left w:val="none" w:sz="0" w:space="0" w:color="auto"/>
        <w:bottom w:val="none" w:sz="0" w:space="0" w:color="auto"/>
        <w:right w:val="none" w:sz="0" w:space="0" w:color="auto"/>
      </w:divBdr>
    </w:div>
    <w:div w:id="1118989360">
      <w:bodyDiv w:val="1"/>
      <w:marLeft w:val="0"/>
      <w:marRight w:val="0"/>
      <w:marTop w:val="0"/>
      <w:marBottom w:val="0"/>
      <w:divBdr>
        <w:top w:val="none" w:sz="0" w:space="0" w:color="auto"/>
        <w:left w:val="none" w:sz="0" w:space="0" w:color="auto"/>
        <w:bottom w:val="none" w:sz="0" w:space="0" w:color="auto"/>
        <w:right w:val="none" w:sz="0" w:space="0" w:color="auto"/>
      </w:divBdr>
    </w:div>
    <w:div w:id="1148327000">
      <w:bodyDiv w:val="1"/>
      <w:marLeft w:val="0"/>
      <w:marRight w:val="0"/>
      <w:marTop w:val="0"/>
      <w:marBottom w:val="0"/>
      <w:divBdr>
        <w:top w:val="none" w:sz="0" w:space="0" w:color="auto"/>
        <w:left w:val="none" w:sz="0" w:space="0" w:color="auto"/>
        <w:bottom w:val="none" w:sz="0" w:space="0" w:color="auto"/>
        <w:right w:val="none" w:sz="0" w:space="0" w:color="auto"/>
      </w:divBdr>
    </w:div>
    <w:div w:id="1322925618">
      <w:bodyDiv w:val="1"/>
      <w:marLeft w:val="0"/>
      <w:marRight w:val="0"/>
      <w:marTop w:val="0"/>
      <w:marBottom w:val="0"/>
      <w:divBdr>
        <w:top w:val="none" w:sz="0" w:space="0" w:color="auto"/>
        <w:left w:val="none" w:sz="0" w:space="0" w:color="auto"/>
        <w:bottom w:val="none" w:sz="0" w:space="0" w:color="auto"/>
        <w:right w:val="none" w:sz="0" w:space="0" w:color="auto"/>
      </w:divBdr>
    </w:div>
    <w:div w:id="1515611874">
      <w:bodyDiv w:val="1"/>
      <w:marLeft w:val="0"/>
      <w:marRight w:val="0"/>
      <w:marTop w:val="0"/>
      <w:marBottom w:val="0"/>
      <w:divBdr>
        <w:top w:val="none" w:sz="0" w:space="0" w:color="auto"/>
        <w:left w:val="none" w:sz="0" w:space="0" w:color="auto"/>
        <w:bottom w:val="none" w:sz="0" w:space="0" w:color="auto"/>
        <w:right w:val="none" w:sz="0" w:space="0" w:color="auto"/>
      </w:divBdr>
    </w:div>
    <w:div w:id="1556509886">
      <w:bodyDiv w:val="1"/>
      <w:marLeft w:val="0"/>
      <w:marRight w:val="0"/>
      <w:marTop w:val="0"/>
      <w:marBottom w:val="0"/>
      <w:divBdr>
        <w:top w:val="none" w:sz="0" w:space="0" w:color="auto"/>
        <w:left w:val="none" w:sz="0" w:space="0" w:color="auto"/>
        <w:bottom w:val="none" w:sz="0" w:space="0" w:color="auto"/>
        <w:right w:val="none" w:sz="0" w:space="0" w:color="auto"/>
      </w:divBdr>
    </w:div>
    <w:div w:id="1730230168">
      <w:bodyDiv w:val="1"/>
      <w:marLeft w:val="0"/>
      <w:marRight w:val="0"/>
      <w:marTop w:val="0"/>
      <w:marBottom w:val="0"/>
      <w:divBdr>
        <w:top w:val="none" w:sz="0" w:space="0" w:color="auto"/>
        <w:left w:val="none" w:sz="0" w:space="0" w:color="auto"/>
        <w:bottom w:val="none" w:sz="0" w:space="0" w:color="auto"/>
        <w:right w:val="none" w:sz="0" w:space="0" w:color="auto"/>
      </w:divBdr>
    </w:div>
    <w:div w:id="1734082854">
      <w:bodyDiv w:val="1"/>
      <w:marLeft w:val="0"/>
      <w:marRight w:val="0"/>
      <w:marTop w:val="0"/>
      <w:marBottom w:val="0"/>
      <w:divBdr>
        <w:top w:val="none" w:sz="0" w:space="0" w:color="auto"/>
        <w:left w:val="none" w:sz="0" w:space="0" w:color="auto"/>
        <w:bottom w:val="none" w:sz="0" w:space="0" w:color="auto"/>
        <w:right w:val="none" w:sz="0" w:space="0" w:color="auto"/>
      </w:divBdr>
    </w:div>
    <w:div w:id="1802383949">
      <w:bodyDiv w:val="1"/>
      <w:marLeft w:val="0"/>
      <w:marRight w:val="0"/>
      <w:marTop w:val="0"/>
      <w:marBottom w:val="0"/>
      <w:divBdr>
        <w:top w:val="none" w:sz="0" w:space="0" w:color="auto"/>
        <w:left w:val="none" w:sz="0" w:space="0" w:color="auto"/>
        <w:bottom w:val="none" w:sz="0" w:space="0" w:color="auto"/>
        <w:right w:val="none" w:sz="0" w:space="0" w:color="auto"/>
      </w:divBdr>
    </w:div>
    <w:div w:id="1813981890">
      <w:bodyDiv w:val="1"/>
      <w:marLeft w:val="0"/>
      <w:marRight w:val="0"/>
      <w:marTop w:val="0"/>
      <w:marBottom w:val="0"/>
      <w:divBdr>
        <w:top w:val="none" w:sz="0" w:space="0" w:color="auto"/>
        <w:left w:val="none" w:sz="0" w:space="0" w:color="auto"/>
        <w:bottom w:val="none" w:sz="0" w:space="0" w:color="auto"/>
        <w:right w:val="none" w:sz="0" w:space="0" w:color="auto"/>
      </w:divBdr>
    </w:div>
    <w:div w:id="18457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 TargetMode="External"/><Relationship Id="rId1" Type="http://schemas.openxmlformats.org/officeDocument/2006/relationships/hyperlink" Target="http://ec.europa.eu/eur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24</Pages>
  <Words>3362</Words>
  <Characters>18294</Characters>
  <Application>Microsoft Office Word</Application>
  <DocSecurity>0</DocSecurity>
  <Lines>1829</Lines>
  <Paragraphs>1353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POIRIER Felix (HR)</dc:creator>
  <cp:lastModifiedBy>DIGIT/A3</cp:lastModifiedBy>
  <cp:revision>20</cp:revision>
  <dcterms:created xsi:type="dcterms:W3CDTF">2015-11-11T14:01:00Z</dcterms:created>
  <dcterms:modified xsi:type="dcterms:W3CDTF">2015-12-01T10:59:00Z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5</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