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617553BF8F604281BFB6A9204249EAF0" style="width:450.75pt;height:407.25pt">
            <v:imagedata r:id="rId8" o:title=""/>
          </v:shape>
        </w:pict>
      </w:r>
    </w:p>
    <w:bookmarkEnd w:id="0"/>
    <w:p>
      <w:pPr>
        <w:rPr>
          <w:rFonts w:eastAsia="Calibri"/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rFonts w:eastAsia="Calibri"/>
          <w:b/>
          <w:noProof/>
          <w:szCs w:val="24"/>
        </w:rPr>
      </w:pPr>
      <w:bookmarkStart w:id="1" w:name="_GoBack"/>
      <w:bookmarkEnd w:id="1"/>
      <w:r>
        <w:rPr>
          <w:b/>
          <w:noProof/>
        </w:rPr>
        <w:lastRenderedPageBreak/>
        <w:t>Приложения към</w:t>
      </w:r>
      <w:r>
        <w:rPr>
          <w:noProof/>
        </w:rPr>
        <w:br/>
      </w:r>
      <w:r>
        <w:rPr>
          <w:b/>
          <w:noProof/>
        </w:rPr>
        <w:t>Доклад на Комисията до Европейския парламент и Съвета</w:t>
      </w:r>
      <w:r>
        <w:rPr>
          <w:rFonts w:eastAsia="Calibri"/>
          <w:b/>
          <w:noProof/>
          <w:szCs w:val="24"/>
        </w:rPr>
        <w:br/>
      </w:r>
      <w:r>
        <w:rPr>
          <w:b/>
          <w:noProof/>
        </w:rPr>
        <w:t>относно данните, свързани с отражението върху бюджета на годишното актуализиране за 2015</w:t>
      </w:r>
      <w:r>
        <w:rPr>
          <w:b/>
          <w:noProof/>
          <w:lang w:val="en-GB"/>
        </w:rPr>
        <w:t> </w:t>
      </w:r>
      <w:r>
        <w:rPr>
          <w:b/>
          <w:noProof/>
        </w:rPr>
        <w:t>г. на възнагражденията и пенсиите на длъжностните лица и другите служители на Европейския съюз и на корекционните коефициенти, прилагани към тях</w:t>
      </w:r>
    </w:p>
    <w:p>
      <w:pPr>
        <w:pStyle w:val="Heading1"/>
        <w:jc w:val="right"/>
        <w:rPr>
          <w:rFonts w:ascii="Times New Roman" w:eastAsia="Calibri" w:hAnsi="Times New Roman" w:cs="Times New Roman"/>
          <w:bCs w:val="0"/>
          <w:i/>
          <w:noProof/>
          <w:color w:val="auto"/>
          <w:sz w:val="24"/>
          <w:szCs w:val="20"/>
          <w:u w:val="single"/>
        </w:rPr>
      </w:pPr>
      <w:r>
        <w:rPr>
          <w:rFonts w:ascii="Times New Roman" w:hAnsi="Times New Roman"/>
          <w:i/>
          <w:noProof/>
          <w:color w:val="auto"/>
          <w:sz w:val="24"/>
          <w:u w:val="single"/>
        </w:rPr>
        <w:t xml:space="preserve">Проект </w:t>
      </w:r>
    </w:p>
    <w:p>
      <w:pPr>
        <w:pStyle w:val="Heading1"/>
        <w:jc w:val="center"/>
        <w:rPr>
          <w:rFonts w:ascii="Times New Roman" w:eastAsia="Calibri" w:hAnsi="Times New Roman" w:cs="Times New Roman"/>
          <w:bCs w:val="0"/>
          <w:i/>
          <w:noProof/>
          <w:color w:val="auto"/>
          <w:sz w:val="24"/>
          <w:szCs w:val="20"/>
        </w:rPr>
      </w:pPr>
      <w:r>
        <w:rPr>
          <w:rFonts w:ascii="Times New Roman" w:hAnsi="Times New Roman"/>
          <w:i/>
          <w:noProof/>
          <w:color w:val="auto"/>
          <w:sz w:val="24"/>
        </w:rPr>
        <w:t xml:space="preserve">ПРИЛОЖЕНИЕ I </w:t>
      </w:r>
    </w:p>
    <w:p>
      <w:pPr>
        <w:jc w:val="center"/>
        <w:rPr>
          <w:rFonts w:eastAsia="Calibri"/>
          <w:b/>
          <w:noProof/>
        </w:rPr>
      </w:pPr>
      <w:r>
        <w:rPr>
          <w:b/>
          <w:noProof/>
        </w:rPr>
        <w:t>ГОДИШНО АКТУАЛИЗИРАНЕ ЗА 2015 Г. НА ВЪЗНАГРАЖДЕНИЯТА И ПЕНСИИТЕ НА ДЛЪЖНОСТНИТЕ ЛИЦА И ДРУГИТЕ СЛУЖИТЕЛИ НА ЕВРОПЕЙСКИЯ СЪЮЗ И НА КОРЕКЦИОННИТЕ КОЕФИЦИЕНТИ, ПРИЛАГАНИ КЪМ ТЯХ</w:t>
      </w:r>
    </w:p>
    <w:p>
      <w:pPr>
        <w:rPr>
          <w:rFonts w:eastAsia="Calibri"/>
          <w:noProof/>
        </w:rPr>
      </w:pP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1.1. Таблица с размерите на основните месечни заплати за всяка степен и стъпка във функционалните групи AD и AST по член 66 от Правилника за персонала, приложими от 1 юли 2015 г.: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4290060" cy="3192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9006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20" w:after="120" w:line="240" w:lineRule="auto"/>
        <w:jc w:val="both"/>
        <w:rPr>
          <w:rFonts w:eastAsia="Calibri"/>
          <w:noProof/>
        </w:rPr>
      </w:pPr>
    </w:p>
    <w:p>
      <w:pPr>
        <w:widowControl/>
        <w:spacing w:before="120" w:after="120" w:line="240" w:lineRule="auto"/>
        <w:jc w:val="both"/>
        <w:rPr>
          <w:rFonts w:eastAsia="Calibri"/>
          <w:noProof/>
        </w:rPr>
      </w:pP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2. Таблица с размерите на основните месечни заплати за всяка степен и стъпка във функционалната група AST/SC по член 66 от Правилника за персонала, приложими от 1 юли 2015 г.:</w:t>
      </w:r>
    </w:p>
    <w:p>
      <w:pPr>
        <w:widowControl/>
        <w:spacing w:before="120" w:after="120" w:line="240" w:lineRule="auto"/>
        <w:jc w:val="both"/>
        <w:rPr>
          <w:rFonts w:eastAsia="Calibri"/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4030980" cy="1463040"/>
            <wp:effectExtent l="0" t="0" r="762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3098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20" w:after="120" w:line="240" w:lineRule="auto"/>
        <w:jc w:val="both"/>
        <w:rPr>
          <w:rFonts w:eastAsia="Calibri"/>
          <w:noProof/>
        </w:rPr>
      </w:pPr>
    </w:p>
    <w:p>
      <w:pPr>
        <w:widowControl/>
        <w:spacing w:before="120" w:after="120"/>
        <w:jc w:val="both"/>
        <w:rPr>
          <w:rFonts w:eastAsia="Calibri"/>
          <w:noProof/>
        </w:rPr>
      </w:pPr>
      <w:r>
        <w:rPr>
          <w:noProof/>
        </w:rPr>
        <w:t>3. Таблица с корекционните коефициенти, приложими към възнагражденията и пенсиите на длъжностните лица и другите служители на Европейския съюз, по член 64 от Правилника за персонала, която съдържа: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- корекционните коефициенти, приложими от 1 юли 2015 г. към възнагражденията на длъжностните лица и другите служители, по член 64 от Правилника за персонала (колона 2 от таблицата по-долу);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- корекционните коефициенти, приложими от 1 януари 2016 г., съгласно член 17, параграф 3 от приложение VII към Правилника за персонала, към преводите, извършвани от длъжностни лица и други служители (колона 3 от таблицата по-долу);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- корекционните коефициенти, приложими от 1 юли 2015</w:t>
      </w:r>
      <w:r>
        <w:rPr>
          <w:noProof/>
          <w:lang w:val="en-GB"/>
        </w:rPr>
        <w:t> </w:t>
      </w:r>
      <w:r>
        <w:rPr>
          <w:noProof/>
        </w:rPr>
        <w:t>г. към пенсиите съгласно член 20, параграф 1 от приложение XIII към Правилника за персонала (колона 4 от таблицата по-долу).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3667125" cy="5133975"/>
            <wp:effectExtent l="0" t="0" r="9525" b="9525"/>
            <wp:docPr id="3" name="Picture 3" descr="C:\Users\karasro\Desktop\Capture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asro\Desktop\Capture 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both"/>
        <w:rPr>
          <w:rFonts w:eastAsia="Calibri"/>
          <w:noProof/>
        </w:rPr>
      </w:pPr>
    </w:p>
    <w:p>
      <w:pPr>
        <w:widowControl/>
        <w:spacing w:before="120" w:after="120" w:line="240" w:lineRule="auto"/>
        <w:jc w:val="both"/>
        <w:rPr>
          <w:rFonts w:eastAsia="Calibri"/>
          <w:noProof/>
        </w:rPr>
      </w:pP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4. Размер на надбавката за отпуск за отглеждане на дете, посочена във втората и третата алинея на член 42а от Правилника за персонала, приложим от 1 юли 2015 г.: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- 941,08 EUR;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- 1 254,77 EUR за самотните родители.</w:t>
      </w:r>
    </w:p>
    <w:p>
      <w:pPr>
        <w:widowControl/>
        <w:jc w:val="both"/>
        <w:rPr>
          <w:rFonts w:eastAsia="Calibri"/>
          <w:noProof/>
        </w:rPr>
      </w:pP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5</w:t>
      </w:r>
      <w:r>
        <w:rPr>
          <w:rFonts w:eastAsia="Calibri"/>
          <w:noProof/>
          <w:lang w:val="en-GB" w:eastAsia="en-GB" w:bidi="ar-SA"/>
        </w:rPr>
        <w:t>.1. Основен размер на надбавката за жилищни нужди по член 1, параграф 1 от приложение VII към Правилника за персонала, приложим от 1 юли 2015 г. — 176,01 EUR.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5.2. Размер на надбавката за дете на издръжка по член 2, параграф 1 от приложение VII към Правилника за персонала, приложим от 1 юли 2015 г. — 384,60 EUR.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5.3. Размер на надбавката за образование по член 3, параграф 1 от приложение VII към Правилника за персонала, приложим от 1 юли 2015 г. — 260,95 EUR.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5.4. Размер на надбавката за образование по член 3, параграф 2 от приложение VII към Правилника за персонала, приложим от 1 юли 2015 г. — 93,95 EUR.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5.5. Минимален размер на надбавката за експатриране по член 69 от Правилника за персонала и член 4, параграф 1, втора алинея от приложение VII към него, приложим от 1 юли 2015 г. — 521,66 EUR.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5.6. Размер на надбавката за експатриране по член 134 от Условията за работа на другите служители, приложим от 1 юли 2015 г. — 375,01 EUR.</w:t>
      </w:r>
    </w:p>
    <w:p>
      <w:pPr>
        <w:widowControl/>
        <w:jc w:val="both"/>
        <w:rPr>
          <w:rFonts w:eastAsia="Calibri"/>
          <w:i/>
          <w:noProof/>
        </w:rPr>
      </w:pP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 xml:space="preserve">6.1. Размер на надбавката за километри по член 7, параграф 2 от приложение VII към Правилника за персонала, приложим от 1 юли 2015 г.: </w:t>
      </w:r>
    </w:p>
    <w:tbl>
      <w:tblPr>
        <w:tblW w:w="2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5"/>
        <w:gridCol w:w="1375"/>
      </w:tblGrid>
      <w:tr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0 EUR за всеки километър 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0 до 200 километра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0,1940 EUR за всеки километър 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201 до 1 000 километра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0,3234 EUR за всеки километър 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1 001 до 2 000 километра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0,1940 EUR за всеки километър 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2 001 до 3 000 километра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0,0646 EUR за всеки километър 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3 001 до 4 000 километра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0,0312 EUR за всеки километър 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4 001 до 10 000 километра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0 EUR за всеки километър над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10 000 километра</w:t>
            </w:r>
          </w:p>
        </w:tc>
      </w:tr>
    </w:tbl>
    <w:p>
      <w:pPr>
        <w:widowControl/>
        <w:jc w:val="both"/>
        <w:rPr>
          <w:rFonts w:eastAsia="Calibri"/>
          <w:noProof/>
        </w:rPr>
      </w:pP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 xml:space="preserve">6.2. Размер на допълнителната еднократна обща сума към надбавката за километри по член 7, параграф 2 от приложение VII към Правилника за персонала, приложим от 1 юли 2015 г.: 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— 97,01 EUR, ако географското разстояние между местата, посочени в параграф 1, е между 600 и 1 200 километра,</w:t>
      </w:r>
    </w:p>
    <w:p>
      <w:pPr>
        <w:widowControl/>
        <w:jc w:val="both"/>
        <w:rPr>
          <w:rFonts w:eastAsia="Calibri"/>
          <w:noProof/>
        </w:rPr>
      </w:pP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— 194,01 EUR, ако географското разстояние между местата, посочени в параграф 1, е по-голямо от 1 200 километра.</w:t>
      </w:r>
    </w:p>
    <w:p>
      <w:pPr>
        <w:widowControl/>
        <w:jc w:val="both"/>
        <w:rPr>
          <w:rFonts w:eastAsia="Calibri"/>
          <w:noProof/>
        </w:rPr>
      </w:pP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7.1. Размер на надбавката за километри по член 8, параграф 2 от приложение VII към Правилника за персонала, приложим от 1 януари 2016 г.:</w:t>
      </w:r>
    </w:p>
    <w:tbl>
      <w:tblPr>
        <w:tblW w:w="2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99"/>
        <w:gridCol w:w="1281"/>
      </w:tblGrid>
      <w:tr>
        <w:trPr>
          <w:tblCellSpacing w:w="0" w:type="dxa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0 EUR за всеки километър от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0 до 200 километра</w:t>
            </w:r>
          </w:p>
        </w:tc>
      </w:tr>
      <w:tr>
        <w:trPr>
          <w:tblCellSpacing w:w="0" w:type="dxa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0,3912 EUR за всеки километър от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201 до 1 000 километра</w:t>
            </w:r>
          </w:p>
        </w:tc>
      </w:tr>
      <w:tr>
        <w:trPr>
          <w:tblCellSpacing w:w="0" w:type="dxa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0,6520 EUR за всеки километър от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1 001 до 2 000 километра</w:t>
            </w:r>
          </w:p>
        </w:tc>
      </w:tr>
      <w:tr>
        <w:trPr>
          <w:tblCellSpacing w:w="0" w:type="dxa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0,3912 EUR за всеки километър от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2 001 до 3 000 километра</w:t>
            </w:r>
          </w:p>
        </w:tc>
      </w:tr>
      <w:tr>
        <w:trPr>
          <w:tblCellSpacing w:w="0" w:type="dxa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0,1303 EUR за всеки километър от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3 001 до 4 000 километра</w:t>
            </w:r>
          </w:p>
        </w:tc>
      </w:tr>
      <w:tr>
        <w:trPr>
          <w:tblCellSpacing w:w="0" w:type="dxa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0,0629 EUR за всеки километър от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4 001 до 10 000 километра</w:t>
            </w:r>
          </w:p>
        </w:tc>
      </w:tr>
      <w:tr>
        <w:trPr>
          <w:tblCellSpacing w:w="0" w:type="dxa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>0 EUR за всеки километър над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widowControl/>
              <w:spacing w:before="100" w:beforeAutospacing="1" w:after="100" w:afterAutospacing="1" w:line="240" w:lineRule="auto"/>
              <w:rPr>
                <w:noProof/>
                <w:szCs w:val="24"/>
              </w:rPr>
            </w:pPr>
            <w:r>
              <w:rPr>
                <w:noProof/>
              </w:rPr>
              <w:t xml:space="preserve">10 000 километра </w:t>
            </w:r>
          </w:p>
        </w:tc>
      </w:tr>
    </w:tbl>
    <w:p>
      <w:pPr>
        <w:widowControl/>
        <w:jc w:val="both"/>
        <w:rPr>
          <w:rFonts w:eastAsia="Calibri"/>
          <w:noProof/>
        </w:rPr>
      </w:pP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7.2. Размер на допълнителната еднократна обща сума към надбавката за километри по член 8, параграф 2 от приложение VII към Правилника за персонала, приложим от 1 януари 2016 г.: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— 195,58 EUR, ако географското разстояние между мястото на работа и мястото на произход е между 600 и 1 200 километра,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— 391,13 EUR, ако географското разстояние между мястото на работа и мястото на произход е по-голямо от 1 200 километра.</w:t>
      </w:r>
    </w:p>
    <w:p>
      <w:pPr>
        <w:widowControl/>
        <w:jc w:val="both"/>
        <w:rPr>
          <w:rFonts w:eastAsia="Calibri"/>
          <w:noProof/>
        </w:rPr>
      </w:pP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8. Размер на дневната надбавка по член 10, параграф 1 от приложение VII към Правилника за персонала, приложим от 1 юли 2015 г.:</w:t>
      </w:r>
    </w:p>
    <w:p>
      <w:pPr>
        <w:widowControl/>
        <w:tabs>
          <w:tab w:val="num" w:pos="283"/>
        </w:tabs>
        <w:ind w:left="283" w:hanging="283"/>
        <w:jc w:val="both"/>
        <w:rPr>
          <w:noProof/>
          <w:szCs w:val="24"/>
        </w:rPr>
      </w:pPr>
      <w:r>
        <w:rPr>
          <w:noProof/>
        </w:rPr>
        <w:t>-</w:t>
      </w:r>
      <w:r>
        <w:rPr>
          <w:noProof/>
        </w:rPr>
        <w:tab/>
        <w:t>40,43 EUR за длъжностно лице, което има право на надбавка за жилищни нужди;</w:t>
      </w:r>
    </w:p>
    <w:p>
      <w:pPr>
        <w:widowControl/>
        <w:tabs>
          <w:tab w:val="num" w:pos="283"/>
        </w:tabs>
        <w:ind w:left="283" w:hanging="283"/>
        <w:jc w:val="both"/>
        <w:rPr>
          <w:noProof/>
          <w:szCs w:val="24"/>
        </w:rPr>
      </w:pPr>
      <w:r>
        <w:rPr>
          <w:noProof/>
        </w:rPr>
        <w:t>-</w:t>
      </w:r>
      <w:r>
        <w:rPr>
          <w:noProof/>
        </w:rPr>
        <w:tab/>
        <w:t>32,59 EUR за длъжностно лице, което няма право на надбавка за жилищни нужди.</w:t>
      </w:r>
    </w:p>
    <w:p>
      <w:pPr>
        <w:widowControl/>
        <w:tabs>
          <w:tab w:val="num" w:pos="283"/>
        </w:tabs>
        <w:ind w:left="283" w:hanging="283"/>
        <w:jc w:val="both"/>
        <w:rPr>
          <w:noProof/>
          <w:szCs w:val="24"/>
        </w:rPr>
      </w:pP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 xml:space="preserve">9. Размер на долната граница за надбавката за настаняване по член 24, параграф 3 от Условията за работа на другите служители: </w:t>
      </w:r>
    </w:p>
    <w:p>
      <w:pPr>
        <w:widowControl/>
        <w:tabs>
          <w:tab w:val="num" w:pos="283"/>
        </w:tabs>
        <w:ind w:left="283" w:hanging="283"/>
        <w:jc w:val="both"/>
        <w:rPr>
          <w:noProof/>
          <w:szCs w:val="24"/>
        </w:rPr>
      </w:pPr>
      <w:r>
        <w:rPr>
          <w:noProof/>
        </w:rPr>
        <w:t>-</w:t>
      </w:r>
      <w:r>
        <w:rPr>
          <w:noProof/>
        </w:rPr>
        <w:tab/>
        <w:t>1 150,88 EUR за служител, който има право на надбавка за жилищни нужди;</w:t>
      </w:r>
    </w:p>
    <w:p>
      <w:pPr>
        <w:widowControl/>
        <w:tabs>
          <w:tab w:val="num" w:pos="283"/>
        </w:tabs>
        <w:ind w:left="283" w:hanging="283"/>
        <w:jc w:val="both"/>
        <w:rPr>
          <w:noProof/>
          <w:szCs w:val="24"/>
        </w:rPr>
      </w:pPr>
      <w:r>
        <w:rPr>
          <w:noProof/>
        </w:rPr>
        <w:t>-</w:t>
      </w:r>
      <w:r>
        <w:rPr>
          <w:noProof/>
        </w:rPr>
        <w:tab/>
        <w:t>684,31 EUR за служител, който няма право на надбавка за жилищни нужди.</w:t>
      </w:r>
    </w:p>
    <w:p>
      <w:pPr>
        <w:widowControl/>
        <w:tabs>
          <w:tab w:val="num" w:pos="283"/>
        </w:tabs>
        <w:ind w:left="283" w:hanging="283"/>
        <w:jc w:val="both"/>
        <w:rPr>
          <w:noProof/>
          <w:szCs w:val="24"/>
        </w:rPr>
      </w:pP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10.1. Размер на долната и горната граница за обезщетението за безработица по член 28а, параграф 3, втора алинея от Условията за работа на другите служители, приложим от 1 юли 2015 г.: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- 1 380,24 EUR (долна граница);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 xml:space="preserve">- 2 760,49 EUR (горна граница). 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10.2. Размер на стандартната надбавка по член 28а, параграф 7 от Условията за работа на другите служители, приложим от 1 юли 2015 г. — 1 254,77 EUR.</w:t>
      </w:r>
    </w:p>
    <w:p>
      <w:pPr>
        <w:widowControl/>
        <w:jc w:val="both"/>
        <w:rPr>
          <w:rFonts w:eastAsia="Calibri"/>
          <w:noProof/>
        </w:rPr>
      </w:pP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11. Таблица с размерите на основните заплати, предвидени в член 93 от Условията за работа на другите служители, приложими от 1 юли 2015 г.:</w:t>
      </w:r>
    </w:p>
    <w:p>
      <w:pPr>
        <w:widowControl/>
        <w:spacing w:before="120" w:after="120" w:line="240" w:lineRule="auto"/>
        <w:jc w:val="both"/>
        <w:rPr>
          <w:rFonts w:eastAsia="Calibri"/>
          <w:noProof/>
        </w:rPr>
      </w:pPr>
    </w:p>
    <w:p>
      <w:pPr>
        <w:widowControl/>
        <w:spacing w:before="120" w:after="120" w:line="240" w:lineRule="auto"/>
        <w:jc w:val="both"/>
        <w:rPr>
          <w:rFonts w:eastAsia="Calibri"/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5760720" cy="3389962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20" w:after="120" w:line="240" w:lineRule="auto"/>
        <w:jc w:val="both"/>
        <w:rPr>
          <w:rFonts w:eastAsia="Calibri"/>
          <w:noProof/>
        </w:rPr>
      </w:pP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 xml:space="preserve">12. Размер на долната граница за надбавката за настаняване по член 94 от Условията за работа на другите служители, приложим от 1 юли 2015 г.: </w:t>
      </w:r>
    </w:p>
    <w:p>
      <w:pPr>
        <w:widowControl/>
        <w:tabs>
          <w:tab w:val="num" w:pos="283"/>
        </w:tabs>
        <w:ind w:left="283" w:hanging="283"/>
        <w:jc w:val="both"/>
        <w:rPr>
          <w:noProof/>
          <w:szCs w:val="24"/>
        </w:rPr>
      </w:pPr>
      <w:r>
        <w:rPr>
          <w:noProof/>
        </w:rPr>
        <w:t>-</w:t>
      </w:r>
      <w:r>
        <w:rPr>
          <w:noProof/>
        </w:rPr>
        <w:tab/>
        <w:t>865,66 EUR за служител, който има право на надбавка за жилищни нужди;</w:t>
      </w:r>
    </w:p>
    <w:p>
      <w:pPr>
        <w:widowControl/>
        <w:tabs>
          <w:tab w:val="num" w:pos="283"/>
        </w:tabs>
        <w:ind w:left="283" w:hanging="283"/>
        <w:jc w:val="both"/>
        <w:rPr>
          <w:noProof/>
          <w:szCs w:val="24"/>
        </w:rPr>
      </w:pPr>
      <w:r>
        <w:rPr>
          <w:noProof/>
        </w:rPr>
        <w:t>-</w:t>
      </w:r>
      <w:r>
        <w:rPr>
          <w:noProof/>
        </w:rPr>
        <w:tab/>
        <w:t>513,23 EUR за служител, който няма право на надбавка за жилищни нужди.</w:t>
      </w:r>
    </w:p>
    <w:p>
      <w:pPr>
        <w:widowControl/>
        <w:jc w:val="both"/>
        <w:rPr>
          <w:rFonts w:eastAsia="Calibri"/>
          <w:i/>
          <w:noProof/>
        </w:rPr>
      </w:pP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13.1. Размер на долната и горната граница за обезщетението за безработица по член 96, параграф 3, втора алинея от Условията за работа на другите служители, приложим от 1 юли 2015 г.: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- 1 035,18 EUR (долна граница);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- 2 070,35 EUR (горна граница).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13.2. Размерът на стандартната надбавка по член 96, параграф 7 от Условията за работа на другите служители е 941,08 EUR.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13.3. Размер на долната и горната граница за обезщетението за безработица по член 136 от Условията за работа на другите служители, приложим от 1 юли 2015 г.: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- 910,74 EUR (долна граница);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- 2 142,90 EUR (горна граница).</w:t>
      </w:r>
    </w:p>
    <w:p>
      <w:pPr>
        <w:widowControl/>
        <w:jc w:val="both"/>
        <w:rPr>
          <w:rFonts w:eastAsia="Calibri"/>
          <w:noProof/>
        </w:rPr>
      </w:pP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14. Размер на надбавките за работа на смени, предвидени в член 1, параграф 1, първа алинея от Регламент (ЕОВС, ЕИО, Евратом) № 300/76 на Съвета</w:t>
      </w:r>
      <w:r>
        <w:rPr>
          <w:noProof/>
          <w:vertAlign w:val="superscript"/>
        </w:rPr>
        <w:footnoteReference w:id="1"/>
      </w:r>
      <w:r>
        <w:rPr>
          <w:noProof/>
        </w:rPr>
        <w:t>: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 xml:space="preserve">- 394,48 EUR, 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 xml:space="preserve">- 595,40 EUR, 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- 651,00 EUR,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- 887,52 EUR.</w:t>
      </w:r>
    </w:p>
    <w:p>
      <w:pPr>
        <w:widowControl/>
        <w:jc w:val="both"/>
        <w:rPr>
          <w:rFonts w:eastAsia="Calibri"/>
          <w:noProof/>
        </w:rPr>
      </w:pP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15. Коефициент, приложим от 1 юли 2015</w:t>
      </w:r>
      <w:r>
        <w:rPr>
          <w:noProof/>
          <w:lang w:val="en-GB"/>
        </w:rPr>
        <w:t> </w:t>
      </w:r>
      <w:r>
        <w:rPr>
          <w:noProof/>
        </w:rPr>
        <w:t>г., към сумите, посочени в член 4 от Регламент (ЕИО, Евратом, ЕОВС) № 260/68 на Съвета</w:t>
      </w:r>
      <w:r>
        <w:rPr>
          <w:noProof/>
          <w:vertAlign w:val="superscript"/>
        </w:rPr>
        <w:footnoteReference w:id="2"/>
      </w:r>
      <w:r>
        <w:rPr>
          <w:noProof/>
        </w:rPr>
        <w:t xml:space="preserve"> — 5,6944.</w:t>
      </w:r>
    </w:p>
    <w:p>
      <w:pPr>
        <w:widowControl/>
        <w:jc w:val="both"/>
        <w:rPr>
          <w:rFonts w:eastAsia="Calibri"/>
          <w:noProof/>
        </w:rPr>
      </w:pP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16. Таблица с размерите по член 8, параграф 2 от приложение XIII към Правилника за персонала, приложими от 1 юли 2015 г.:</w:t>
      </w:r>
    </w:p>
    <w:p>
      <w:pPr>
        <w:widowControl/>
        <w:spacing w:before="120" w:after="120" w:line="240" w:lineRule="auto"/>
        <w:jc w:val="both"/>
        <w:rPr>
          <w:rFonts w:eastAsia="Calibri"/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5760720" cy="30977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widowControl/>
        <w:jc w:val="center"/>
        <w:rPr>
          <w:rFonts w:eastAsia="Calibri"/>
          <w:i/>
          <w:noProof/>
        </w:rPr>
      </w:pP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17. Размер, приложим от 1 юли 2015 г., на общата надбавка по предишния член 4а от приложение VII към Правилника за персонала в сила преди 1 май 2004 г., която се използва за прилагането на член 18, параграф 1 от приложение XIII към Правилника за персонала: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- 136,08 EUR на месец за длъжностните лица със степен C4 или C5;</w:t>
      </w: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- 208,65 EUR на месец за длъжностните лица със степен C1, C2 или C3.</w:t>
      </w:r>
    </w:p>
    <w:p>
      <w:pPr>
        <w:widowControl/>
        <w:jc w:val="both"/>
        <w:rPr>
          <w:rFonts w:eastAsia="Calibri"/>
          <w:noProof/>
        </w:rPr>
      </w:pPr>
    </w:p>
    <w:p>
      <w:pPr>
        <w:widowControl/>
        <w:jc w:val="both"/>
        <w:rPr>
          <w:rFonts w:eastAsia="Calibri"/>
          <w:noProof/>
        </w:rPr>
      </w:pPr>
      <w:r>
        <w:rPr>
          <w:noProof/>
        </w:rPr>
        <w:t>18. Таблица с размерите на основните заплати, предвидени в член 133 от Условията за работа на другите служители, приложими от 1 юли 2015 г.:</w:t>
      </w:r>
    </w:p>
    <w:p>
      <w:pPr>
        <w:widowControl/>
        <w:spacing w:before="120" w:after="120" w:line="240" w:lineRule="auto"/>
        <w:jc w:val="both"/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5592636" cy="264795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04820" cy="265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>
      <w:pPr>
        <w:widowControl/>
        <w:spacing w:before="360" w:after="360" w:line="240" w:lineRule="auto"/>
        <w:jc w:val="right"/>
        <w:rPr>
          <w:b/>
          <w:i/>
          <w:noProof/>
          <w:szCs w:val="24"/>
          <w:u w:val="single"/>
        </w:rPr>
      </w:pPr>
      <w:r>
        <w:rPr>
          <w:b/>
          <w:i/>
          <w:noProof/>
          <w:u w:val="single"/>
        </w:rPr>
        <w:t xml:space="preserve">Проект </w:t>
      </w:r>
    </w:p>
    <w:p>
      <w:pPr>
        <w:widowControl/>
        <w:spacing w:before="360" w:after="360" w:line="240" w:lineRule="auto"/>
        <w:jc w:val="center"/>
        <w:rPr>
          <w:b/>
          <w:i/>
          <w:noProof/>
          <w:szCs w:val="24"/>
        </w:rPr>
      </w:pPr>
      <w:r>
        <w:rPr>
          <w:b/>
          <w:i/>
          <w:noProof/>
        </w:rPr>
        <w:t xml:space="preserve">ПРИЛОЖЕНИЕ II </w:t>
      </w:r>
    </w:p>
    <w:p>
      <w:pPr>
        <w:widowControl/>
        <w:spacing w:before="360" w:after="360" w:line="240" w:lineRule="auto"/>
        <w:jc w:val="center"/>
        <w:rPr>
          <w:b/>
          <w:noProof/>
          <w:szCs w:val="24"/>
        </w:rPr>
      </w:pPr>
      <w:r>
        <w:rPr>
          <w:b/>
          <w:noProof/>
        </w:rPr>
        <w:t xml:space="preserve">ГОДИШНО АКТУАЛИЗИРАНЕ </w:t>
      </w:r>
    </w:p>
    <w:p>
      <w:pPr>
        <w:widowControl/>
        <w:spacing w:before="360" w:after="360" w:line="240" w:lineRule="auto"/>
        <w:jc w:val="center"/>
        <w:rPr>
          <w:b/>
          <w:noProof/>
          <w:szCs w:val="24"/>
        </w:rPr>
      </w:pPr>
      <w:r>
        <w:rPr>
          <w:b/>
          <w:noProof/>
        </w:rPr>
        <w:t>НА КОРЕКЦИОННИТЕ КОЕФИЦИЕНТИ, ПРИЛОЖИМИ КЪМ ВЪЗНАГРАЖДЕНИЯТА НА ДЛЪЖНОСТНИТЕ ЛИЦА, СРОЧНО НАЕТИТЕ СЛУЖИТЕЛИ И ДОГОВОРНО НАЕТИТЕ СЛУЖИТЕЛИ НА ЕВРОПЕЙСКИЯ СЪЮЗ, СЛУЖЕЩИ В ТРЕТИ ДЪРЖАВИ</w:t>
      </w:r>
      <w:r>
        <w:rPr>
          <w:rFonts w:ascii="Calibri" w:hAnsi="Calibri"/>
          <w:b/>
          <w:noProof/>
          <w:sz w:val="22"/>
          <w:vertAlign w:val="superscript"/>
        </w:rPr>
        <w:footnoteReference w:id="3"/>
      </w:r>
    </w:p>
    <w:tbl>
      <w:tblPr>
        <w:tblW w:w="9229" w:type="dxa"/>
        <w:tblInd w:w="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1646"/>
        <w:gridCol w:w="1559"/>
        <w:gridCol w:w="1559"/>
      </w:tblGrid>
      <w:tr>
        <w:trPr>
          <w:trHeight w:val="120"/>
        </w:trPr>
        <w:tc>
          <w:tcPr>
            <w:tcW w:w="4551" w:type="dxa"/>
            <w:shd w:val="clear" w:color="000000" w:fill="FFFFFF"/>
            <w:vAlign w:val="center"/>
            <w:hideMark/>
          </w:tcPr>
          <w:p>
            <w:pPr>
              <w:widowControl/>
              <w:spacing w:line="276" w:lineRule="auto"/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</w:rPr>
              <w:t>МЯСТО НА РАБОТА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>
            <w:pPr>
              <w:widowControl/>
              <w:spacing w:line="276" w:lineRule="auto"/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</w:rPr>
              <w:t>Икономически паритет</w:t>
            </w:r>
            <w:r>
              <w:rPr>
                <w:noProof/>
              </w:rPr>
              <w:br/>
            </w:r>
            <w:r>
              <w:rPr>
                <w:rFonts w:ascii="Calibri" w:hAnsi="Calibri"/>
                <w:b/>
                <w:noProof/>
                <w:sz w:val="22"/>
              </w:rPr>
              <w:t>Юли 2015</w:t>
            </w:r>
            <w:r>
              <w:rPr>
                <w:rFonts w:ascii="Calibri" w:hAnsi="Calibri"/>
                <w:b/>
                <w:noProof/>
                <w:sz w:val="22"/>
                <w:lang w:val="en-GB"/>
              </w:rPr>
              <w:t> </w:t>
            </w:r>
            <w:r>
              <w:rPr>
                <w:rFonts w:ascii="Calibri" w:hAnsi="Calibri"/>
                <w:b/>
                <w:noProof/>
                <w:sz w:val="22"/>
              </w:rPr>
              <w:t>г.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>
            <w:pPr>
              <w:widowControl/>
              <w:spacing w:line="276" w:lineRule="auto"/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</w:rPr>
              <w:t>Обменен курс</w:t>
            </w:r>
            <w:r>
              <w:rPr>
                <w:noProof/>
              </w:rPr>
              <w:br/>
            </w:r>
            <w:r>
              <w:rPr>
                <w:rFonts w:ascii="Calibri" w:hAnsi="Calibri"/>
                <w:b/>
                <w:noProof/>
                <w:sz w:val="22"/>
              </w:rPr>
              <w:t>Юли 2015</w:t>
            </w:r>
            <w:r>
              <w:rPr>
                <w:rFonts w:ascii="Calibri" w:hAnsi="Calibri"/>
                <w:b/>
                <w:noProof/>
                <w:sz w:val="22"/>
                <w:lang w:val="en-GB"/>
              </w:rPr>
              <w:t> </w:t>
            </w:r>
            <w:r>
              <w:rPr>
                <w:rFonts w:ascii="Calibri" w:hAnsi="Calibri"/>
                <w:b/>
                <w:noProof/>
                <w:sz w:val="22"/>
              </w:rPr>
              <w:t>г. (*)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>
            <w:pPr>
              <w:widowControl/>
              <w:spacing w:line="276" w:lineRule="auto"/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</w:rPr>
              <w:t>Корекционен коефициент</w:t>
            </w:r>
            <w:r>
              <w:rPr>
                <w:noProof/>
              </w:rPr>
              <w:br/>
            </w:r>
            <w:r>
              <w:rPr>
                <w:rFonts w:ascii="Calibri" w:hAnsi="Calibri"/>
                <w:b/>
                <w:noProof/>
                <w:sz w:val="22"/>
              </w:rPr>
              <w:t>Юли 2015</w:t>
            </w:r>
            <w:r>
              <w:rPr>
                <w:rFonts w:ascii="Calibri" w:hAnsi="Calibri"/>
                <w:b/>
                <w:noProof/>
                <w:sz w:val="22"/>
                <w:lang w:val="en-GB"/>
              </w:rPr>
              <w:t> </w:t>
            </w:r>
            <w:r>
              <w:rPr>
                <w:rFonts w:ascii="Calibri" w:hAnsi="Calibri"/>
                <w:b/>
                <w:noProof/>
                <w:sz w:val="22"/>
              </w:rPr>
              <w:t>г. (**)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Афганистан (***)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Албания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79,96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140,550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56,9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Алжир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79,28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110,821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71,5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Ангола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200,1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134,757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148,5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Аржентина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9,287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10,0965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92,0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Армения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437,7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529,690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82,6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Австралия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1,457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1,45260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100,3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Азербайджан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1,078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1,16696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92,4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Бангладеш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71,37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86,6147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82,4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Барбадос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2,749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2,23853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122,8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Беларус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9132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17248,0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52,9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Белиз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1,858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2,24330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82,8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Бенин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684,2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104,3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Боливия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6,891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7,69290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89,6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Босна и Херцеговина (Баня Лука)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1,95583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55,8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Босна и Херцеговина (Сараево)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1,292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1,95583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66,1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Ботсуана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6,330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11,0742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57,2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Бразилия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3,597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3,49590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102,9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Буркина Фасо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97,0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Бурунди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1478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1751,18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84,4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Камбоджа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3827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4614,00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82,9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Камерун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96,6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Канада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1,421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1,37760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103,2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Кабо Верде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76,68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110,265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69,5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Централноафриканска република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680,8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103,8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Чад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780,1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118,9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Чили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704,519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56,4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6,929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6,91210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100,2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Колумбия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2839,74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74,0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Коморски острови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317,2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491,968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64,5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Конго (Бразавил)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122,9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Коста Рика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595,543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83,7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Куба (*)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1,11330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94,8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Демократична република Конго (Киншаса) (*)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1,825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1,11330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163,9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Джибути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181,1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197,857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91,5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Доминиканска република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33,73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50,2830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67,1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Еквадор (*)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1,11330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92,3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Египет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6,718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8,52845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78,8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Ел Салвадор (*)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0,8567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1,11330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77,0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Еритрея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17,3943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138,0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Етиопия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22,17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23,2380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95,4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Фиджи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2,33918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68,8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Бивша югославска република Македония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30,65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61,6940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49,7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Габон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109,7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Гамбия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33,81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43,9300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77,0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Грузия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1,577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2,51700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62,7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2,787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4,81095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57,9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Гватемала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8,027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8,47985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94,7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Гвинея (Конакри)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8206,67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90,3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Гвинея Бисау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89,3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Гвиана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231,930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73,9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Хаити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55,8709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95,2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Хондурас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24,4101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90,5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Хонконг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8,63060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124,1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Исландия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186,8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147,770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126,4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Индия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54,37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71,0695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76,5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Индонезия (Банда Асех)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10316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14868,3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69,4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Индонезия (Джакарта)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11232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14868,3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75,5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Иран (***)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Ирак (***)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Израел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4,559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4,22500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107,9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Кот д’Ивоар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97,2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Ямайка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119,8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129,193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92,7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Япония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129,6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136,810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94,7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Йордания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0,8276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0,789330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104,8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Казахстан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206,1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208,950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98,6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Кения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110,340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90,5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Косово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0,7104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71,0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Киргизстан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68,1088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79,3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Лаос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9075,00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102,5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Ливан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1678,30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101,4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Лесото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6,816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13,6434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50,0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Либерия (*)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1,11330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124,9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Либия (***)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Мадагаскар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3197,30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96,3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Малави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490,125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76,3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Малайзия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3,053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4,20700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72,6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Мали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648,5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98,9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Мавритания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249,5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364,760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68,4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Мавриций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28,69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39,4345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72,8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Мексико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12,51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17,3959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71,9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Молдова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12,03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21,1341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56,9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Черна гора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0,6274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62,7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Мароко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7,879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10,9025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72,3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Мозамбик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32,16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44,8000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71,8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Мианмар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1212,38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67,2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Намибия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9,241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13,6434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67,7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Непал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114,080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91,5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Нова Каледония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128,9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119,332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108,0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Нова Зеландия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1,62680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104,8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Никарагуа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19,43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30,3371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64,0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Нигер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553,7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84,4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Нигерия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214,1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220,223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97,2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Норвегия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8,80650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135,6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Пакистан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69,70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113,767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61,3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Панама (*)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0,8670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1,11330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77,9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Папуа-Нова Гвинея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3,514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3,05432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115,1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Парагвай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3984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5738,95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69,4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Перу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3,322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3,53640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93,9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Филипини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42,23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50,3010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84,0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Русия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61,6025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93,0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Руанда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805,110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87,2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Самоа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2,715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2,85462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95,1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Саудитска Арабия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3,521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4,17488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84,3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Сенегал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101,5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Сърбия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120,422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60,9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Сиера Леоне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5411,94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134,3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Сингапур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1,50160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131,3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Соломонови острови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8,73172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116,4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Сомалия (***)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Южна Африка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7,905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13,6434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57,9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Южна Корея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1286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1249,68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102,9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Южен Судан (Джуба)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4,259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3,28424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129,7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Шри Ланка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149,945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81,6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Судан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9,975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7,01746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142,1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Суринам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2,791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3,67389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76,0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Свазиленд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8,707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13,6434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63,8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Швейцария (Берн)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1,478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1,03760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142,4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Швейцария (Женева)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1,478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1,03760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142,4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Сирия (***)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Тайван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32,23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34,4458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93,6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Таджикистан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4,656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6,96948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66,8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Танзания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2337,55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61,7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Тайланд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31,06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37,6350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82,5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Източен Тимор (*)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1,11330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95,7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533,1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81,3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Тринидад и Тобаго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6,886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7,16400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96,1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Тунис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1,519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2,17640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69,8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Турция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2,332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2,99050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78,0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Туркменистан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2,536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3,89655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65,1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Уганда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3646,60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70,0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Украйна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13,96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23,5775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59,2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Обединени арабски емирства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3,988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4,09190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97,5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Съединени американски щати (Ню Йорк)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1,11330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108,9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Съединени американски щати (Вашингтон)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1,11330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97,5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Уругвай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27,92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29,8676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93,5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Узбекистан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2681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2839,86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94,4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Вануату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121,130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111,2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Венецуела (***)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Виетнам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15329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24281,1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63,1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Западен бряг — Ивицата Газа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5,181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4,22500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122,6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Йемен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285,8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239,237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119,5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Замбия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7,632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8,23290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92,7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</w:rPr>
              <w:t>Зимбабве (*)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1,078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1,11330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96,8</w:t>
            </w:r>
          </w:p>
        </w:tc>
      </w:tr>
    </w:tbl>
    <w:p>
      <w:pPr>
        <w:widowControl/>
        <w:spacing w:after="200" w:line="276" w:lineRule="auto"/>
        <w:rPr>
          <w:rFonts w:ascii="Calibri" w:eastAsia="Calibri" w:hAnsi="Calibri"/>
          <w:noProof/>
          <w:sz w:val="16"/>
          <w:szCs w:val="16"/>
        </w:rPr>
      </w:pPr>
      <w:r>
        <w:rPr>
          <w:rFonts w:ascii="Calibri" w:hAnsi="Calibri"/>
          <w:noProof/>
          <w:sz w:val="16"/>
        </w:rPr>
        <w:t xml:space="preserve">(*) 1 EURO = x единици местна валута (USD за Куба, Ел Салвадор, Еквадор, Либерия, Панама, ДР Конго, Източен Тимор и Зимбабве). </w:t>
      </w:r>
    </w:p>
    <w:p>
      <w:pPr>
        <w:widowControl/>
        <w:spacing w:after="200" w:line="276" w:lineRule="auto"/>
        <w:rPr>
          <w:rFonts w:ascii="Calibri" w:eastAsia="Calibri" w:hAnsi="Calibri"/>
          <w:noProof/>
          <w:sz w:val="16"/>
          <w:szCs w:val="16"/>
        </w:rPr>
      </w:pPr>
      <w:r>
        <w:rPr>
          <w:rFonts w:ascii="Calibri" w:hAnsi="Calibri"/>
          <w:noProof/>
          <w:sz w:val="16"/>
        </w:rPr>
        <w:t>(**) Брюксел и Люксембург = 100 %.</w:t>
      </w:r>
    </w:p>
    <w:p>
      <w:pPr>
        <w:widowControl/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  <w:r>
        <w:rPr>
          <w:rFonts w:ascii="Calibri" w:hAnsi="Calibri"/>
          <w:noProof/>
          <w:sz w:val="16"/>
        </w:rPr>
        <w:t>(***) Няма данни поради местната нестабилност или ненадеждността на данните.</w:t>
      </w:r>
    </w:p>
    <w:p>
      <w:pPr>
        <w:widowControl/>
        <w:spacing w:after="200" w:line="276" w:lineRule="auto"/>
        <w:rPr>
          <w:noProof/>
        </w:rPr>
      </w:pPr>
      <w:r>
        <w:rPr>
          <w:noProof/>
        </w:rPr>
        <w:br w:type="page"/>
      </w:r>
    </w:p>
    <w:tbl>
      <w:tblPr>
        <w:tblpPr w:leftFromText="180" w:rightFromText="180" w:vertAnchor="page" w:horzAnchor="margin" w:tblpY="965"/>
        <w:tblW w:w="9940" w:type="dxa"/>
        <w:tblLayout w:type="fixed"/>
        <w:tblLook w:val="04A0" w:firstRow="1" w:lastRow="0" w:firstColumn="1" w:lastColumn="0" w:noHBand="0" w:noVBand="1"/>
      </w:tblPr>
      <w:tblGrid>
        <w:gridCol w:w="510"/>
        <w:gridCol w:w="3638"/>
        <w:gridCol w:w="1814"/>
        <w:gridCol w:w="10"/>
        <w:gridCol w:w="11"/>
        <w:gridCol w:w="346"/>
        <w:gridCol w:w="1437"/>
        <w:gridCol w:w="17"/>
        <w:gridCol w:w="348"/>
        <w:gridCol w:w="1573"/>
        <w:gridCol w:w="236"/>
      </w:tblGrid>
      <w:tr>
        <w:trPr>
          <w:trHeight w:val="40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right"/>
              <w:rPr>
                <w:b/>
                <w:i/>
                <w:iCs/>
                <w:noProof/>
                <w:szCs w:val="32"/>
              </w:rPr>
            </w:pPr>
            <w:r>
              <w:rPr>
                <w:b/>
                <w:i/>
                <w:noProof/>
              </w:rPr>
              <w:t>Проект</w:t>
            </w:r>
          </w:p>
          <w:p>
            <w:pPr>
              <w:widowControl/>
              <w:spacing w:before="120" w:line="240" w:lineRule="auto"/>
              <w:jc w:val="center"/>
              <w:rPr>
                <w:b/>
                <w:iCs/>
                <w:noProof/>
                <w:sz w:val="20"/>
              </w:rPr>
            </w:pPr>
          </w:p>
          <w:p>
            <w:pPr>
              <w:widowControl/>
              <w:spacing w:before="120" w:line="240" w:lineRule="auto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ПРИЛОЖЕНИЕ III</w:t>
            </w:r>
          </w:p>
          <w:p>
            <w:pPr>
              <w:widowControl/>
              <w:spacing w:before="120" w:line="240" w:lineRule="auto"/>
              <w:jc w:val="center"/>
              <w:rPr>
                <w:b/>
                <w:noProof/>
                <w:sz w:val="20"/>
              </w:rPr>
            </w:pPr>
          </w:p>
          <w:p>
            <w:pPr>
              <w:widowControl/>
              <w:spacing w:before="120" w:line="240" w:lineRule="auto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 xml:space="preserve">МЕЖДИННО АКТУАЛИЗИРАНЕ </w:t>
            </w:r>
          </w:p>
          <w:p>
            <w:pPr>
              <w:widowControl/>
              <w:spacing w:before="120" w:line="240" w:lineRule="auto"/>
              <w:jc w:val="center"/>
              <w:rPr>
                <w:i/>
                <w:iCs/>
                <w:noProof/>
                <w:sz w:val="32"/>
                <w:szCs w:val="32"/>
              </w:rPr>
            </w:pPr>
            <w:r>
              <w:rPr>
                <w:b/>
                <w:noProof/>
              </w:rPr>
              <w:t>НА КОРЕКЦИОННИТЕ КОЕФИЦИЕНТИ, ПРИЛОЖИМИ КЪМ</w:t>
            </w:r>
            <w:r>
              <w:rPr>
                <w:noProof/>
              </w:rPr>
              <w:br/>
            </w:r>
            <w:r>
              <w:rPr>
                <w:b/>
                <w:noProof/>
              </w:rPr>
              <w:t xml:space="preserve"> ВЪЗНАГРАЖДЕНИЯТА НА ДЛЪЖНОСТНИТЕ ЛИЦА, СРОЧНО НАЕТИТЕ СЛУЖИТЕЛИ</w:t>
            </w:r>
            <w:r>
              <w:rPr>
                <w:noProof/>
              </w:rPr>
              <w:br/>
            </w:r>
            <w:r>
              <w:rPr>
                <w:b/>
                <w:noProof/>
              </w:rPr>
              <w:t xml:space="preserve"> И ДОГОВОРНО НАЕТИТЕ СЛУЖИТЕЛИ НА ЕВРОПЕЙСКИЯ СЪЮЗ, СЛУЖЕЩИ В ТРЕТИ ДЪРЖАВИ</w:t>
            </w:r>
            <w:r>
              <w:rPr>
                <w:b/>
                <w:noProof/>
                <w:vertAlign w:val="superscript"/>
              </w:rPr>
              <w:footnoteReference w:id="4"/>
            </w:r>
          </w:p>
          <w:p>
            <w:pPr>
              <w:widowControl/>
              <w:spacing w:before="120" w:line="240" w:lineRule="auto"/>
              <w:jc w:val="center"/>
              <w:rPr>
                <w:i/>
                <w:iCs/>
                <w:noProof/>
                <w:sz w:val="32"/>
                <w:szCs w:val="32"/>
              </w:rPr>
            </w:pPr>
            <w:r>
              <w:rPr>
                <w:noProof/>
                <w:sz w:val="18"/>
                <w:szCs w:val="18"/>
              </w:rPr>
              <w:br/>
            </w:r>
            <w:r>
              <w:rPr>
                <w:i/>
                <w:noProof/>
                <w:sz w:val="32"/>
              </w:rPr>
              <w:t>ФЕВРУАРИ 2015 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63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МЯСТО НА РАБОТА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Икономически паритет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Февруари 2015</w:t>
            </w:r>
            <w:r>
              <w:rPr>
                <w:b/>
                <w:noProof/>
                <w:sz w:val="16"/>
                <w:lang w:val="en-GB"/>
              </w:rPr>
              <w:t> </w:t>
            </w:r>
            <w:r>
              <w:rPr>
                <w:b/>
                <w:noProof/>
                <w:sz w:val="16"/>
              </w:rPr>
              <w:t>г.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Обменен курс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Февруари 2015 г. (*)</w:t>
            </w:r>
          </w:p>
        </w:tc>
        <w:tc>
          <w:tcPr>
            <w:tcW w:w="1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Корекционен коефициент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Февруари 2015 г. (**)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Албания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80,21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139,690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57,4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Алжир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79,14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103,264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76,6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Армения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449,2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536,780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83,7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Бангладеш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71,67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87,4394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82,0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Барбадос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2,821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2,27512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124,0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Босна и Херцеговина (Баня Лука)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1,128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1,95583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57,7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Босна и Херцеговина (Сараево)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1,334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1,95583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68,2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Камбоджа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4252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4589,50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92,6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Централноафриканска република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661,4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655,957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100,8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Гана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2,660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3,63590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73,2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Либерия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1,426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1,13150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126,0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Мексико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12,55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16,7722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74,8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Непал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104,7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110,360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94,9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Нигерия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210,5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188,103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111,9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Русия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56,65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78,2726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72,4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Сиера Леоне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7232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5573,77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129,8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Судан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9,769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7,13218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137,0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Украйна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10,08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17,9904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gridAfter w:val="1"/>
          <w:wAfter w:w="236" w:type="dxa"/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(*)</w:t>
            </w: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4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EUR = x единици местна валута, с изключение на USD за: Куба, Ел Салвадор, Еквадор, Либерия, Панама, ДР Конго, Източен Тимор, Зимбабве.</w:t>
            </w: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(**)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4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Брюксел и Люксембург = 100.</w:t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60" w:line="240" w:lineRule="auto"/>
              <w:jc w:val="center"/>
              <w:rPr>
                <w:i/>
                <w:iCs/>
                <w:noProof/>
                <w:sz w:val="32"/>
                <w:szCs w:val="32"/>
              </w:rPr>
            </w:pPr>
            <w:r>
              <w:rPr>
                <w:i/>
                <w:noProof/>
                <w:sz w:val="32"/>
              </w:rPr>
              <w:t>МАРТ 2015 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6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МЯСТО НА РАБОТА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Икономически паритет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Март 2015 г.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Обменен курс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Март 2015 г. (*)</w:t>
            </w:r>
          </w:p>
        </w:tc>
        <w:tc>
          <w:tcPr>
            <w:tcW w:w="1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Корекционен коефициент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Март 2015 г. (**)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Азербайджан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1,078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1,18840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90,7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Чад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789,1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655,957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120,3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Малави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372,3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496,614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75,0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Молдова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11,85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20,1215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58,9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Мозамбик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32,70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37,9900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86,1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Соломонови острови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11,25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8,44729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133,2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Южен Судан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4,080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3,33852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122,2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Източен Тимор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1,165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1,13170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102,9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gridAfter w:val="1"/>
          <w:wAfter w:w="236" w:type="dxa"/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(*)</w:t>
            </w: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4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EUR = x единици местна валута, с изключение на USD за: Куба, Ел Салвадор, Еквадор, Либерия, Панама, ДР Конго, Източен Тимор, Зимбабве.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(**)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4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Брюксел и Люксембург = 100.</w:t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40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80" w:line="240" w:lineRule="auto"/>
              <w:jc w:val="center"/>
              <w:rPr>
                <w:i/>
                <w:iCs/>
                <w:noProof/>
                <w:sz w:val="32"/>
                <w:szCs w:val="32"/>
              </w:rPr>
            </w:pPr>
            <w:r>
              <w:rPr>
                <w:i/>
                <w:noProof/>
                <w:sz w:val="32"/>
              </w:rPr>
              <w:t>АПРИЛ 2015 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63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МЯСТО НА РАБОТА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Икономически паритет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Април 2015 г.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Обменен курс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Април 2015 г. (*)</w:t>
            </w:r>
          </w:p>
        </w:tc>
        <w:tc>
          <w:tcPr>
            <w:tcW w:w="1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Корекционен коефициент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Април 2015 г. (**)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Ангола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199,0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118,288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168,2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Ел Салвадор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0,9040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1,08450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Бивша югославска република Македония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33,53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61,6614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Сърбия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79,08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120,633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Свазиленд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8,251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13,1446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Турция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2,293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2,82650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Туркменистан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2,520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3,79575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Украйна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11,67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25,4866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45,8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gridAfter w:val="1"/>
          <w:wAfter w:w="236" w:type="dxa"/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(*)</w:t>
            </w: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EUR = x единици местна валута, с изключение на USD за: Куба, Ел Салвадор, Еквадор, Либерия, Панама, ДР Конго, Източен Тимор, Зимбабве.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(**)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Брюксел и Люксембург = 100.</w:t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40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center"/>
              <w:rPr>
                <w:i/>
                <w:iCs/>
                <w:noProof/>
                <w:sz w:val="32"/>
                <w:szCs w:val="32"/>
              </w:rPr>
            </w:pPr>
            <w:r>
              <w:rPr>
                <w:i/>
                <w:noProof/>
                <w:sz w:val="32"/>
              </w:rPr>
              <w:t>МАЙ 2015 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8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МЯСТО НА РАБОТА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Икономически паритет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Май 2015 г.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Обменен курс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Май 2015 г. (*)</w:t>
            </w:r>
          </w:p>
        </w:tc>
        <w:tc>
          <w:tcPr>
            <w:tcW w:w="1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Корекционен коефициент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Май 2015</w:t>
            </w:r>
            <w:r>
              <w:rPr>
                <w:b/>
                <w:noProof/>
                <w:sz w:val="16"/>
                <w:lang w:val="en-GB"/>
              </w:rPr>
              <w:t> </w:t>
            </w:r>
            <w:r>
              <w:rPr>
                <w:b/>
                <w:noProof/>
                <w:sz w:val="16"/>
              </w:rPr>
              <w:t>г. (**)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Камбоджа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4014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4387,50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91,5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Китай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7,144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6,82110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Доминиканска република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34,53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48,4068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71,3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Етиопия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22,98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22,0862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Ямайка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125,6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123,326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Кения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99,86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102,458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97,5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Ливан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1675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1658,55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Мавриций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30,10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39,0038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77,2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Южна Африка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7,712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13,0682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Украйна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13,23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25,1930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gridAfter w:val="1"/>
          <w:wAfter w:w="236" w:type="dxa"/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(*)</w:t>
            </w: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4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EUR = x единици местна валута, с изключение на USD за: Куба, Ел Салвадор, Еквадор, Либерия, Панама, ДР Конго, Източен Тимор, Зимбабве.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(**)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4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Брюксел и Люксембург = 100.</w:t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40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center"/>
              <w:rPr>
                <w:i/>
                <w:iCs/>
                <w:noProof/>
                <w:sz w:val="32"/>
                <w:szCs w:val="32"/>
              </w:rPr>
            </w:pPr>
            <w:r>
              <w:rPr>
                <w:i/>
                <w:noProof/>
                <w:sz w:val="32"/>
              </w:rPr>
              <w:t>ЮНИ 2015 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8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МЯСТО НА РАБОТА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Икономически паритет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Юни 2015 г.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Обменен курс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 xml:space="preserve"> Юни 2015 г. (*)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Корекционен коефициент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Юни 2015 г. (**)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Бенин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683,3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655,957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Босна и Херцеговина (Баня Лука)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1,063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1,95583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Босна и Херцеговина (Сараево)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1,262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1,95583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Папуа-Нова Гвинея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3,616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2,96490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122,0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Соломонови острови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10,43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8,43340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123,7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Източен Тимор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1,085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1,08960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99,6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gridAfter w:val="1"/>
          <w:wAfter w:w="236" w:type="dxa"/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(*)</w:t>
            </w: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4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EUR = x единици местна валута, с изключение на USD за: Куба, Ел Салвадор, Еквадор, Либерия, Панама, ДР Конго, Източен Тимор, Зимбабве.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(**)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Брюксел и Люксембург = 100.</w:t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</w:tbl>
    <w:p>
      <w:pPr>
        <w:widowControl/>
        <w:spacing w:after="200" w:line="276" w:lineRule="auto"/>
        <w:rPr>
          <w:noProof/>
        </w:rPr>
      </w:pPr>
    </w:p>
    <w:p>
      <w:pPr>
        <w:widowControl/>
        <w:spacing w:before="120" w:line="240" w:lineRule="auto"/>
        <w:jc w:val="center"/>
        <w:rPr>
          <w:rFonts w:cstheme="minorBidi"/>
          <w:b/>
          <w:i/>
          <w:noProof/>
          <w:szCs w:val="24"/>
        </w:rPr>
      </w:pPr>
      <w:r>
        <w:rPr>
          <w:rFonts w:cstheme="minorBidi"/>
          <w:b/>
          <w:i/>
          <w:noProof/>
        </w:rPr>
        <w:t>ПРИЛОЖЕНИЕ IV</w:t>
      </w:r>
    </w:p>
    <w:p>
      <w:pPr>
        <w:widowControl/>
        <w:spacing w:before="120" w:line="240" w:lineRule="auto"/>
        <w:jc w:val="center"/>
        <w:rPr>
          <w:rFonts w:cstheme="minorBidi"/>
          <w:b/>
          <w:i/>
          <w:noProof/>
          <w:szCs w:val="24"/>
          <w:u w:val="single"/>
        </w:rPr>
      </w:pPr>
      <w:r>
        <w:rPr>
          <w:rFonts w:cstheme="minorBidi"/>
          <w:b/>
          <w:i/>
          <w:noProof/>
          <w:u w:val="single"/>
        </w:rPr>
        <w:t>Вече публикувано в ОВ C/193 от 11 юни 2015 г.</w:t>
      </w:r>
    </w:p>
    <w:p>
      <w:pPr>
        <w:widowControl/>
        <w:spacing w:before="120" w:line="240" w:lineRule="auto"/>
        <w:jc w:val="center"/>
        <w:rPr>
          <w:rFonts w:cstheme="minorBidi"/>
          <w:b/>
          <w:i/>
          <w:noProof/>
          <w:szCs w:val="24"/>
        </w:rPr>
      </w:pPr>
    </w:p>
    <w:p>
      <w:pPr>
        <w:widowControl/>
        <w:spacing w:before="120" w:line="240" w:lineRule="auto"/>
        <w:jc w:val="center"/>
        <w:rPr>
          <w:rFonts w:cstheme="minorBidi"/>
          <w:b/>
          <w:i/>
          <w:noProof/>
          <w:szCs w:val="24"/>
        </w:rPr>
      </w:pPr>
    </w:p>
    <w:p>
      <w:pPr>
        <w:widowControl/>
        <w:spacing w:before="120" w:line="240" w:lineRule="auto"/>
        <w:jc w:val="center"/>
        <w:rPr>
          <w:rFonts w:cstheme="minorBidi"/>
          <w:b/>
          <w:noProof/>
          <w:szCs w:val="24"/>
        </w:rPr>
      </w:pPr>
      <w:r>
        <w:rPr>
          <w:rFonts w:cstheme="minorBidi"/>
          <w:b/>
          <w:i/>
          <w:noProof/>
          <w:szCs w:val="24"/>
        </w:rPr>
        <w:br/>
      </w:r>
      <w:r>
        <w:rPr>
          <w:rFonts w:cstheme="minorBidi"/>
          <w:b/>
          <w:noProof/>
        </w:rPr>
        <w:t xml:space="preserve">МЕЖДИННО АКТУАЛИЗИРАНЕ </w:t>
      </w:r>
    </w:p>
    <w:p>
      <w:pPr>
        <w:widowControl/>
        <w:spacing w:before="120" w:line="240" w:lineRule="auto"/>
        <w:jc w:val="center"/>
        <w:rPr>
          <w:rFonts w:cstheme="minorBidi"/>
          <w:b/>
          <w:noProof/>
          <w:szCs w:val="24"/>
        </w:rPr>
      </w:pPr>
      <w:r>
        <w:rPr>
          <w:rFonts w:cstheme="minorBidi"/>
          <w:b/>
          <w:noProof/>
        </w:rPr>
        <w:t>на корекционните коефициенти, приложими от 1 януари 2015</w:t>
      </w:r>
      <w:r>
        <w:rPr>
          <w:rFonts w:cstheme="minorBidi"/>
          <w:b/>
          <w:noProof/>
          <w:lang w:val="en-GB"/>
        </w:rPr>
        <w:t> </w:t>
      </w:r>
      <w:r>
        <w:rPr>
          <w:rFonts w:cstheme="minorBidi"/>
          <w:b/>
          <w:noProof/>
        </w:rPr>
        <w:t xml:space="preserve">г. към възнагражденията и пенсиите на </w:t>
      </w:r>
    </w:p>
    <w:p>
      <w:pPr>
        <w:widowControl/>
        <w:spacing w:before="120" w:line="240" w:lineRule="auto"/>
        <w:jc w:val="center"/>
        <w:rPr>
          <w:rFonts w:cstheme="minorBidi"/>
          <w:b/>
          <w:noProof/>
          <w:szCs w:val="24"/>
        </w:rPr>
      </w:pPr>
      <w:r>
        <w:rPr>
          <w:rFonts w:cstheme="minorBidi"/>
          <w:b/>
          <w:noProof/>
        </w:rPr>
        <w:t>длъжностните лица и другите служители на Европейския съюз</w:t>
      </w:r>
      <w:r>
        <w:rPr>
          <w:rFonts w:cstheme="minorBidi"/>
          <w:b/>
          <w:noProof/>
          <w:vertAlign w:val="superscript"/>
        </w:rPr>
        <w:footnoteReference w:id="5"/>
      </w:r>
    </w:p>
    <w:p>
      <w:pPr>
        <w:widowControl/>
        <w:spacing w:before="120" w:line="240" w:lineRule="auto"/>
        <w:jc w:val="center"/>
        <w:rPr>
          <w:rFonts w:cstheme="minorBidi"/>
          <w:iCs/>
          <w:noProof/>
          <w:sz w:val="32"/>
          <w:szCs w:val="32"/>
        </w:rPr>
      </w:pPr>
      <w:r>
        <w:rPr>
          <w:rFonts w:cstheme="minorBidi"/>
          <w:i/>
          <w:iCs/>
          <w:noProof/>
          <w:sz w:val="32"/>
          <w:szCs w:val="32"/>
        </w:rPr>
        <w:br/>
      </w:r>
    </w:p>
    <w:tbl>
      <w:tblPr>
        <w:tblW w:w="0" w:type="auto"/>
        <w:jc w:val="center"/>
        <w:tblInd w:w="1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854"/>
        <w:gridCol w:w="2561"/>
      </w:tblGrid>
      <w:tr>
        <w:trPr>
          <w:jc w:val="center"/>
        </w:trPr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widowControl/>
              <w:spacing w:before="40" w:after="40" w:line="240" w:lineRule="auto"/>
              <w:jc w:val="center"/>
              <w:rPr>
                <w:rFonts w:eastAsiaTheme="minorHAnsi" w:cstheme="minorBidi"/>
                <w:b/>
                <w:bCs/>
                <w:noProof/>
                <w:sz w:val="22"/>
                <w:szCs w:val="22"/>
              </w:rPr>
            </w:pPr>
            <w:r>
              <w:rPr>
                <w:rFonts w:eastAsiaTheme="minorHAnsi" w:cstheme="minorBidi"/>
                <w:b/>
                <w:noProof/>
                <w:sz w:val="22"/>
              </w:rPr>
              <w:t>Място на работа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widowControl/>
              <w:spacing w:before="40" w:after="40" w:line="240" w:lineRule="auto"/>
              <w:jc w:val="center"/>
              <w:rPr>
                <w:rFonts w:eastAsiaTheme="minorHAnsi" w:cstheme="minorBidi"/>
                <w:b/>
                <w:bCs/>
                <w:noProof/>
                <w:sz w:val="22"/>
                <w:szCs w:val="22"/>
              </w:rPr>
            </w:pPr>
            <w:r>
              <w:rPr>
                <w:rFonts w:eastAsiaTheme="minorHAnsi" w:cstheme="minorBidi"/>
                <w:b/>
                <w:noProof/>
                <w:sz w:val="22"/>
              </w:rPr>
              <w:t>Корекционен коефициент за възнагражденията</w:t>
            </w:r>
          </w:p>
        </w:tc>
      </w:tr>
      <w:tr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widowControl/>
              <w:spacing w:before="40" w:after="40" w:line="240" w:lineRule="auto"/>
              <w:rPr>
                <w:rFonts w:eastAsiaTheme="minorHAnsi" w:cstheme="minorBidi"/>
                <w:noProof/>
                <w:sz w:val="22"/>
                <w:szCs w:val="22"/>
              </w:rPr>
            </w:pPr>
            <w:r>
              <w:rPr>
                <w:rFonts w:eastAsiaTheme="minorHAnsi" w:cstheme="minorBidi"/>
                <w:noProof/>
                <w:sz w:val="22"/>
              </w:rPr>
              <w:t>EL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widowControl/>
              <w:spacing w:before="40" w:after="40" w:line="240" w:lineRule="auto"/>
              <w:rPr>
                <w:rFonts w:eastAsiaTheme="minorHAnsi" w:cstheme="minorBidi"/>
                <w:noProof/>
                <w:sz w:val="22"/>
                <w:szCs w:val="22"/>
              </w:rPr>
            </w:pPr>
            <w:r>
              <w:rPr>
                <w:rFonts w:eastAsiaTheme="minorHAnsi" w:cstheme="minorBidi"/>
                <w:noProof/>
                <w:sz w:val="22"/>
              </w:rPr>
              <w:t xml:space="preserve">Атина 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widowControl/>
              <w:spacing w:before="40" w:after="40" w:line="240" w:lineRule="auto"/>
              <w:jc w:val="center"/>
              <w:rPr>
                <w:rFonts w:eastAsiaTheme="minorHAnsi" w:cstheme="minorBidi"/>
                <w:noProof/>
                <w:sz w:val="22"/>
                <w:szCs w:val="22"/>
              </w:rPr>
            </w:pPr>
            <w:r>
              <w:rPr>
                <w:rFonts w:eastAsiaTheme="minorHAnsi" w:cstheme="minorBidi"/>
                <w:noProof/>
                <w:sz w:val="22"/>
              </w:rPr>
              <w:t>83,8</w:t>
            </w:r>
          </w:p>
        </w:tc>
      </w:tr>
      <w:tr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40" w:after="40" w:line="240" w:lineRule="auto"/>
              <w:rPr>
                <w:rFonts w:eastAsiaTheme="minorHAnsi" w:cstheme="minorBidi"/>
                <w:noProof/>
                <w:sz w:val="22"/>
                <w:szCs w:val="22"/>
              </w:rPr>
            </w:pPr>
            <w:r>
              <w:rPr>
                <w:rFonts w:eastAsiaTheme="minorHAnsi" w:cstheme="minorBidi"/>
                <w:noProof/>
                <w:sz w:val="22"/>
              </w:rPr>
              <w:t>CY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40" w:after="40" w:line="240" w:lineRule="auto"/>
              <w:rPr>
                <w:rFonts w:eastAsiaTheme="minorHAnsi" w:cstheme="minorBidi"/>
                <w:noProof/>
                <w:sz w:val="22"/>
                <w:szCs w:val="22"/>
              </w:rPr>
            </w:pPr>
            <w:r>
              <w:rPr>
                <w:rFonts w:eastAsiaTheme="minorHAnsi" w:cstheme="minorBidi"/>
                <w:noProof/>
                <w:sz w:val="22"/>
              </w:rPr>
              <w:t>Никозия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40" w:after="40" w:line="240" w:lineRule="auto"/>
              <w:jc w:val="center"/>
              <w:rPr>
                <w:rFonts w:eastAsiaTheme="minorHAnsi" w:cstheme="minorBidi"/>
                <w:noProof/>
                <w:sz w:val="22"/>
                <w:szCs w:val="22"/>
              </w:rPr>
            </w:pPr>
            <w:r>
              <w:rPr>
                <w:rFonts w:eastAsiaTheme="minorHAnsi" w:cstheme="minorBidi"/>
                <w:noProof/>
                <w:sz w:val="22"/>
              </w:rPr>
              <w:t>78,4</w:t>
            </w:r>
          </w:p>
        </w:tc>
      </w:tr>
      <w:tr>
        <w:trPr>
          <w:jc w:val="center"/>
        </w:trPr>
        <w:tc>
          <w:tcPr>
            <w:tcW w:w="444" w:type="dxa"/>
            <w:vAlign w:val="center"/>
            <w:hideMark/>
          </w:tcPr>
          <w:p>
            <w:pPr>
              <w:widowControl/>
              <w:spacing w:after="200" w:line="240" w:lineRule="auto"/>
              <w:rPr>
                <w:rFonts w:cstheme="minorBidi"/>
                <w:noProof/>
                <w:sz w:val="20"/>
              </w:rPr>
            </w:pPr>
          </w:p>
        </w:tc>
        <w:tc>
          <w:tcPr>
            <w:tcW w:w="1488" w:type="dxa"/>
            <w:vAlign w:val="center"/>
            <w:hideMark/>
          </w:tcPr>
          <w:p>
            <w:pPr>
              <w:widowControl/>
              <w:spacing w:after="200" w:line="240" w:lineRule="auto"/>
              <w:rPr>
                <w:rFonts w:cstheme="minorBidi"/>
                <w:noProof/>
                <w:sz w:val="20"/>
              </w:rPr>
            </w:pPr>
          </w:p>
        </w:tc>
        <w:tc>
          <w:tcPr>
            <w:tcW w:w="2052" w:type="dxa"/>
            <w:vAlign w:val="center"/>
            <w:hideMark/>
          </w:tcPr>
          <w:p>
            <w:pPr>
              <w:widowControl/>
              <w:spacing w:after="200" w:line="240" w:lineRule="auto"/>
              <w:rPr>
                <w:rFonts w:cstheme="minorBidi"/>
                <w:noProof/>
                <w:sz w:val="20"/>
              </w:rPr>
            </w:pPr>
          </w:p>
        </w:tc>
      </w:tr>
    </w:tbl>
    <w:p>
      <w:pPr>
        <w:widowControl/>
        <w:spacing w:before="120" w:line="240" w:lineRule="auto"/>
        <w:jc w:val="center"/>
        <w:rPr>
          <w:rFonts w:cstheme="minorBidi"/>
          <w:iCs/>
          <w:noProof/>
          <w:sz w:val="32"/>
          <w:szCs w:val="32"/>
        </w:rPr>
      </w:pPr>
    </w:p>
    <w:p>
      <w:pPr>
        <w:widowControl/>
        <w:spacing w:after="200" w:line="276" w:lineRule="auto"/>
        <w:rPr>
          <w:noProof/>
        </w:rPr>
      </w:pPr>
      <w:r>
        <w:rPr>
          <w:noProof/>
        </w:rPr>
        <w:br w:type="page"/>
      </w:r>
    </w:p>
    <w:tbl>
      <w:tblPr>
        <w:tblpPr w:leftFromText="180" w:rightFromText="180" w:vertAnchor="page" w:horzAnchor="margin" w:tblpY="965"/>
        <w:tblW w:w="9180" w:type="dxa"/>
        <w:tblLayout w:type="fixed"/>
        <w:tblLook w:val="04A0" w:firstRow="1" w:lastRow="0" w:firstColumn="1" w:lastColumn="0" w:noHBand="0" w:noVBand="1"/>
      </w:tblPr>
      <w:tblGrid>
        <w:gridCol w:w="2518"/>
        <w:gridCol w:w="2679"/>
        <w:gridCol w:w="2309"/>
        <w:gridCol w:w="1674"/>
      </w:tblGrid>
      <w:tr>
        <w:trPr>
          <w:trHeight w:val="40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i/>
                <w:noProof/>
                <w:szCs w:val="24"/>
              </w:rPr>
            </w:pPr>
            <w:r>
              <w:rPr>
                <w:b/>
                <w:i/>
                <w:noProof/>
              </w:rPr>
              <w:t>ПРИЛОЖЕНИЕ V</w:t>
            </w:r>
          </w:p>
          <w:p>
            <w:pPr>
              <w:widowControl/>
              <w:spacing w:before="120" w:line="240" w:lineRule="auto"/>
              <w:jc w:val="center"/>
              <w:rPr>
                <w:b/>
                <w:i/>
                <w:noProof/>
                <w:szCs w:val="24"/>
                <w:u w:val="single"/>
              </w:rPr>
            </w:pPr>
            <w:r>
              <w:rPr>
                <w:b/>
                <w:i/>
                <w:noProof/>
                <w:u w:val="single"/>
              </w:rPr>
              <w:t>Публикувано в ОВ C/193 от 11 юни 2015 г.</w:t>
            </w:r>
            <w:r>
              <w:rPr>
                <w:b/>
                <w:i/>
                <w:noProof/>
                <w:szCs w:val="24"/>
                <w:u w:val="single"/>
              </w:rPr>
              <w:br/>
            </w:r>
          </w:p>
          <w:p>
            <w:pPr>
              <w:widowControl/>
              <w:spacing w:before="120" w:line="240" w:lineRule="auto"/>
              <w:jc w:val="center"/>
              <w:rPr>
                <w:b/>
                <w:noProof/>
                <w:szCs w:val="24"/>
              </w:rPr>
            </w:pPr>
          </w:p>
          <w:p>
            <w:pPr>
              <w:widowControl/>
              <w:spacing w:before="120" w:line="240" w:lineRule="auto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 xml:space="preserve">МЕЖДИННО АКТУАЛИЗИРАНЕ </w:t>
            </w:r>
          </w:p>
          <w:p>
            <w:pPr>
              <w:widowControl/>
              <w:spacing w:before="120" w:line="240" w:lineRule="auto"/>
              <w:jc w:val="center"/>
              <w:rPr>
                <w:i/>
                <w:iCs/>
                <w:noProof/>
                <w:sz w:val="32"/>
                <w:szCs w:val="32"/>
              </w:rPr>
            </w:pPr>
            <w:r>
              <w:rPr>
                <w:b/>
                <w:noProof/>
              </w:rPr>
              <w:t>НА КОРЕКЦИОННИТЕ КОЕФИЦИЕНТИ, ПРИЛОЖИМИ КЪМ</w:t>
            </w:r>
            <w:r>
              <w:rPr>
                <w:noProof/>
              </w:rPr>
              <w:br/>
            </w:r>
            <w:r>
              <w:rPr>
                <w:b/>
                <w:noProof/>
              </w:rPr>
              <w:t xml:space="preserve"> ВЪЗНАГРАЖДЕНИЯТА НА ДЛЪЖНОСТНИТЕ ЛИЦА, СРОЧНО НАЕТИТЕ СЛУЖИТЕЛИ</w:t>
            </w:r>
            <w:r>
              <w:rPr>
                <w:noProof/>
              </w:rPr>
              <w:br/>
            </w:r>
            <w:r>
              <w:rPr>
                <w:b/>
                <w:noProof/>
              </w:rPr>
              <w:t xml:space="preserve"> И ДОГОВОРНО НАЕТИТЕ СЛУЖИТЕЛИ НА ЕВРОПЕЙСКИЯ СЪЮЗ, СЛУЖЕЩИ В ТРЕТИ ДЪРЖАВИ</w:t>
            </w:r>
            <w:r>
              <w:rPr>
                <w:b/>
                <w:noProof/>
                <w:vertAlign w:val="superscript"/>
              </w:rPr>
              <w:footnoteReference w:id="6"/>
            </w:r>
          </w:p>
          <w:p>
            <w:pPr>
              <w:widowControl/>
              <w:spacing w:before="120" w:line="240" w:lineRule="auto"/>
              <w:jc w:val="center"/>
              <w:rPr>
                <w:i/>
                <w:iCs/>
                <w:noProof/>
                <w:sz w:val="32"/>
                <w:szCs w:val="32"/>
              </w:rPr>
            </w:pPr>
            <w:r>
              <w:rPr>
                <w:noProof/>
              </w:rPr>
              <w:br/>
            </w:r>
            <w:r>
              <w:rPr>
                <w:i/>
                <w:noProof/>
                <w:sz w:val="32"/>
              </w:rPr>
              <w:t>АВГУСТ 2014 г.</w:t>
            </w:r>
          </w:p>
        </w:tc>
      </w:tr>
      <w:tr>
        <w:trPr>
          <w:trHeight w:val="6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МЯСТО НА РАБОТА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Икономически паритет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Август 2014 г.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Обменен курс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Август 2014 г. (*)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Корекционен коефициент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Август 2014 г. (**)</w:t>
            </w:r>
          </w:p>
        </w:tc>
      </w:tr>
      <w:tr>
        <w:trPr>
          <w:trHeight w:val="28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Чили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382,1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755,120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50,6</w:t>
            </w:r>
          </w:p>
        </w:tc>
      </w:tr>
      <w:tr>
        <w:trPr>
          <w:trHeight w:val="28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Япония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131,9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137,050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96,2</w:t>
            </w:r>
          </w:p>
        </w:tc>
      </w:tr>
      <w:tr>
        <w:trPr>
          <w:trHeight w:val="28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Либерия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1,286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1,34010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96,0</w:t>
            </w:r>
          </w:p>
        </w:tc>
      </w:tr>
      <w:tr>
        <w:trPr>
          <w:trHeight w:val="28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</w:tr>
      <w:tr>
        <w:trPr>
          <w:trHeight w:val="30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4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(*) 1 EUR = x единици местна валута, с изключение на USD за: Куба, Ел Салвадор, Еквадор, Либерия, Панама, ДР Конго, Източен Тимор.</w:t>
            </w:r>
          </w:p>
        </w:tc>
      </w:tr>
      <w:tr>
        <w:trPr>
          <w:trHeight w:val="42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4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(**) Брюксел и Люксембург = 100.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28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80" w:line="240" w:lineRule="auto"/>
              <w:jc w:val="center"/>
              <w:rPr>
                <w:i/>
                <w:iCs/>
                <w:noProof/>
                <w:sz w:val="32"/>
                <w:szCs w:val="32"/>
              </w:rPr>
            </w:pPr>
            <w:r>
              <w:rPr>
                <w:i/>
                <w:noProof/>
                <w:sz w:val="32"/>
              </w:rPr>
              <w:t>СЕПТЕМВРИ 2014 г.</w:t>
            </w:r>
          </w:p>
        </w:tc>
      </w:tr>
      <w:tr>
        <w:trPr>
          <w:trHeight w:val="6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МЯСТО НА РАБОТА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Икономически паритет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Септември 2014 г.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Обменен курс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Септември 2014 г. (*)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Корекционен коефициент</w:t>
            </w:r>
            <w:r>
              <w:rPr>
                <w:b/>
                <w:noProof/>
                <w:sz w:val="16"/>
              </w:rPr>
              <w:br/>
              <w:t>Септември 2014</w:t>
            </w:r>
            <w:r>
              <w:rPr>
                <w:b/>
                <w:noProof/>
                <w:sz w:val="16"/>
                <w:lang w:val="en-GB"/>
              </w:rPr>
              <w:t> </w:t>
            </w:r>
            <w:r>
              <w:rPr>
                <w:b/>
                <w:noProof/>
                <w:sz w:val="16"/>
              </w:rPr>
              <w:t>г. (**)</w:t>
            </w:r>
          </w:p>
        </w:tc>
      </w:tr>
      <w:tr>
        <w:trPr>
          <w:trHeight w:val="28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Египет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6,398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9,45165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67,7</w:t>
            </w:r>
          </w:p>
        </w:tc>
      </w:tr>
      <w:tr>
        <w:trPr>
          <w:trHeight w:val="28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Мозамбик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31,06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39,7600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78,1</w:t>
            </w:r>
          </w:p>
        </w:tc>
      </w:tr>
      <w:tr>
        <w:trPr>
          <w:trHeight w:val="28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Източен Тимор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1,320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1,31780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100,2</w:t>
            </w:r>
          </w:p>
        </w:tc>
      </w:tr>
      <w:tr>
        <w:trPr>
          <w:trHeight w:val="28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Венецуела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13,05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8,29173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157,4</w:t>
            </w:r>
          </w:p>
        </w:tc>
      </w:tr>
      <w:tr>
        <w:trPr>
          <w:trHeight w:val="28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</w:tr>
      <w:tr>
        <w:trPr>
          <w:trHeight w:val="30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4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(*) 1 EUR = x единици местна валута, с изключение на USD за: Куба, Ел Салвадор, Еквадор, Либерия, Панама, ДР Конго, Източен Тимор.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4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(**) Брюксел и Люксембург = 100.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40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center"/>
              <w:rPr>
                <w:i/>
                <w:iCs/>
                <w:noProof/>
                <w:sz w:val="32"/>
                <w:szCs w:val="32"/>
              </w:rPr>
            </w:pPr>
            <w:r>
              <w:rPr>
                <w:i/>
                <w:noProof/>
                <w:sz w:val="32"/>
              </w:rPr>
              <w:t>ОКТОМВРИ 2014 г.</w:t>
            </w:r>
          </w:p>
        </w:tc>
      </w:tr>
      <w:tr>
        <w:trPr>
          <w:trHeight w:val="6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МЯСТО НА РАБОТА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Икономически паритет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Октомври 2014 г.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Обменен курс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Октомври 2014 г. (*)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Корекционен коефициент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Октомври 2014 г. (**)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Бразилия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3,270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3,14310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104,0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Чили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405,9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760,625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53,4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Либерия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1,351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1,27010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106,4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Мадагаскар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2891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3182,21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90,8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Норвегия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11,50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8,19600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140,3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Узбекистан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2525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3001,84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84,1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Венецуела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13,99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7,99160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175,1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</w:tr>
      <w:tr>
        <w:trPr>
          <w:trHeight w:val="30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(*) 1 EUR = x единици местна валута, с изключение на USD за: Куба, Ел Салвадор, Еквадор, Либерия, Панама, ДР Конго, Източен Тимор.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(**) Брюксел и Люксембург = 100.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40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center"/>
              <w:rPr>
                <w:i/>
                <w:iCs/>
                <w:noProof/>
                <w:sz w:val="32"/>
                <w:szCs w:val="32"/>
              </w:rPr>
            </w:pPr>
            <w:r>
              <w:rPr>
                <w:i/>
                <w:noProof/>
                <w:sz w:val="32"/>
              </w:rPr>
              <w:t>НОЕМВРИ 2014 г.</w:t>
            </w:r>
          </w:p>
        </w:tc>
      </w:tr>
      <w:tr>
        <w:trPr>
          <w:trHeight w:val="8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МЯСТО НА РАБОТА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Икономически паритет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Ноември 2014 г.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Обменен курс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Ноември 2014 г. (*)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Корекционен коефициент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Ноември 2014</w:t>
            </w:r>
            <w:r>
              <w:rPr>
                <w:b/>
                <w:noProof/>
                <w:sz w:val="16"/>
                <w:lang w:val="en-GB"/>
              </w:rPr>
              <w:t> </w:t>
            </w:r>
            <w:r>
              <w:rPr>
                <w:b/>
                <w:noProof/>
                <w:sz w:val="16"/>
              </w:rPr>
              <w:t>г. (**)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Канада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1,368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1,40740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97,2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Коста Рика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541,3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678,913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79,7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Гана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2,515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4,06355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61,9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Украйна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9,245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16,3156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56,7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Венецуела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14,96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7,92679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188,7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</w:tr>
      <w:tr>
        <w:trPr>
          <w:trHeight w:val="30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(*) 1 EUR = x единици местна валута, с изключение на USD за: Куба, Ел Салвадор, Еквадор, Либерия, Панама, ДР Конго, Източен Тимор.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(**) Брюксел и Люксембург = 100.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40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center"/>
              <w:rPr>
                <w:i/>
                <w:iCs/>
                <w:noProof/>
                <w:sz w:val="32"/>
                <w:szCs w:val="32"/>
              </w:rPr>
            </w:pPr>
            <w:r>
              <w:rPr>
                <w:i/>
                <w:noProof/>
                <w:sz w:val="32"/>
              </w:rPr>
              <w:t>ДЕКЕМВРИ 2014 г.</w:t>
            </w:r>
          </w:p>
        </w:tc>
      </w:tr>
      <w:tr>
        <w:trPr>
          <w:trHeight w:val="8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МЯСТО НА РАБОТА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Икономически паритет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Декември 2014 г.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Обменен курс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Декември 2014 г. (*)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Корекционен коефициент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Декември 2014 г. (**)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Централноафриканска република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732,1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655,957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111,6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Куба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1,043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1,24800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83,6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Исландия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182,9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154,070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118,7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Киргизстан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53,44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71,8550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74,4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Малави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349,2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619,615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56,4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Южен Судан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4,055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3,68160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110,1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Судан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9,182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7,76543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118,2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Узбекистан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2666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2996,56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89,0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Венецуела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16,00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7,85254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203,8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Йемен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278,8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268,183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104,0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</w:tr>
      <w:tr>
        <w:trPr>
          <w:trHeight w:val="30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(*) 1 EUR = x единици местна валута, с изключение на USD за: Куба, Ел Салвадор, Еквадор, Либерия, Панама, ДР Конго, Източен Тимор.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(**) Брюксел и Люксембург = 100.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  <w:tr>
        <w:trPr>
          <w:trHeight w:val="40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center"/>
              <w:rPr>
                <w:i/>
                <w:iCs/>
                <w:noProof/>
                <w:sz w:val="32"/>
                <w:szCs w:val="32"/>
              </w:rPr>
            </w:pPr>
            <w:r>
              <w:rPr>
                <w:i/>
                <w:noProof/>
                <w:sz w:val="32"/>
              </w:rPr>
              <w:t>ЯНУАРИ 2015 г.</w:t>
            </w:r>
          </w:p>
        </w:tc>
      </w:tr>
      <w:tr>
        <w:trPr>
          <w:trHeight w:val="8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МЯСТО НА РАБОТА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Икономически паритет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Януари 2015 г.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Обменен курс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Януари 2015 г. (*)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Корекционен коефициент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Януари 2015 г. (**)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Беларус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8640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13440,0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64,3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Бразилия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3,492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3,23940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107,8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Коста Рика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509,4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655,467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77,7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Еритрея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24,99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19,0638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131,1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Индонезия (Банда Асех)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10384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15099,7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68,8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Индонезия (Джакарта)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11307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15099,7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74,9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Мадагаскар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3041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3166,69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96,0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Непал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98,03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124,455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78,8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Южна Корея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1298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1334,19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97,3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Южен Судан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3,820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3,58720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106,5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Свазиленд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7,829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14,1487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55,3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Източен Тимор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1,240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1,21600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102,0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Венецуела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16,96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7,65119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0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221,7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before="120" w:line="240" w:lineRule="auto"/>
              <w:jc w:val="right"/>
              <w:rPr>
                <w:noProof/>
                <w:sz w:val="16"/>
                <w:szCs w:val="16"/>
              </w:rPr>
            </w:pPr>
          </w:p>
        </w:tc>
      </w:tr>
      <w:tr>
        <w:trPr>
          <w:trHeight w:val="30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(*) 1 EUR = x единици местна валута, с изключение на USD за: Куба, Ел Салвадор, Еквадор, Либерия, Панама, ДР Конго, Източен Тимор.</w:t>
            </w:r>
          </w:p>
        </w:tc>
      </w:tr>
      <w:tr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(**) Брюксел и Люксембург = 100.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spacing w:before="120" w:line="240" w:lineRule="auto"/>
              <w:jc w:val="both"/>
              <w:rPr>
                <w:rFonts w:cs="Calibri"/>
                <w:noProof/>
                <w:color w:val="000000"/>
                <w:szCs w:val="24"/>
              </w:rPr>
            </w:pPr>
          </w:p>
        </w:tc>
      </w:tr>
    </w:tbl>
    <w:p>
      <w:pPr>
        <w:rPr>
          <w:noProof/>
        </w:rPr>
      </w:pPr>
    </w:p>
    <w:sectPr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90373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FootnoteText"/>
        <w:rPr>
          <w:sz w:val="20"/>
        </w:rPr>
      </w:pPr>
      <w:r>
        <w:rPr>
          <w:rStyle w:val="FootnoteReference"/>
          <w:rFonts w:eastAsiaTheme="majorEastAsia"/>
          <w:sz w:val="20"/>
        </w:rPr>
        <w:footnoteRef/>
      </w:r>
      <w:r>
        <w:rPr>
          <w:sz w:val="20"/>
        </w:rPr>
        <w:tab/>
        <w:t>Регламент (EОВС, EИО, Eвратом) № 300/76 на Съвета от 9 февруари 1976 г. за определяне на категориите длъжностни лица, които имат право на надбавки за работа на смени, и размера и условията за това (ОВ L 38, 13.2.1976 г., стр. 1).</w:t>
      </w:r>
      <w:r>
        <w:rPr>
          <w:rStyle w:val="FootnoteReference"/>
          <w:rFonts w:eastAsiaTheme="majorEastAsia"/>
          <w:sz w:val="20"/>
        </w:rPr>
        <w:t xml:space="preserve"> </w:t>
      </w:r>
      <w:r>
        <w:rPr>
          <w:sz w:val="20"/>
        </w:rPr>
        <w:t>Регламент, допълнен с Регламент (Евратом, ЕОВС, ЕИО) № 1307/87 (ОВ L 124, 13.5.1987 г., стр. 6).</w:t>
      </w:r>
    </w:p>
  </w:footnote>
  <w:footnote w:id="2">
    <w:p>
      <w:pPr>
        <w:pStyle w:val="FootnoteText"/>
        <w:rPr>
          <w:sz w:val="20"/>
        </w:rPr>
      </w:pPr>
      <w:r>
        <w:rPr>
          <w:rStyle w:val="FootnoteReference"/>
          <w:rFonts w:eastAsiaTheme="majorEastAsia"/>
          <w:sz w:val="20"/>
        </w:rPr>
        <w:footnoteRef/>
      </w:r>
      <w:r>
        <w:rPr>
          <w:sz w:val="20"/>
        </w:rPr>
        <w:tab/>
        <w:t>Регламент (EИО, Eвратом, EОВС) № 260/68 на Съвета от 29 февруари 1968 г. относно определяне на условията и процедурата за прилагане на данъка в полза на Европейските общности (ОВ L 56, 4.3.1968 г., стр. 8).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lang w:eastAsia="fr-BE" w:bidi="ar-SA"/>
        </w:rPr>
        <w:t>Доклад на Евростат от 22 октомври 2015</w:t>
      </w:r>
      <w:r>
        <w:rPr>
          <w:sz w:val="20"/>
          <w:lang w:val="en-GB" w:eastAsia="fr-BE" w:bidi="ar-SA"/>
        </w:rPr>
        <w:t> </w:t>
      </w:r>
      <w:r>
        <w:rPr>
          <w:sz w:val="20"/>
          <w:lang w:eastAsia="fr-BE" w:bidi="ar-SA"/>
        </w:rPr>
        <w:t>г. относно годишното актуализиране за 2015</w:t>
      </w:r>
      <w:r>
        <w:rPr>
          <w:sz w:val="20"/>
          <w:lang w:val="en-GB" w:eastAsia="fr-BE" w:bidi="ar-SA"/>
        </w:rPr>
        <w:t> </w:t>
      </w:r>
      <w:r>
        <w:rPr>
          <w:sz w:val="20"/>
          <w:lang w:eastAsia="fr-BE" w:bidi="ar-SA"/>
        </w:rPr>
        <w:t>г. на възнагражденията и пенсиите на длъжностните лица на ЕС в съответствие с членове 64 и 65 и приложение</w:t>
      </w:r>
      <w:r>
        <w:rPr>
          <w:sz w:val="20"/>
          <w:lang w:val="en-GB" w:eastAsia="fr-BE" w:bidi="ar-SA"/>
        </w:rPr>
        <w:t> XI</w:t>
      </w:r>
      <w:r>
        <w:rPr>
          <w:sz w:val="20"/>
          <w:lang w:eastAsia="fr-BE" w:bidi="ar-SA"/>
        </w:rPr>
        <w:t xml:space="preserve"> към Правилника за персонала, приложим за длъжностните лица и другите служители на Европейския съюз, за адаптиране, считано от 1 юли 2015 г., на възнагражденията на активно заетия персонал и на пенсиите на пенсионираните служители и за актуализиране, считано от 1 юли 2015</w:t>
      </w:r>
      <w:r>
        <w:rPr>
          <w:sz w:val="20"/>
          <w:lang w:val="en-GB" w:eastAsia="fr-BE" w:bidi="ar-SA"/>
        </w:rPr>
        <w:t> </w:t>
      </w:r>
      <w:r>
        <w:rPr>
          <w:sz w:val="20"/>
          <w:lang w:eastAsia="fr-BE" w:bidi="ar-SA"/>
        </w:rPr>
        <w:t>г., на корекционните коефициенти, прилагани към възнагражденията на активно заетия персонал с месторабота в ЕС и извън ЕС, към пенсиите на пенсионираните служители в зависимост от държавата им на пребиваване и за прехвърлянето на пенсии (</w:t>
      </w:r>
      <w:r>
        <w:rPr>
          <w:sz w:val="20"/>
          <w:lang w:val="en-GB" w:eastAsia="fr-BE" w:bidi="ar-SA"/>
        </w:rPr>
        <w:t>Ares</w:t>
      </w:r>
      <w:r>
        <w:rPr>
          <w:sz w:val="20"/>
          <w:lang w:eastAsia="fr-BE" w:bidi="ar-SA"/>
        </w:rPr>
        <w:t>(2015)4498187).</w:t>
      </w:r>
      <w:r>
        <w:rPr>
          <w:sz w:val="20"/>
          <w:lang w:eastAsia="fr-BE" w:bidi="ar-SA"/>
        </w:rPr>
        <w:br/>
      </w:r>
      <w:r>
        <w:rPr>
          <w:sz w:val="20"/>
          <w:lang w:val="en-GB" w:eastAsia="fr-BE" w:bidi="ar-SA"/>
        </w:rPr>
        <w:t>Допълнителна информация относно методиката може да бъде намерена на уебсайта на Евростат („Statistics Database“ &gt; „Economy and finance“ &gt; „Prices“ &gt; „Correction coefficients“).</w:t>
      </w:r>
    </w:p>
  </w:footnote>
  <w:footnote w:id="4">
    <w:p>
      <w:pPr>
        <w:pStyle w:val="FootnoteText"/>
        <w:rPr>
          <w:sz w:val="20"/>
        </w:rPr>
      </w:pPr>
      <w:r>
        <w:rPr>
          <w:rStyle w:val="FootnoteReference"/>
        </w:rPr>
        <w:footnoteRef/>
      </w:r>
      <w:r>
        <w:rPr>
          <w:sz w:val="18"/>
        </w:rPr>
        <w:t xml:space="preserve"> </w:t>
      </w:r>
      <w:r>
        <w:rPr>
          <w:sz w:val="20"/>
        </w:rPr>
        <w:t>Доклад на Евростат от 15 септември 2015</w:t>
      </w:r>
      <w:r>
        <w:rPr>
          <w:sz w:val="20"/>
          <w:lang w:val="en-GB"/>
        </w:rPr>
        <w:t> </w:t>
      </w:r>
      <w:r>
        <w:rPr>
          <w:sz w:val="20"/>
        </w:rPr>
        <w:t>г. относно междинното актуализиране на корекционните коефициенти, приложими към възнагражденията на длъжностните лица, срочно наетите служители и договорно наетите служители на Европейския съюз, работещи в делегации извън ЕС, в съответствие с член 64, приложение X и приложение XI към Правилника за персонала, приложим за длъжностните лица и другите служители на Европейския съюз (Ares(2015)3805783).</w:t>
      </w:r>
      <w:r>
        <w:rPr>
          <w:sz w:val="20"/>
        </w:rPr>
        <w:br/>
        <w:t>Допълнителна информация относно методиката може да бъде намерена на уебсайта на Евростат („Statistics Database“ &gt; „Economy and finance“ &gt; „Prices“ &gt; „Correction coefficients“).</w:t>
      </w:r>
    </w:p>
  </w:footnote>
  <w:footnote w:id="5">
    <w:p>
      <w:pPr>
        <w:pStyle w:val="FootnoteText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</w:rPr>
        <w:t>Съгласно Доклада на Евростат от 20 април 2015 г. относно междинното актуализиране на възнагражденията и пенсиите на длъжностните лица на ЕС в съответствие с членове 64 и 65 и приложение XI към Правилника за персонала, приложим за длъжностните лица и другите служители на Европейския съюз (Ares(2015)1660037).</w:t>
      </w:r>
    </w:p>
    <w:p>
      <w:pPr>
        <w:pStyle w:val="FootnoteText"/>
        <w:rPr>
          <w:sz w:val="20"/>
        </w:rPr>
      </w:pPr>
      <w:r>
        <w:rPr>
          <w:sz w:val="20"/>
        </w:rPr>
        <w:t xml:space="preserve">Повече информация можете да намерите на уебсайта на Евростат </w:t>
      </w:r>
      <w:r>
        <w:rPr>
          <w:sz w:val="18"/>
        </w:rPr>
        <w:t>(</w:t>
      </w:r>
      <w:hyperlink r:id="rId1">
        <w:r>
          <w:rPr>
            <w:rStyle w:val="Hyperlink"/>
            <w:sz w:val="20"/>
          </w:rPr>
          <w:t>http://ec.europa.eu/eurostat</w:t>
        </w:r>
      </w:hyperlink>
      <w:r>
        <w:rPr>
          <w:sz w:val="20"/>
        </w:rPr>
        <w:t xml:space="preserve"> </w:t>
      </w:r>
      <w:r>
        <w:rPr>
          <w:sz w:val="18"/>
        </w:rPr>
        <w:t xml:space="preserve">&gt; </w:t>
      </w:r>
      <w:r>
        <w:rPr>
          <w:sz w:val="20"/>
        </w:rPr>
        <w:t>„Data“ &gt;</w:t>
      </w:r>
      <w:r>
        <w:rPr>
          <w:sz w:val="18"/>
        </w:rPr>
        <w:t xml:space="preserve"> „</w:t>
      </w:r>
      <w:r>
        <w:rPr>
          <w:sz w:val="20"/>
        </w:rPr>
        <w:t>Database“ &gt; „Economy and finance“ &gt; „Prices“ &gt; „Correction coefficients“).</w:t>
      </w:r>
    </w:p>
  </w:footnote>
  <w:footnote w:id="6">
    <w:p>
      <w:pPr>
        <w:pStyle w:val="FootnoteText"/>
        <w:rPr>
          <w:sz w:val="20"/>
        </w:rPr>
      </w:pPr>
      <w:r>
        <w:rPr>
          <w:rStyle w:val="FootnoteReference"/>
        </w:rPr>
        <w:footnoteRef/>
      </w:r>
      <w:r>
        <w:rPr>
          <w:sz w:val="18"/>
        </w:rPr>
        <w:t xml:space="preserve"> </w:t>
      </w:r>
      <w:r>
        <w:rPr>
          <w:sz w:val="20"/>
        </w:rPr>
        <w:t>Съгласно Доклада на Евростат от 17 април 2015</w:t>
      </w:r>
      <w:r>
        <w:rPr>
          <w:sz w:val="20"/>
          <w:lang w:val="en-GB"/>
        </w:rPr>
        <w:t> </w:t>
      </w:r>
      <w:r>
        <w:rPr>
          <w:sz w:val="20"/>
        </w:rPr>
        <w:t>г. относно междинното актуализиране на корекционните коефициенти, приложими към възнагражденията на длъжностните лица, срочно наетите служители и договорно наетите служители на Европейския съюз, работещи в делегации извън ЕС, в съответствие с член 64, приложение X и приложение XI към Правилника за персонала, приложим за длъжностните лица и другите служители на Европейския съюз (Ares(2015)1638258).</w:t>
      </w:r>
      <w:r>
        <w:rPr>
          <w:sz w:val="20"/>
        </w:rPr>
        <w:br/>
      </w:r>
      <w:r>
        <w:rPr>
          <w:sz w:val="20"/>
        </w:rPr>
        <w:br/>
        <w:t>Повече информация можете да намерите на уебсайта на Евростат (</w:t>
      </w:r>
      <w:hyperlink r:id="rId2">
        <w:r>
          <w:rPr>
            <w:rStyle w:val="Hyperlink"/>
            <w:sz w:val="20"/>
          </w:rPr>
          <w:t>http://ec.europa.eu/eurostat</w:t>
        </w:r>
      </w:hyperlink>
      <w:r>
        <w:rPr>
          <w:sz w:val="20"/>
        </w:rPr>
        <w:t xml:space="preserve"> &gt; „Data“ &gt; „Database“ &gt; „Economy and finance“ &gt; „Prices“ &gt; „Correction coefficients“).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5"/>
    <w:docVar w:name="LW_CONFIDENCE" w:val=" "/>
    <w:docVar w:name="LW_CONST_RESTREINT_UE" w:val="RESTREINT UE"/>
    <w:docVar w:name="LW_CORRIGENDUM" w:val="&lt;UNUSED&gt;"/>
    <w:docVar w:name="LW_COVERPAGE_GUID" w:val="617553BF8F604281BFB6A9204249EAF0"/>
    <w:docVar w:name="LW_CROSSREFERENCE" w:val="&lt;UNUSED&gt;"/>
    <w:docVar w:name="LW_DocType" w:val="NORMAL"/>
    <w:docVar w:name="LW_EMISSION" w:val="2.12.2015"/>
    <w:docVar w:name="LW_EMISSION_ISODATE" w:val="2015-12-02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76?\u1072?\u1085?\u1085?\u1080?\u1090?\u1077?, \u1089?\u1074?\u1098?\u1088?\u1079?\u1072?\u1085?\u1080? \u1089? \u1086?\u1090?\u1088?\u1072?\u1078?\u1077?\u1085?\u1080?\u1077?\u1090?\u1086? \u1074?\u1098?\u1088?\u1093?\u1091? \u1073?\u1102?\u1076?\u1078?\u1077?\u1090?\u1072? \u1085?\u1072? \u1075?\u1086?\u1076?\u1080?\u1096?\u1085?\u1086?\u1090?\u1086? \u1072?\u1082?\u1090?\u1091?\u1072?\u1083?\u1080?\u1079?\u1080?\u1088?\u1072?\u1085?\u1077? \u1079?\u1072? 2015 \u1075?. \u1085?\u1072? \u1074?\u1098?\u1079?\u1085?\u1072?\u1075?\u1088?\u1072?\u1078?\u1076?\u1077?\u1085?\u1080?\u1103?\u1090?\u1072? \u1080? \u1087?\u1077?\u1085?\u1089?\u1080?\u1080?\u1090?\u1077? \u1085?\u1072? \u1076?\u1083?\u1098?\u1078?\u1085?\u1086?\u1089?\u1090?\u1085?\u1080?\u1090?\u1077? \u1083?\u1080?\u1094?\u1072? \u1080? \u1076?\u1088?\u1091?\u1075?\u1080?\u1090?\u1077? \u1089?\u1083?\u1091?\u1078?\u1080?\u1090?\u1077?\u1083?\u1080? \u1085?\u1072? \u1045?\u1074?\u1088?\u1086?\u1087?\u1077?\u1081?\u1089?\u1082?\u1080?\u1103? \u1089?\u1098?\u1102?\u1079? \u1080? \u1085?\u1072? \u1082?\u1086?\u1088?\u1077?\u1082?\u1094?\u1080?\u1086?\u1085?\u1085?\u1080?\u1090?\u1077? \u1082?\u1086?\u1077?\u1092?\u1080?\u1094?\u1080?\u1077?\u1085?\u1090?\u1080?, \u1087?\u1088?\u1080?\u1083?\u1072?\u1075?\u1072?\u1085?\u1080? \u1082?\u1098?\u1084? \u1090?\u1103?\u1093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5) 597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_x000b_"/>
    <w:docVar w:name="LW_TYPEACTEPRINCIPAL.CP" w:val="\u1044?\u1086?\u1082?\u1083?\u1072?\u1076? \u1085?\u1072? \u1050?\u1086?\u1084?\u1080?\u1089?\u1080?\u1103?\u1090?\u1072? \u1076?\u1086? \u1045?\u1074?\u1088?\u1086?\u1087?\u1077?\u1081?\u1089?\u1082?\u1080?\u1103? \u1087?\u1072?\u1088?\u1083?\u1072?\u1084?\u1077?\u1085?\u1090? \u1080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link w:val="FootnoteTextChar"/>
    <w:pPr>
      <w:tabs>
        <w:tab w:val="left" w:pos="567"/>
      </w:tabs>
      <w:spacing w:line="240" w:lineRule="auto"/>
      <w:ind w:left="567" w:hanging="567"/>
    </w:p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widowControl/>
      <w:spacing w:line="240" w:lineRule="auto"/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  <w:rPr>
      <w:rFonts w:eastAsia="Calibri"/>
      <w:bCs/>
      <w:color w:val="365F91" w:themeColor="accent1" w:themeShade="BF"/>
    </w:rPr>
  </w:style>
  <w:style w:type="character" w:customStyle="1" w:styleId="FooterCoverPageChar">
    <w:name w:val="Footer Cover Page Char"/>
    <w:basedOn w:val="Heading1Char"/>
    <w:link w:val="FooterCoverPage"/>
    <w:rPr>
      <w:rFonts w:ascii="Times New Roman" w:eastAsia="Calibri" w:hAnsi="Times New Roman" w:cs="Times New Roman"/>
      <w:b w:val="0"/>
      <w:bCs/>
      <w:color w:val="365F91" w:themeColor="accent1" w:themeShade="BF"/>
      <w:sz w:val="24"/>
      <w:szCs w:val="20"/>
      <w:lang w:eastAsia="bg-BG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eastAsia="Calibri"/>
      <w:bCs/>
      <w:color w:val="365F91" w:themeColor="accent1" w:themeShade="BF"/>
    </w:rPr>
  </w:style>
  <w:style w:type="character" w:customStyle="1" w:styleId="HeaderCoverPageChar">
    <w:name w:val="Header Cover Page Char"/>
    <w:basedOn w:val="Heading1Char"/>
    <w:link w:val="HeaderCoverPage"/>
    <w:rPr>
      <w:rFonts w:ascii="Times New Roman" w:eastAsia="Calibri" w:hAnsi="Times New Roman" w:cs="Times New Roman"/>
      <w:b w:val="0"/>
      <w:bCs/>
      <w:color w:val="365F91" w:themeColor="accent1" w:themeShade="BF"/>
      <w:sz w:val="24"/>
      <w:szCs w:val="20"/>
      <w:lang w:eastAsia="bg-BG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link w:val="FootnoteTextChar"/>
    <w:pPr>
      <w:tabs>
        <w:tab w:val="left" w:pos="567"/>
      </w:tabs>
      <w:spacing w:line="240" w:lineRule="auto"/>
      <w:ind w:left="567" w:hanging="567"/>
    </w:p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widowControl/>
      <w:spacing w:line="240" w:lineRule="auto"/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  <w:rPr>
      <w:rFonts w:eastAsia="Calibri"/>
      <w:bCs/>
      <w:color w:val="365F91" w:themeColor="accent1" w:themeShade="BF"/>
    </w:rPr>
  </w:style>
  <w:style w:type="character" w:customStyle="1" w:styleId="FooterCoverPageChar">
    <w:name w:val="Footer Cover Page Char"/>
    <w:basedOn w:val="Heading1Char"/>
    <w:link w:val="FooterCoverPage"/>
    <w:rPr>
      <w:rFonts w:ascii="Times New Roman" w:eastAsia="Calibri" w:hAnsi="Times New Roman" w:cs="Times New Roman"/>
      <w:b w:val="0"/>
      <w:bCs/>
      <w:color w:val="365F91" w:themeColor="accent1" w:themeShade="BF"/>
      <w:sz w:val="24"/>
      <w:szCs w:val="20"/>
      <w:lang w:eastAsia="bg-BG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eastAsia="Calibri"/>
      <w:bCs/>
      <w:color w:val="365F91" w:themeColor="accent1" w:themeShade="BF"/>
    </w:rPr>
  </w:style>
  <w:style w:type="character" w:customStyle="1" w:styleId="HeaderCoverPageChar">
    <w:name w:val="Header Cover Page Char"/>
    <w:basedOn w:val="Heading1Char"/>
    <w:link w:val="HeaderCoverPage"/>
    <w:rPr>
      <w:rFonts w:ascii="Times New Roman" w:eastAsia="Calibri" w:hAnsi="Times New Roman" w:cs="Times New Roman"/>
      <w:b w:val="0"/>
      <w:bCs/>
      <w:color w:val="365F91" w:themeColor="accent1" w:themeShade="BF"/>
      <w:sz w:val="24"/>
      <w:szCs w:val="20"/>
      <w:lang w:eastAsia="bg-BG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" TargetMode="External"/><Relationship Id="rId1" Type="http://schemas.openxmlformats.org/officeDocument/2006/relationships/hyperlink" Target="http://ec.europa.eu/eurost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6948-592A-499F-A9AB-1EF04643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22</Pages>
  <Words>3240</Words>
  <Characters>16948</Characters>
  <Application>Microsoft Office Word</Application>
  <DocSecurity>0</DocSecurity>
  <Lines>1883</Lines>
  <Paragraphs>1345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POIRIER Felix (HR)</dc:creator>
  <cp:lastModifiedBy>DIGIT/A3</cp:lastModifiedBy>
  <cp:revision>34</cp:revision>
  <cp:lastPrinted>2015-11-26T10:39:00Z</cp:lastPrinted>
  <dcterms:created xsi:type="dcterms:W3CDTF">2015-11-24T15:17:00Z</dcterms:created>
  <dcterms:modified xsi:type="dcterms:W3CDTF">2015-12-01T11:00:00Z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5</vt:lpwstr>
  </property>
  <property fmtid="{D5CDD505-2E9C-101B-9397-08002B2CF9AE}" pid="4" name="Part">
    <vt:lpwstr>&lt;UNUSED&gt;</vt:lpwstr>
  </property>
  <property fmtid="{D5CDD505-2E9C-101B-9397-08002B2CF9AE}" pid="5" name="Total parts">
    <vt:lpwstr>&lt;UNUSED&gt;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