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AA8F74DB3654BF3ACAE53556C7775AC" style="width:450.4pt;height:393.5pt">
            <v:imagedata r:id="rId8" o:title=""/>
          </v:shape>
        </w:pict>
      </w:r>
    </w:p>
    <w:bookmarkEnd w:id="0"/>
    <w:p>
      <w:pPr>
        <w:rPr>
          <w:rFonts w:eastAsia="Calibri"/>
          <w:noProof/>
          <w:lang w:eastAsia="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eastAsia="Calibri"/>
          <w:b/>
          <w:noProof/>
          <w:szCs w:val="24"/>
          <w:lang w:eastAsia="en-GB"/>
        </w:rPr>
      </w:pPr>
      <w:bookmarkStart w:id="1" w:name="_GoBack"/>
      <w:bookmarkEnd w:id="1"/>
      <w:r>
        <w:rPr>
          <w:rFonts w:eastAsia="Calibri"/>
          <w:b/>
          <w:noProof/>
          <w:szCs w:val="24"/>
          <w:lang w:eastAsia="en-GB"/>
        </w:rPr>
        <w:lastRenderedPageBreak/>
        <w:t>Annexes to the</w:t>
      </w:r>
      <w:r>
        <w:rPr>
          <w:rFonts w:eastAsia="Calibri"/>
          <w:b/>
          <w:noProof/>
          <w:szCs w:val="24"/>
          <w:lang w:eastAsia="en-GB"/>
        </w:rPr>
        <w:br/>
        <w:t>Report from the Commission to the European Parliament and the Council</w:t>
      </w:r>
      <w:r>
        <w:rPr>
          <w:rFonts w:eastAsia="Calibri"/>
          <w:b/>
          <w:noProof/>
          <w:szCs w:val="24"/>
          <w:lang w:eastAsia="en-GB"/>
        </w:rPr>
        <w:br/>
        <w:t>on data pertaining to the budgetary impact of the 2015 annual update of remuneration and pensions of the officials and other servants of the European Union and the correction coefficients applied thereto</w:t>
      </w:r>
    </w:p>
    <w:p>
      <w:pPr>
        <w:pStyle w:val="Heading1"/>
        <w:jc w:val="right"/>
        <w:rPr>
          <w:rFonts w:ascii="Times New Roman" w:eastAsia="Calibri" w:hAnsi="Times New Roman" w:cs="Times New Roman"/>
          <w:bCs w:val="0"/>
          <w:i/>
          <w:noProof/>
          <w:color w:val="auto"/>
          <w:sz w:val="24"/>
          <w:szCs w:val="20"/>
          <w:u w:val="single"/>
          <w:lang w:eastAsia="en-GB"/>
        </w:rPr>
      </w:pPr>
      <w:r>
        <w:rPr>
          <w:rFonts w:ascii="Times New Roman" w:eastAsia="Calibri" w:hAnsi="Times New Roman" w:cs="Times New Roman"/>
          <w:bCs w:val="0"/>
          <w:i/>
          <w:noProof/>
          <w:color w:val="auto"/>
          <w:sz w:val="24"/>
          <w:szCs w:val="20"/>
          <w:u w:val="single"/>
          <w:lang w:eastAsia="en-GB"/>
        </w:rPr>
        <w:t xml:space="preserve">Draft </w:t>
      </w:r>
    </w:p>
    <w:p>
      <w:pPr>
        <w:pStyle w:val="Heading1"/>
        <w:jc w:val="center"/>
        <w:rPr>
          <w:rFonts w:ascii="Times New Roman" w:eastAsia="Calibri" w:hAnsi="Times New Roman" w:cs="Times New Roman"/>
          <w:bCs w:val="0"/>
          <w:i/>
          <w:noProof/>
          <w:color w:val="auto"/>
          <w:sz w:val="24"/>
          <w:szCs w:val="20"/>
          <w:lang w:eastAsia="en-GB"/>
        </w:rPr>
      </w:pPr>
      <w:r>
        <w:rPr>
          <w:rFonts w:ascii="Times New Roman" w:eastAsia="Calibri" w:hAnsi="Times New Roman" w:cs="Times New Roman"/>
          <w:bCs w:val="0"/>
          <w:i/>
          <w:noProof/>
          <w:color w:val="auto"/>
          <w:sz w:val="24"/>
          <w:szCs w:val="20"/>
          <w:lang w:eastAsia="en-GB"/>
        </w:rPr>
        <w:t xml:space="preserve">ANNEX I </w:t>
      </w:r>
    </w:p>
    <w:p>
      <w:pPr>
        <w:jc w:val="center"/>
        <w:rPr>
          <w:rFonts w:eastAsia="Calibri"/>
          <w:b/>
          <w:noProof/>
          <w:lang w:eastAsia="en-GB"/>
        </w:rPr>
      </w:pPr>
      <w:r>
        <w:rPr>
          <w:rFonts w:eastAsia="Calibri"/>
          <w:b/>
          <w:noProof/>
          <w:lang w:eastAsia="en-GB"/>
        </w:rPr>
        <w:t>2015 ANNUAL UPDATE OF THE REMUNERATION AND PENSIONS OF THE OFFICIALS AND OTHER SERVANTS OF THE EUROPEAN UNION AND THE CORRECTION COEFFICIENTS APPLIED THERETO</w:t>
      </w:r>
    </w:p>
    <w:p>
      <w:pPr>
        <w:rPr>
          <w:rFonts w:eastAsia="Calibri"/>
          <w:noProof/>
          <w:lang w:eastAsia="en-GB"/>
        </w:rPr>
      </w:pPr>
    </w:p>
    <w:p>
      <w:pPr>
        <w:widowControl/>
        <w:jc w:val="both"/>
        <w:rPr>
          <w:rFonts w:eastAsia="Calibri"/>
          <w:noProof/>
          <w:lang w:eastAsia="en-GB"/>
        </w:rPr>
      </w:pPr>
      <w:r>
        <w:rPr>
          <w:rFonts w:eastAsia="Calibri"/>
          <w:noProof/>
          <w:lang w:eastAsia="en-GB"/>
        </w:rPr>
        <w:t>1.1. Table of the amounts of basic monthly salaries for each grade and step in function groups AD and AST referred to in Article 66 of the Staff Regulations, applicable from 1 July 2015:</w:t>
      </w:r>
    </w:p>
    <w:p>
      <w:pPr>
        <w:widowControl/>
        <w:jc w:val="both"/>
        <w:rPr>
          <w:rFonts w:eastAsia="Calibri"/>
          <w:noProof/>
          <w:lang w:eastAsia="en-GB"/>
        </w:rPr>
      </w:pPr>
      <w:r>
        <w:rPr>
          <w:rFonts w:eastAsia="Calibri"/>
          <w:noProof/>
          <w:lang w:val="en-US" w:eastAsia="en-US"/>
        </w:rPr>
        <w:drawing>
          <wp:inline distT="0" distB="0" distL="0" distR="0">
            <wp:extent cx="4062730" cy="3269615"/>
            <wp:effectExtent l="0" t="0" r="0" b="6985"/>
            <wp:docPr id="5246" name="Picture 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2730" cy="3269615"/>
                    </a:xfrm>
                    <a:prstGeom prst="rect">
                      <a:avLst/>
                    </a:prstGeom>
                    <a:noFill/>
                    <a:ln>
                      <a:noFill/>
                    </a:ln>
                  </pic:spPr>
                </pic:pic>
              </a:graphicData>
            </a:graphic>
          </wp:inline>
        </w:drawing>
      </w:r>
    </w:p>
    <w:p>
      <w:pPr>
        <w:widowControl/>
        <w:spacing w:before="120" w:after="120" w:line="240" w:lineRule="auto"/>
        <w:jc w:val="both"/>
        <w:rPr>
          <w:rFonts w:eastAsia="Calibri"/>
          <w:noProof/>
          <w:lang w:eastAsia="en-GB"/>
        </w:rPr>
      </w:pPr>
    </w:p>
    <w:p>
      <w:pPr>
        <w:widowControl/>
        <w:spacing w:before="120" w:after="120" w:line="240" w:lineRule="auto"/>
        <w:jc w:val="both"/>
        <w:rPr>
          <w:rFonts w:eastAsia="Calibri"/>
          <w:noProof/>
          <w:lang w:eastAsia="en-GB"/>
        </w:rPr>
      </w:pPr>
    </w:p>
    <w:p>
      <w:pPr>
        <w:widowControl/>
        <w:jc w:val="both"/>
        <w:rPr>
          <w:rFonts w:eastAsia="Calibri"/>
          <w:noProof/>
          <w:lang w:eastAsia="en-GB"/>
        </w:rPr>
      </w:pPr>
      <w:r>
        <w:rPr>
          <w:rFonts w:eastAsia="Calibri"/>
          <w:noProof/>
          <w:lang w:eastAsia="en-GB"/>
        </w:rPr>
        <w:t>2. Table of the amounts of basic monthly salaries for each grade and step in function group AST/SC referred to in Article 66 of the Staff Regulations, applicable from 1 July 2015:</w:t>
      </w:r>
    </w:p>
    <w:p>
      <w:pPr>
        <w:widowControl/>
        <w:spacing w:before="120" w:after="120" w:line="240" w:lineRule="auto"/>
        <w:jc w:val="both"/>
        <w:rPr>
          <w:rFonts w:eastAsia="Calibri"/>
          <w:noProof/>
          <w:lang w:eastAsia="en-GB"/>
        </w:rPr>
      </w:pPr>
      <w:r>
        <w:rPr>
          <w:rFonts w:eastAsia="Calibri"/>
          <w:noProof/>
          <w:lang w:val="en-US" w:eastAsia="en-US"/>
        </w:rPr>
        <w:lastRenderedPageBreak/>
        <w:drawing>
          <wp:inline distT="0" distB="0" distL="0" distR="0">
            <wp:extent cx="3778250" cy="1457960"/>
            <wp:effectExtent l="0" t="0" r="0" b="8890"/>
            <wp:docPr id="5247" name="Picture 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8250" cy="1457960"/>
                    </a:xfrm>
                    <a:prstGeom prst="rect">
                      <a:avLst/>
                    </a:prstGeom>
                    <a:noFill/>
                    <a:ln>
                      <a:noFill/>
                    </a:ln>
                  </pic:spPr>
                </pic:pic>
              </a:graphicData>
            </a:graphic>
          </wp:inline>
        </w:drawing>
      </w:r>
    </w:p>
    <w:p>
      <w:pPr>
        <w:widowControl/>
        <w:spacing w:before="120" w:after="120" w:line="240" w:lineRule="auto"/>
        <w:jc w:val="both"/>
        <w:rPr>
          <w:rFonts w:eastAsia="Calibri"/>
          <w:noProof/>
          <w:lang w:eastAsia="en-GB"/>
        </w:rPr>
      </w:pPr>
    </w:p>
    <w:p>
      <w:pPr>
        <w:widowControl/>
        <w:spacing w:before="120" w:after="120"/>
        <w:jc w:val="both"/>
        <w:rPr>
          <w:rFonts w:eastAsia="Calibri"/>
          <w:noProof/>
          <w:lang w:eastAsia="en-GB"/>
        </w:rPr>
      </w:pPr>
      <w:r>
        <w:rPr>
          <w:rFonts w:eastAsia="Calibri"/>
          <w:noProof/>
          <w:lang w:eastAsia="en-GB"/>
        </w:rPr>
        <w:t>3. Table of the correction coefficients applicable to the remuneration and pensions of officials and other servants of the European Union referred to in Article 64 of the Staff Regulations containing:</w:t>
      </w:r>
    </w:p>
    <w:p>
      <w:pPr>
        <w:widowControl/>
        <w:jc w:val="both"/>
        <w:rPr>
          <w:rFonts w:eastAsia="Calibri"/>
          <w:noProof/>
          <w:lang w:eastAsia="en-GB"/>
        </w:rPr>
      </w:pPr>
      <w:r>
        <w:rPr>
          <w:rFonts w:eastAsia="Calibri"/>
          <w:noProof/>
          <w:lang w:eastAsia="en-GB"/>
        </w:rPr>
        <w:t>- Correction coefficients applicable from 1 July 2015 to the remuneration of officials and other servants referred to in Article 64 of the Staff Regulations (indicated in column 2 of the following table);</w:t>
      </w:r>
    </w:p>
    <w:p>
      <w:pPr>
        <w:widowControl/>
        <w:jc w:val="both"/>
        <w:rPr>
          <w:rFonts w:eastAsia="Calibri"/>
          <w:noProof/>
          <w:lang w:eastAsia="en-GB"/>
        </w:rPr>
      </w:pPr>
      <w:r>
        <w:rPr>
          <w:rFonts w:eastAsia="Calibri"/>
          <w:noProof/>
          <w:lang w:eastAsia="en-GB"/>
        </w:rPr>
        <w:t>- Correction coefficients applicable from 1 January 2016 under Article 17(3) of Annex VII to the Staff Regulations to transfers by officials and other servants (indicated in column 3 of the following table);</w:t>
      </w:r>
    </w:p>
    <w:p>
      <w:pPr>
        <w:widowControl/>
        <w:jc w:val="both"/>
        <w:rPr>
          <w:rFonts w:eastAsia="Calibri"/>
          <w:noProof/>
          <w:lang w:eastAsia="en-GB"/>
        </w:rPr>
      </w:pPr>
      <w:r>
        <w:rPr>
          <w:rFonts w:eastAsia="Calibri"/>
          <w:noProof/>
          <w:lang w:eastAsia="en-GB"/>
        </w:rPr>
        <w:t>- Correction coefficients applicable from 1 July 2015 to pensions under Article 20(1) of Annex XIII to the Staff Regulations (indicated in column 4 of the following table);</w:t>
      </w:r>
    </w:p>
    <w:p>
      <w:pPr>
        <w:widowControl/>
        <w:jc w:val="both"/>
        <w:rPr>
          <w:rFonts w:eastAsia="Calibri"/>
          <w:noProof/>
          <w:lang w:eastAsia="en-GB"/>
        </w:rPr>
      </w:pPr>
      <w:r>
        <w:rPr>
          <w:rFonts w:eastAsia="Calibri"/>
          <w:noProof/>
          <w:lang w:val="en-US" w:eastAsia="en-US"/>
        </w:rPr>
        <w:drawing>
          <wp:inline distT="0" distB="0" distL="0" distR="0">
            <wp:extent cx="3636645" cy="551815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6645" cy="5518150"/>
                    </a:xfrm>
                    <a:prstGeom prst="rect">
                      <a:avLst/>
                    </a:prstGeom>
                    <a:noFill/>
                    <a:ln>
                      <a:noFill/>
                    </a:ln>
                  </pic:spPr>
                </pic:pic>
              </a:graphicData>
            </a:graphic>
          </wp:inline>
        </w:drawing>
      </w:r>
    </w:p>
    <w:p>
      <w:pPr>
        <w:widowControl/>
        <w:jc w:val="both"/>
        <w:rPr>
          <w:rFonts w:eastAsia="Calibri"/>
          <w:noProof/>
          <w:lang w:eastAsia="en-GB"/>
        </w:rPr>
      </w:pPr>
    </w:p>
    <w:p>
      <w:pPr>
        <w:widowControl/>
        <w:spacing w:before="120" w:after="120" w:line="240" w:lineRule="auto"/>
        <w:jc w:val="both"/>
        <w:rPr>
          <w:rFonts w:eastAsia="Calibri"/>
          <w:noProof/>
          <w:lang w:eastAsia="en-GB"/>
        </w:rPr>
      </w:pPr>
    </w:p>
    <w:p>
      <w:pPr>
        <w:widowControl/>
        <w:jc w:val="both"/>
        <w:rPr>
          <w:rFonts w:eastAsia="Calibri"/>
          <w:noProof/>
          <w:lang w:eastAsia="en-GB"/>
        </w:rPr>
      </w:pPr>
      <w:r>
        <w:rPr>
          <w:rFonts w:eastAsia="Calibri"/>
          <w:noProof/>
          <w:lang w:eastAsia="en-GB"/>
        </w:rPr>
        <w:t>4. Amount of the parental leave allowance referred to in the second and third paragraphs of Article 42a of the Staff Regulations, applicable from 1 July 2015:</w:t>
      </w:r>
    </w:p>
    <w:p>
      <w:pPr>
        <w:widowControl/>
        <w:jc w:val="both"/>
        <w:rPr>
          <w:rFonts w:eastAsia="Calibri"/>
          <w:noProof/>
          <w:lang w:eastAsia="en-GB"/>
        </w:rPr>
      </w:pPr>
      <w:r>
        <w:rPr>
          <w:rFonts w:eastAsia="Calibri"/>
          <w:noProof/>
          <w:lang w:eastAsia="en-GB"/>
        </w:rPr>
        <w:t>- EUR 941,08;</w:t>
      </w:r>
    </w:p>
    <w:p>
      <w:pPr>
        <w:widowControl/>
        <w:jc w:val="both"/>
        <w:rPr>
          <w:rFonts w:eastAsia="Calibri"/>
          <w:noProof/>
          <w:lang w:eastAsia="en-GB"/>
        </w:rPr>
      </w:pPr>
      <w:r>
        <w:rPr>
          <w:rFonts w:eastAsia="Calibri"/>
          <w:noProof/>
          <w:lang w:eastAsia="en-GB"/>
        </w:rPr>
        <w:t>- EUR 1254,77 for single parents.</w:t>
      </w:r>
    </w:p>
    <w:p>
      <w:pPr>
        <w:widowControl/>
        <w:jc w:val="both"/>
        <w:rPr>
          <w:rFonts w:eastAsia="Calibri"/>
          <w:noProof/>
          <w:lang w:eastAsia="en-GB"/>
        </w:rPr>
      </w:pPr>
    </w:p>
    <w:p>
      <w:pPr>
        <w:widowControl/>
        <w:jc w:val="both"/>
        <w:rPr>
          <w:rFonts w:eastAsia="Calibri"/>
          <w:noProof/>
          <w:lang w:eastAsia="en-GB"/>
        </w:rPr>
      </w:pPr>
      <w:r>
        <w:rPr>
          <w:rFonts w:eastAsia="Calibri"/>
          <w:noProof/>
          <w:lang w:eastAsia="en-GB"/>
        </w:rPr>
        <w:t>5.1. Basic amount of the household allowance referred to in Article 1(1) of Annex VII to the Staff Regulations, applicable from 1 July 2015 - EUR 176,01.</w:t>
      </w:r>
    </w:p>
    <w:p>
      <w:pPr>
        <w:widowControl/>
        <w:jc w:val="both"/>
        <w:rPr>
          <w:rFonts w:eastAsia="Calibri"/>
          <w:noProof/>
          <w:lang w:eastAsia="en-GB"/>
        </w:rPr>
      </w:pPr>
      <w:r>
        <w:rPr>
          <w:rFonts w:eastAsia="Calibri"/>
          <w:noProof/>
          <w:lang w:eastAsia="en-GB"/>
        </w:rPr>
        <w:t>5.2. Amount of the dependent child allowance referred to in Article 2(1) of Annex VII to the Staff Regulations, applicable from 1 July 2015 - EUR 384,60.</w:t>
      </w:r>
    </w:p>
    <w:p>
      <w:pPr>
        <w:widowControl/>
        <w:jc w:val="both"/>
        <w:rPr>
          <w:rFonts w:eastAsia="Calibri"/>
          <w:noProof/>
          <w:lang w:eastAsia="en-GB"/>
        </w:rPr>
      </w:pPr>
      <w:r>
        <w:rPr>
          <w:rFonts w:eastAsia="Calibri"/>
          <w:noProof/>
          <w:lang w:eastAsia="en-GB"/>
        </w:rPr>
        <w:t>5.3. Amount of the education allowance referred to in Article 3(1) of Annex VII to the Staff Regulations, applicable from 1 July 2015 - EUR 260,95.</w:t>
      </w:r>
    </w:p>
    <w:p>
      <w:pPr>
        <w:widowControl/>
        <w:jc w:val="both"/>
        <w:rPr>
          <w:rFonts w:eastAsia="Calibri"/>
          <w:noProof/>
          <w:lang w:eastAsia="en-GB"/>
        </w:rPr>
      </w:pPr>
      <w:r>
        <w:rPr>
          <w:rFonts w:eastAsia="Calibri"/>
          <w:noProof/>
          <w:lang w:eastAsia="en-GB"/>
        </w:rPr>
        <w:t>5.4. Amount of the education allowance referred to in Article 3(2) of Annex VII to the Staff Regulations, applicable from 1 July 2015 - EUR 93,95.</w:t>
      </w:r>
    </w:p>
    <w:p>
      <w:pPr>
        <w:widowControl/>
        <w:jc w:val="both"/>
        <w:rPr>
          <w:rFonts w:eastAsia="Calibri"/>
          <w:noProof/>
          <w:lang w:eastAsia="en-GB"/>
        </w:rPr>
      </w:pPr>
      <w:r>
        <w:rPr>
          <w:rFonts w:eastAsia="Calibri"/>
          <w:noProof/>
          <w:lang w:eastAsia="en-GB"/>
        </w:rPr>
        <w:t>5.5. Minimum amount of the expatriation allowance referred to in Article 69 of the Staff Regulations and in the second subparagraph of Article 4(1) of Annex VII thereto, applicable from 1 July 2015 - EUR 521,66.</w:t>
      </w:r>
    </w:p>
    <w:p>
      <w:pPr>
        <w:widowControl/>
        <w:jc w:val="both"/>
        <w:rPr>
          <w:rFonts w:eastAsia="Calibri"/>
          <w:noProof/>
          <w:lang w:eastAsia="en-GB"/>
        </w:rPr>
      </w:pPr>
      <w:r>
        <w:rPr>
          <w:rFonts w:eastAsia="Calibri"/>
          <w:noProof/>
          <w:lang w:eastAsia="en-GB"/>
        </w:rPr>
        <w:t>5.6. Amount of the expatriation allowance referred to in Article 134 of the Conditions of Employment of Other Servants, applicable from 1 July 2015 - EUR 375,01.</w:t>
      </w:r>
    </w:p>
    <w:p>
      <w:pPr>
        <w:widowControl/>
        <w:jc w:val="both"/>
        <w:rPr>
          <w:rFonts w:eastAsia="Calibri"/>
          <w:i/>
          <w:noProof/>
          <w:lang w:eastAsia="en-GB"/>
        </w:rPr>
      </w:pPr>
    </w:p>
    <w:p>
      <w:pPr>
        <w:widowControl/>
        <w:jc w:val="both"/>
        <w:rPr>
          <w:rFonts w:eastAsia="Calibri"/>
          <w:noProof/>
          <w:lang w:eastAsia="en-GB"/>
        </w:rPr>
      </w:pPr>
      <w:r>
        <w:rPr>
          <w:rFonts w:eastAsia="Calibri"/>
          <w:noProof/>
          <w:lang w:eastAsia="en-GB"/>
        </w:rPr>
        <w:t xml:space="preserve">6.1. Amount of the kilometric allowance referred to in Article 7(2) of Annex VII to the Staff Regulations, applicable from 1 July 2015: </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6"/>
        <w:gridCol w:w="121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0 to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0,1940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201 to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0,3234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1 001 to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0,1940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2 001 to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0,0646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3 001 to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0,0312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4 001 to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 for every km over</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10 000 km.</w:t>
            </w:r>
          </w:p>
        </w:tc>
      </w:tr>
    </w:tbl>
    <w:p>
      <w:pPr>
        <w:widowControl/>
        <w:jc w:val="both"/>
        <w:rPr>
          <w:rFonts w:eastAsia="Calibri"/>
          <w:noProof/>
          <w:lang w:eastAsia="en-GB"/>
        </w:rPr>
      </w:pPr>
    </w:p>
    <w:p>
      <w:pPr>
        <w:widowControl/>
        <w:jc w:val="both"/>
        <w:rPr>
          <w:rFonts w:eastAsia="Calibri"/>
          <w:noProof/>
          <w:lang w:eastAsia="en-GB"/>
        </w:rPr>
      </w:pPr>
      <w:r>
        <w:rPr>
          <w:rFonts w:eastAsia="Calibri"/>
          <w:noProof/>
          <w:lang w:eastAsia="en-GB"/>
        </w:rPr>
        <w:t xml:space="preserve">6.2. Amount of the flat-rate supplement to the kilometric allowance referred to in Article 7(2) of Annex VII to the Staff Regulations, applicable from 1 July 2015: </w:t>
      </w:r>
    </w:p>
    <w:p>
      <w:pPr>
        <w:widowControl/>
        <w:jc w:val="both"/>
        <w:rPr>
          <w:rFonts w:eastAsia="Calibri"/>
          <w:noProof/>
          <w:lang w:eastAsia="en-GB"/>
        </w:rPr>
      </w:pPr>
      <w:r>
        <w:rPr>
          <w:rFonts w:eastAsia="Calibri"/>
          <w:noProof/>
          <w:lang w:eastAsia="en-GB"/>
        </w:rPr>
        <w:t>— EUR 97,01 if the geographical distance between the places referred to in paragraph 1 is between 600 km and 1 200 km,</w:t>
      </w:r>
    </w:p>
    <w:p>
      <w:pPr>
        <w:widowControl/>
        <w:jc w:val="both"/>
        <w:rPr>
          <w:rFonts w:eastAsia="Calibri"/>
          <w:noProof/>
          <w:lang w:eastAsia="en-GB"/>
        </w:rPr>
      </w:pPr>
    </w:p>
    <w:p>
      <w:pPr>
        <w:widowControl/>
        <w:jc w:val="both"/>
        <w:rPr>
          <w:rFonts w:eastAsia="Calibri"/>
          <w:noProof/>
          <w:lang w:eastAsia="en-GB"/>
        </w:rPr>
      </w:pPr>
      <w:r>
        <w:rPr>
          <w:rFonts w:eastAsia="Calibri"/>
          <w:noProof/>
          <w:lang w:eastAsia="en-GB"/>
        </w:rPr>
        <w:t>— EUR 194,01 if the geographical distance between the places referred to in paragraph 1 is greater than 1 200 km</w:t>
      </w:r>
    </w:p>
    <w:p>
      <w:pPr>
        <w:widowControl/>
        <w:jc w:val="both"/>
        <w:rPr>
          <w:rFonts w:eastAsia="Calibri"/>
          <w:noProof/>
          <w:lang w:eastAsia="en-GB"/>
        </w:rPr>
      </w:pPr>
    </w:p>
    <w:p>
      <w:pPr>
        <w:widowControl/>
        <w:jc w:val="both"/>
        <w:rPr>
          <w:rFonts w:eastAsia="Calibri"/>
          <w:noProof/>
          <w:lang w:eastAsia="en-GB"/>
        </w:rPr>
      </w:pPr>
      <w:r>
        <w:rPr>
          <w:rFonts w:eastAsia="Calibri"/>
          <w:noProof/>
          <w:lang w:eastAsia="en-GB"/>
        </w:rPr>
        <w:t>7.1. Amount of the kilometric allowance referred to in Article 8(2) of Annex VII to the Staff Regulations, applicable from 1 January 2016:</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6"/>
        <w:gridCol w:w="121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0 to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0,3912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201 to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0,6520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1 001 to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0,3912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2 001 to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0,1303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3 001 to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0,0629 for every km from</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4 001 to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EUR 0 for every km over</w:t>
            </w:r>
          </w:p>
        </w:tc>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lang w:eastAsia="en-GB"/>
              </w:rPr>
            </w:pPr>
            <w:r>
              <w:rPr>
                <w:noProof/>
                <w:szCs w:val="24"/>
                <w:lang w:eastAsia="en-GB"/>
              </w:rPr>
              <w:t xml:space="preserve">10 000 km.  </w:t>
            </w:r>
          </w:p>
        </w:tc>
      </w:tr>
    </w:tbl>
    <w:p>
      <w:pPr>
        <w:widowControl/>
        <w:jc w:val="both"/>
        <w:rPr>
          <w:rFonts w:eastAsia="Calibri"/>
          <w:noProof/>
          <w:lang w:eastAsia="en-GB"/>
        </w:rPr>
      </w:pPr>
    </w:p>
    <w:p>
      <w:pPr>
        <w:widowControl/>
        <w:jc w:val="both"/>
        <w:rPr>
          <w:rFonts w:eastAsia="Calibri"/>
          <w:noProof/>
          <w:lang w:eastAsia="en-GB"/>
        </w:rPr>
      </w:pPr>
      <w:r>
        <w:rPr>
          <w:rFonts w:eastAsia="Calibri"/>
          <w:noProof/>
          <w:lang w:eastAsia="en-GB"/>
        </w:rPr>
        <w:t>7.2. Amount of the flat-rate supplement to the kilometric allowance referred to in Article 8(2) of Annex VII to the Staff Regulations, applicable from 1 January 2016:</w:t>
      </w:r>
    </w:p>
    <w:p>
      <w:pPr>
        <w:widowControl/>
        <w:jc w:val="both"/>
        <w:rPr>
          <w:rFonts w:eastAsia="Calibri"/>
          <w:noProof/>
          <w:lang w:eastAsia="en-GB"/>
        </w:rPr>
      </w:pPr>
      <w:r>
        <w:rPr>
          <w:rFonts w:eastAsia="Calibri"/>
          <w:noProof/>
          <w:lang w:eastAsia="en-GB"/>
        </w:rPr>
        <w:t>— EUR 195,58 if the geographical distance between the place of employment and the place of origin is between 600 km and 1 200 km,</w:t>
      </w:r>
    </w:p>
    <w:p>
      <w:pPr>
        <w:widowControl/>
        <w:jc w:val="both"/>
        <w:rPr>
          <w:rFonts w:eastAsia="Calibri"/>
          <w:noProof/>
          <w:lang w:eastAsia="en-GB"/>
        </w:rPr>
      </w:pPr>
      <w:r>
        <w:rPr>
          <w:rFonts w:eastAsia="Calibri"/>
          <w:noProof/>
          <w:lang w:eastAsia="en-GB"/>
        </w:rPr>
        <w:t>— EUR 391,13 if the geographical distance between the place of employment and the place of origin is greater than 1 200 km</w:t>
      </w:r>
    </w:p>
    <w:p>
      <w:pPr>
        <w:widowControl/>
        <w:jc w:val="both"/>
        <w:rPr>
          <w:rFonts w:eastAsia="Calibri"/>
          <w:noProof/>
          <w:lang w:eastAsia="en-GB"/>
        </w:rPr>
      </w:pPr>
    </w:p>
    <w:p>
      <w:pPr>
        <w:widowControl/>
        <w:jc w:val="both"/>
        <w:rPr>
          <w:rFonts w:eastAsia="Calibri"/>
          <w:noProof/>
          <w:lang w:eastAsia="en-GB"/>
        </w:rPr>
      </w:pPr>
      <w:r>
        <w:rPr>
          <w:rFonts w:eastAsia="Calibri"/>
          <w:noProof/>
          <w:lang w:eastAsia="en-GB"/>
        </w:rPr>
        <w:t>8. Amount of the daily subsistence allowance referred to in Article 10(1) of Annex VII to the Staff Regulations, applicable from 1 July 2015:</w:t>
      </w:r>
    </w:p>
    <w:p>
      <w:pPr>
        <w:widowControl/>
        <w:tabs>
          <w:tab w:val="num" w:pos="283"/>
        </w:tabs>
        <w:ind w:left="283" w:hanging="283"/>
        <w:jc w:val="both"/>
        <w:rPr>
          <w:noProof/>
          <w:szCs w:val="24"/>
          <w:lang w:eastAsia="de-DE"/>
        </w:rPr>
      </w:pPr>
      <w:r>
        <w:rPr>
          <w:noProof/>
          <w:szCs w:val="24"/>
          <w:lang w:eastAsia="de-DE"/>
        </w:rPr>
        <w:t>-</w:t>
      </w:r>
      <w:r>
        <w:rPr>
          <w:noProof/>
          <w:szCs w:val="24"/>
          <w:lang w:eastAsia="de-DE"/>
        </w:rPr>
        <w:tab/>
        <w:t>EUR 40,43 for an official who is entitled to the household allowance;</w:t>
      </w:r>
    </w:p>
    <w:p>
      <w:pPr>
        <w:widowControl/>
        <w:tabs>
          <w:tab w:val="num" w:pos="283"/>
        </w:tabs>
        <w:ind w:left="283" w:hanging="283"/>
        <w:jc w:val="both"/>
        <w:rPr>
          <w:noProof/>
          <w:szCs w:val="24"/>
          <w:lang w:eastAsia="de-DE"/>
        </w:rPr>
      </w:pPr>
      <w:r>
        <w:rPr>
          <w:noProof/>
          <w:szCs w:val="24"/>
          <w:lang w:eastAsia="de-DE"/>
        </w:rPr>
        <w:t>-</w:t>
      </w:r>
      <w:r>
        <w:rPr>
          <w:noProof/>
          <w:szCs w:val="24"/>
          <w:lang w:eastAsia="de-DE"/>
        </w:rPr>
        <w:tab/>
        <w:t>EUR 32,59 for an official who is not entitled to the household allowance.</w:t>
      </w:r>
    </w:p>
    <w:p>
      <w:pPr>
        <w:widowControl/>
        <w:tabs>
          <w:tab w:val="num" w:pos="283"/>
        </w:tabs>
        <w:ind w:left="283" w:hanging="283"/>
        <w:jc w:val="both"/>
        <w:rPr>
          <w:noProof/>
          <w:szCs w:val="24"/>
          <w:lang w:eastAsia="de-DE"/>
        </w:rPr>
      </w:pPr>
    </w:p>
    <w:p>
      <w:pPr>
        <w:widowControl/>
        <w:jc w:val="both"/>
        <w:rPr>
          <w:rFonts w:eastAsia="Calibri"/>
          <w:noProof/>
          <w:lang w:eastAsia="en-GB"/>
        </w:rPr>
      </w:pPr>
      <w:r>
        <w:rPr>
          <w:noProof/>
          <w:szCs w:val="24"/>
          <w:lang w:eastAsia="de-DE"/>
        </w:rPr>
        <w:t>9. Amount of the</w:t>
      </w:r>
      <w:r>
        <w:rPr>
          <w:rFonts w:eastAsia="Calibri"/>
          <w:noProof/>
          <w:lang w:eastAsia="en-GB"/>
        </w:rPr>
        <w:t xml:space="preserve"> lower limit for the installation allowance referred to in Article 24(3) of the Conditions of Employment of Other Servants, applicable from 1 July 2015: </w:t>
      </w:r>
    </w:p>
    <w:p>
      <w:pPr>
        <w:widowControl/>
        <w:tabs>
          <w:tab w:val="num" w:pos="283"/>
        </w:tabs>
        <w:ind w:left="283" w:hanging="283"/>
        <w:jc w:val="both"/>
        <w:rPr>
          <w:noProof/>
          <w:szCs w:val="24"/>
          <w:lang w:eastAsia="de-DE"/>
        </w:rPr>
      </w:pPr>
      <w:r>
        <w:rPr>
          <w:noProof/>
          <w:szCs w:val="24"/>
          <w:lang w:eastAsia="de-DE"/>
        </w:rPr>
        <w:t>-</w:t>
      </w:r>
      <w:r>
        <w:rPr>
          <w:noProof/>
          <w:szCs w:val="24"/>
          <w:lang w:eastAsia="de-DE"/>
        </w:rPr>
        <w:tab/>
        <w:t>EUR 1150,88 for a servant who is entitled to the household allowance;</w:t>
      </w:r>
    </w:p>
    <w:p>
      <w:pPr>
        <w:widowControl/>
        <w:tabs>
          <w:tab w:val="num" w:pos="283"/>
        </w:tabs>
        <w:ind w:left="283" w:hanging="283"/>
        <w:jc w:val="both"/>
        <w:rPr>
          <w:noProof/>
          <w:szCs w:val="24"/>
          <w:lang w:eastAsia="de-DE"/>
        </w:rPr>
      </w:pPr>
      <w:r>
        <w:rPr>
          <w:noProof/>
          <w:szCs w:val="24"/>
          <w:lang w:eastAsia="de-DE"/>
        </w:rPr>
        <w:t>-</w:t>
      </w:r>
      <w:r>
        <w:rPr>
          <w:noProof/>
          <w:szCs w:val="24"/>
          <w:lang w:eastAsia="de-DE"/>
        </w:rPr>
        <w:tab/>
        <w:t>EUR 684,31 for a servant who is not entitled to the household allowance.</w:t>
      </w:r>
    </w:p>
    <w:p>
      <w:pPr>
        <w:widowControl/>
        <w:tabs>
          <w:tab w:val="num" w:pos="283"/>
        </w:tabs>
        <w:ind w:left="283" w:hanging="283"/>
        <w:jc w:val="both"/>
        <w:rPr>
          <w:noProof/>
          <w:szCs w:val="24"/>
          <w:lang w:eastAsia="de-DE"/>
        </w:rPr>
      </w:pPr>
    </w:p>
    <w:p>
      <w:pPr>
        <w:widowControl/>
        <w:jc w:val="both"/>
        <w:rPr>
          <w:rFonts w:eastAsia="Calibri"/>
          <w:noProof/>
          <w:lang w:eastAsia="en-GB"/>
        </w:rPr>
      </w:pPr>
      <w:r>
        <w:rPr>
          <w:rFonts w:eastAsia="Calibri"/>
          <w:noProof/>
          <w:lang w:eastAsia="en-GB"/>
        </w:rPr>
        <w:t>10.1. Amount of the lower and upper limits of the unemployment allowance referred to in the second subparagraph of Article 28a(3) of the Conditions of Employment of Other Servants, applicable from 1 July 2015:</w:t>
      </w:r>
    </w:p>
    <w:p>
      <w:pPr>
        <w:widowControl/>
        <w:jc w:val="both"/>
        <w:rPr>
          <w:rFonts w:eastAsia="Calibri"/>
          <w:noProof/>
          <w:lang w:eastAsia="en-GB"/>
        </w:rPr>
      </w:pPr>
      <w:r>
        <w:rPr>
          <w:rFonts w:eastAsia="Calibri"/>
          <w:noProof/>
          <w:lang w:eastAsia="en-GB"/>
        </w:rPr>
        <w:t>- EUR 1380,24 (lower limit);</w:t>
      </w:r>
    </w:p>
    <w:p>
      <w:pPr>
        <w:widowControl/>
        <w:jc w:val="both"/>
        <w:rPr>
          <w:rFonts w:eastAsia="Calibri"/>
          <w:noProof/>
          <w:lang w:eastAsia="en-GB"/>
        </w:rPr>
      </w:pPr>
      <w:r>
        <w:rPr>
          <w:rFonts w:eastAsia="Calibri"/>
          <w:noProof/>
          <w:lang w:eastAsia="en-GB"/>
        </w:rPr>
        <w:t xml:space="preserve">- EUR 2760,49 (upper limit). </w:t>
      </w:r>
    </w:p>
    <w:p>
      <w:pPr>
        <w:widowControl/>
        <w:jc w:val="both"/>
        <w:rPr>
          <w:rFonts w:eastAsia="Calibri"/>
          <w:noProof/>
          <w:lang w:eastAsia="en-GB"/>
        </w:rPr>
      </w:pPr>
      <w:r>
        <w:rPr>
          <w:rFonts w:eastAsia="Calibri"/>
          <w:noProof/>
          <w:lang w:eastAsia="en-GB"/>
        </w:rPr>
        <w:t>10.2. Amount of the standard allowance referred to in Article 28a(7) of the Conditions of Employment of Other Servants, applicable from 1 July 2015  - EUR 1254,77.</w:t>
      </w:r>
    </w:p>
    <w:p>
      <w:pPr>
        <w:widowControl/>
        <w:jc w:val="both"/>
        <w:rPr>
          <w:rFonts w:eastAsia="Calibri"/>
          <w:noProof/>
          <w:lang w:eastAsia="en-GB"/>
        </w:rPr>
      </w:pPr>
    </w:p>
    <w:p>
      <w:pPr>
        <w:widowControl/>
        <w:jc w:val="both"/>
        <w:rPr>
          <w:rFonts w:eastAsia="Calibri"/>
          <w:noProof/>
          <w:lang w:eastAsia="en-GB"/>
        </w:rPr>
      </w:pPr>
      <w:r>
        <w:rPr>
          <w:rFonts w:eastAsia="Calibri"/>
          <w:noProof/>
          <w:lang w:eastAsia="en-GB"/>
        </w:rPr>
        <w:t>11. Table containing the amounts of the scale of basic salaries provided for in Article 93 of the Conditions of Employment of Other Servants, applicable from 1 July 2015:</w:t>
      </w:r>
    </w:p>
    <w:p>
      <w:pPr>
        <w:widowControl/>
        <w:spacing w:before="120" w:after="120" w:line="240" w:lineRule="auto"/>
        <w:jc w:val="both"/>
        <w:rPr>
          <w:rFonts w:eastAsia="Calibri"/>
          <w:noProof/>
          <w:lang w:eastAsia="en-GB"/>
        </w:rPr>
      </w:pPr>
    </w:p>
    <w:p>
      <w:pPr>
        <w:widowControl/>
        <w:spacing w:before="120" w:after="120" w:line="240" w:lineRule="auto"/>
        <w:jc w:val="both"/>
        <w:rPr>
          <w:rFonts w:eastAsia="Calibri"/>
          <w:noProof/>
          <w:lang w:eastAsia="en-GB"/>
        </w:rPr>
      </w:pPr>
      <w:r>
        <w:rPr>
          <w:rFonts w:eastAsia="Calibri"/>
          <w:noProof/>
          <w:lang w:val="en-US" w:eastAsia="en-US"/>
        </w:rPr>
        <w:drawing>
          <wp:inline distT="0" distB="0" distL="0" distR="0">
            <wp:extent cx="5410200" cy="3286125"/>
            <wp:effectExtent l="0" t="0" r="0" b="9525"/>
            <wp:docPr id="5223" name="Picture 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0200" cy="3286125"/>
                    </a:xfrm>
                    <a:prstGeom prst="rect">
                      <a:avLst/>
                    </a:prstGeom>
                    <a:noFill/>
                    <a:ln>
                      <a:noFill/>
                    </a:ln>
                  </pic:spPr>
                </pic:pic>
              </a:graphicData>
            </a:graphic>
          </wp:inline>
        </w:drawing>
      </w:r>
    </w:p>
    <w:p>
      <w:pPr>
        <w:widowControl/>
        <w:spacing w:before="120" w:after="120" w:line="240" w:lineRule="auto"/>
        <w:jc w:val="both"/>
        <w:rPr>
          <w:rFonts w:eastAsia="Calibri"/>
          <w:noProof/>
          <w:lang w:eastAsia="en-GB"/>
        </w:rPr>
      </w:pPr>
    </w:p>
    <w:p>
      <w:pPr>
        <w:widowControl/>
        <w:jc w:val="both"/>
        <w:rPr>
          <w:rFonts w:eastAsia="Calibri"/>
          <w:noProof/>
          <w:lang w:eastAsia="en-GB"/>
        </w:rPr>
      </w:pPr>
      <w:r>
        <w:rPr>
          <w:rFonts w:eastAsia="Calibri"/>
          <w:noProof/>
          <w:lang w:eastAsia="en-GB"/>
        </w:rPr>
        <w:t xml:space="preserve">12. Amount of the lower limit for the installation allowance referred to in Article 94 of the Conditions of Employment of Other Servants, applicable from 1 July 2015: </w:t>
      </w:r>
    </w:p>
    <w:p>
      <w:pPr>
        <w:widowControl/>
        <w:tabs>
          <w:tab w:val="num" w:pos="283"/>
        </w:tabs>
        <w:ind w:left="283" w:hanging="283"/>
        <w:jc w:val="both"/>
        <w:rPr>
          <w:noProof/>
          <w:szCs w:val="24"/>
          <w:lang w:eastAsia="de-DE"/>
        </w:rPr>
      </w:pPr>
      <w:r>
        <w:rPr>
          <w:noProof/>
          <w:szCs w:val="24"/>
          <w:lang w:eastAsia="de-DE"/>
        </w:rPr>
        <w:t>-</w:t>
      </w:r>
      <w:r>
        <w:rPr>
          <w:noProof/>
          <w:szCs w:val="24"/>
          <w:lang w:eastAsia="de-DE"/>
        </w:rPr>
        <w:tab/>
        <w:t>EUR 865,66 for a servant who is entitled to the household allowance;</w:t>
      </w:r>
    </w:p>
    <w:p>
      <w:pPr>
        <w:widowControl/>
        <w:tabs>
          <w:tab w:val="num" w:pos="283"/>
        </w:tabs>
        <w:ind w:left="283" w:hanging="283"/>
        <w:jc w:val="both"/>
        <w:rPr>
          <w:noProof/>
          <w:szCs w:val="24"/>
          <w:lang w:eastAsia="de-DE"/>
        </w:rPr>
      </w:pPr>
      <w:r>
        <w:rPr>
          <w:noProof/>
          <w:szCs w:val="24"/>
          <w:lang w:eastAsia="de-DE"/>
        </w:rPr>
        <w:t>-</w:t>
      </w:r>
      <w:r>
        <w:rPr>
          <w:noProof/>
          <w:szCs w:val="24"/>
          <w:lang w:eastAsia="de-DE"/>
        </w:rPr>
        <w:tab/>
        <w:t>EUR 513,23 for a servant who is not entitled to the household allowance.</w:t>
      </w:r>
    </w:p>
    <w:p>
      <w:pPr>
        <w:widowControl/>
        <w:jc w:val="both"/>
        <w:rPr>
          <w:rFonts w:eastAsia="Calibri"/>
          <w:i/>
          <w:noProof/>
          <w:lang w:eastAsia="en-GB"/>
        </w:rPr>
      </w:pPr>
    </w:p>
    <w:p>
      <w:pPr>
        <w:widowControl/>
        <w:jc w:val="both"/>
        <w:rPr>
          <w:rFonts w:eastAsia="Calibri"/>
          <w:noProof/>
          <w:lang w:eastAsia="en-GB"/>
        </w:rPr>
      </w:pPr>
      <w:r>
        <w:rPr>
          <w:rFonts w:eastAsia="Calibri"/>
          <w:noProof/>
          <w:lang w:eastAsia="en-GB"/>
        </w:rPr>
        <w:t>13.1. Amount of the lower and upper limits of the unemployment allowance referred to in the second subparagraph of Article 96(3) of the Conditions of Employment of Other Servants, applicable from 1 July 2015:</w:t>
      </w:r>
    </w:p>
    <w:p>
      <w:pPr>
        <w:widowControl/>
        <w:jc w:val="both"/>
        <w:rPr>
          <w:rFonts w:eastAsia="Calibri"/>
          <w:noProof/>
          <w:lang w:eastAsia="en-GB"/>
        </w:rPr>
      </w:pPr>
      <w:r>
        <w:rPr>
          <w:rFonts w:eastAsia="Calibri"/>
          <w:noProof/>
          <w:lang w:eastAsia="en-GB"/>
        </w:rPr>
        <w:t>- EUR 1035,18 (the lower limit);</w:t>
      </w:r>
    </w:p>
    <w:p>
      <w:pPr>
        <w:widowControl/>
        <w:jc w:val="both"/>
        <w:rPr>
          <w:rFonts w:eastAsia="Calibri"/>
          <w:noProof/>
          <w:lang w:eastAsia="en-GB"/>
        </w:rPr>
      </w:pPr>
      <w:r>
        <w:rPr>
          <w:rFonts w:eastAsia="Calibri"/>
          <w:noProof/>
          <w:lang w:eastAsia="en-GB"/>
        </w:rPr>
        <w:t>- EUR 2070,35 (the upper limit).</w:t>
      </w:r>
    </w:p>
    <w:p>
      <w:pPr>
        <w:widowControl/>
        <w:jc w:val="both"/>
        <w:rPr>
          <w:rFonts w:eastAsia="Calibri"/>
          <w:noProof/>
          <w:lang w:eastAsia="en-GB"/>
        </w:rPr>
      </w:pPr>
      <w:r>
        <w:rPr>
          <w:rFonts w:eastAsia="Calibri"/>
          <w:noProof/>
          <w:lang w:eastAsia="en-GB"/>
        </w:rPr>
        <w:t>13.2 Amount of the standard allowance referred to in Article 96(7) of the Conditions of Employment of Other Servants shall be EUR 941,08.</w:t>
      </w:r>
    </w:p>
    <w:p>
      <w:pPr>
        <w:widowControl/>
        <w:jc w:val="both"/>
        <w:rPr>
          <w:rFonts w:eastAsia="Calibri"/>
          <w:noProof/>
          <w:lang w:eastAsia="en-GB"/>
        </w:rPr>
      </w:pPr>
      <w:r>
        <w:rPr>
          <w:rFonts w:eastAsia="Calibri"/>
          <w:noProof/>
          <w:lang w:eastAsia="en-GB"/>
        </w:rPr>
        <w:t>13.3 Amount of the lower and the upper limits for the unemployment allowance referred to in Article 136 of the Conditions of Employment of Other Servants, applicable from 1 July 2015:</w:t>
      </w:r>
    </w:p>
    <w:p>
      <w:pPr>
        <w:widowControl/>
        <w:jc w:val="both"/>
        <w:rPr>
          <w:rFonts w:eastAsia="Calibri"/>
          <w:noProof/>
          <w:lang w:eastAsia="en-GB"/>
        </w:rPr>
      </w:pPr>
      <w:r>
        <w:rPr>
          <w:rFonts w:eastAsia="Calibri"/>
          <w:noProof/>
          <w:lang w:eastAsia="en-GB"/>
        </w:rPr>
        <w:t>- EUR 910,74 (lower limit);</w:t>
      </w:r>
    </w:p>
    <w:p>
      <w:pPr>
        <w:widowControl/>
        <w:jc w:val="both"/>
        <w:rPr>
          <w:rFonts w:eastAsia="Calibri"/>
          <w:noProof/>
          <w:lang w:eastAsia="en-GB"/>
        </w:rPr>
      </w:pPr>
      <w:r>
        <w:rPr>
          <w:rFonts w:eastAsia="Calibri"/>
          <w:noProof/>
          <w:lang w:eastAsia="en-GB"/>
        </w:rPr>
        <w:t>- EUR 2142,90 (upper limit).</w:t>
      </w:r>
    </w:p>
    <w:p>
      <w:pPr>
        <w:widowControl/>
        <w:jc w:val="both"/>
        <w:rPr>
          <w:rFonts w:eastAsia="Calibri"/>
          <w:noProof/>
          <w:lang w:eastAsia="en-GB"/>
        </w:rPr>
      </w:pPr>
    </w:p>
    <w:p>
      <w:pPr>
        <w:widowControl/>
        <w:jc w:val="both"/>
        <w:rPr>
          <w:rFonts w:eastAsia="Calibri"/>
          <w:noProof/>
          <w:lang w:eastAsia="en-GB"/>
        </w:rPr>
      </w:pPr>
      <w:r>
        <w:rPr>
          <w:rFonts w:eastAsia="Calibri"/>
          <w:noProof/>
          <w:lang w:eastAsia="en-GB"/>
        </w:rPr>
        <w:t>14. Amount of the allowances for shift work laid down in the first subparagraph of Article 1(1) of Council Regulation (ECSC, EEC, Euratom) No 300/76</w:t>
      </w:r>
      <w:r>
        <w:rPr>
          <w:rFonts w:eastAsia="Calibri"/>
          <w:noProof/>
          <w:vertAlign w:val="superscript"/>
          <w:lang w:eastAsia="en-GB"/>
        </w:rPr>
        <w:footnoteReference w:id="1"/>
      </w:r>
      <w:r>
        <w:rPr>
          <w:rFonts w:eastAsia="Calibri"/>
          <w:noProof/>
          <w:lang w:eastAsia="en-GB"/>
        </w:rPr>
        <w:t>:</w:t>
      </w:r>
    </w:p>
    <w:p>
      <w:pPr>
        <w:widowControl/>
        <w:jc w:val="both"/>
        <w:rPr>
          <w:rFonts w:eastAsia="Calibri"/>
          <w:noProof/>
          <w:lang w:eastAsia="en-GB"/>
        </w:rPr>
      </w:pPr>
      <w:r>
        <w:rPr>
          <w:rFonts w:eastAsia="Calibri"/>
          <w:noProof/>
          <w:lang w:eastAsia="en-GB"/>
        </w:rPr>
        <w:t xml:space="preserve">- EUR 394,48, </w:t>
      </w:r>
    </w:p>
    <w:p>
      <w:pPr>
        <w:widowControl/>
        <w:jc w:val="both"/>
        <w:rPr>
          <w:rFonts w:eastAsia="Calibri"/>
          <w:noProof/>
          <w:lang w:eastAsia="en-GB"/>
        </w:rPr>
      </w:pPr>
      <w:r>
        <w:rPr>
          <w:rFonts w:eastAsia="Calibri"/>
          <w:noProof/>
          <w:lang w:eastAsia="en-GB"/>
        </w:rPr>
        <w:t xml:space="preserve">- EUR 595,40, </w:t>
      </w:r>
    </w:p>
    <w:p>
      <w:pPr>
        <w:widowControl/>
        <w:jc w:val="both"/>
        <w:rPr>
          <w:rFonts w:eastAsia="Calibri"/>
          <w:noProof/>
          <w:lang w:eastAsia="en-GB"/>
        </w:rPr>
      </w:pPr>
      <w:r>
        <w:rPr>
          <w:rFonts w:eastAsia="Calibri"/>
          <w:noProof/>
          <w:lang w:eastAsia="en-GB"/>
        </w:rPr>
        <w:t>- EUR 651,00,</w:t>
      </w:r>
    </w:p>
    <w:p>
      <w:pPr>
        <w:widowControl/>
        <w:jc w:val="both"/>
        <w:rPr>
          <w:rFonts w:eastAsia="Calibri"/>
          <w:noProof/>
          <w:lang w:eastAsia="en-GB"/>
        </w:rPr>
      </w:pPr>
      <w:r>
        <w:rPr>
          <w:rFonts w:eastAsia="Calibri"/>
          <w:noProof/>
          <w:lang w:eastAsia="en-GB"/>
        </w:rPr>
        <w:t>- EUR 887,52.</w:t>
      </w:r>
    </w:p>
    <w:p>
      <w:pPr>
        <w:widowControl/>
        <w:jc w:val="both"/>
        <w:rPr>
          <w:rFonts w:eastAsia="Calibri"/>
          <w:noProof/>
          <w:lang w:eastAsia="en-GB"/>
        </w:rPr>
      </w:pPr>
    </w:p>
    <w:p>
      <w:pPr>
        <w:widowControl/>
        <w:jc w:val="both"/>
        <w:rPr>
          <w:rFonts w:eastAsia="Calibri"/>
          <w:noProof/>
          <w:lang w:eastAsia="en-GB"/>
        </w:rPr>
      </w:pPr>
      <w:r>
        <w:rPr>
          <w:rFonts w:eastAsia="Calibri"/>
          <w:noProof/>
          <w:lang w:eastAsia="en-GB"/>
        </w:rPr>
        <w:t>15. Coefficient, applicable from 1 July 2015 to the to the amounts referred to in Article 4 of Council Regulation (EEC, Euratom, ECSC) No 260/68</w:t>
      </w:r>
      <w:r>
        <w:rPr>
          <w:rFonts w:eastAsia="Calibri"/>
          <w:noProof/>
          <w:vertAlign w:val="superscript"/>
          <w:lang w:eastAsia="en-GB"/>
        </w:rPr>
        <w:footnoteReference w:id="2"/>
      </w:r>
      <w:r>
        <w:rPr>
          <w:rFonts w:eastAsia="Calibri"/>
          <w:noProof/>
          <w:lang w:eastAsia="en-GB"/>
        </w:rPr>
        <w:t xml:space="preserve"> - 5,6944.</w:t>
      </w:r>
    </w:p>
    <w:p>
      <w:pPr>
        <w:widowControl/>
        <w:jc w:val="both"/>
        <w:rPr>
          <w:rFonts w:eastAsia="Calibri"/>
          <w:noProof/>
          <w:lang w:eastAsia="en-GB"/>
        </w:rPr>
      </w:pPr>
    </w:p>
    <w:p>
      <w:pPr>
        <w:widowControl/>
        <w:jc w:val="both"/>
        <w:rPr>
          <w:rFonts w:eastAsia="Calibri"/>
          <w:noProof/>
          <w:lang w:eastAsia="en-GB"/>
        </w:rPr>
      </w:pPr>
      <w:r>
        <w:rPr>
          <w:rFonts w:eastAsia="Calibri"/>
          <w:noProof/>
          <w:lang w:eastAsia="en-GB"/>
        </w:rPr>
        <w:t>16. Table of the amounts provided for in Article 8(2) of Annex XIII to the Staff Regulations, applicable from 1 July 2015:</w:t>
      </w:r>
    </w:p>
    <w:p>
      <w:pPr>
        <w:widowControl/>
        <w:spacing w:before="120" w:after="120" w:line="240" w:lineRule="auto"/>
        <w:jc w:val="both"/>
        <w:rPr>
          <w:rFonts w:eastAsia="Calibri"/>
          <w:noProof/>
          <w:lang w:eastAsia="en-GB"/>
        </w:rPr>
      </w:pPr>
      <w:r>
        <w:rPr>
          <w:rFonts w:eastAsia="Calibri"/>
          <w:noProof/>
          <w:lang w:val="en-US" w:eastAsia="en-US"/>
        </w:rPr>
        <w:drawing>
          <wp:inline distT="0" distB="0" distL="0" distR="0">
            <wp:extent cx="5641975" cy="3269615"/>
            <wp:effectExtent l="0" t="0" r="0" b="6985"/>
            <wp:docPr id="5237" name="Picture 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1975" cy="3269615"/>
                    </a:xfrm>
                    <a:prstGeom prst="rect">
                      <a:avLst/>
                    </a:prstGeom>
                    <a:noFill/>
                    <a:ln>
                      <a:noFill/>
                    </a:ln>
                  </pic:spPr>
                </pic:pic>
              </a:graphicData>
            </a:graphic>
          </wp:inline>
        </w:drawing>
      </w:r>
    </w:p>
    <w:p>
      <w:pPr>
        <w:keepNext/>
        <w:widowControl/>
        <w:jc w:val="center"/>
        <w:rPr>
          <w:rFonts w:eastAsia="Calibri"/>
          <w:i/>
          <w:noProof/>
          <w:lang w:eastAsia="en-GB"/>
        </w:rPr>
      </w:pPr>
    </w:p>
    <w:p>
      <w:pPr>
        <w:widowControl/>
        <w:jc w:val="both"/>
        <w:rPr>
          <w:rFonts w:eastAsia="Calibri"/>
          <w:noProof/>
          <w:lang w:eastAsia="en-GB"/>
        </w:rPr>
      </w:pPr>
      <w:r>
        <w:rPr>
          <w:rFonts w:eastAsia="Calibri"/>
          <w:noProof/>
          <w:lang w:eastAsia="en-GB"/>
        </w:rPr>
        <w:t>17. Amount, applicable from 1 July 2015, of the fixed allowance mentioned in the former Article 4a of Annex VII to the Staff Regulations, in force before 1 May 2004, which is used for the application of Article 18(1) of Annex XIII to the Staff Regulations,:</w:t>
      </w:r>
    </w:p>
    <w:p>
      <w:pPr>
        <w:widowControl/>
        <w:jc w:val="both"/>
        <w:rPr>
          <w:rFonts w:eastAsia="Calibri"/>
          <w:noProof/>
          <w:lang w:eastAsia="en-GB"/>
        </w:rPr>
      </w:pPr>
      <w:r>
        <w:rPr>
          <w:rFonts w:eastAsia="Calibri"/>
          <w:noProof/>
          <w:lang w:eastAsia="en-GB"/>
        </w:rPr>
        <w:t>- EUR 136,08 per month for officials in Grade C4 or C5;</w:t>
      </w:r>
    </w:p>
    <w:p>
      <w:pPr>
        <w:widowControl/>
        <w:jc w:val="both"/>
        <w:rPr>
          <w:rFonts w:eastAsia="Calibri"/>
          <w:noProof/>
          <w:lang w:eastAsia="en-GB"/>
        </w:rPr>
      </w:pPr>
      <w:r>
        <w:rPr>
          <w:rFonts w:eastAsia="Calibri"/>
          <w:noProof/>
          <w:lang w:eastAsia="en-GB"/>
        </w:rPr>
        <w:t>- EUR 208,65 per month for officials in Grade C1, C2 or C3.</w:t>
      </w:r>
    </w:p>
    <w:p>
      <w:pPr>
        <w:widowControl/>
        <w:jc w:val="both"/>
        <w:rPr>
          <w:rFonts w:eastAsia="Calibri"/>
          <w:noProof/>
          <w:lang w:eastAsia="en-GB"/>
        </w:rPr>
      </w:pPr>
    </w:p>
    <w:p>
      <w:pPr>
        <w:widowControl/>
        <w:jc w:val="both"/>
        <w:rPr>
          <w:rFonts w:eastAsia="Calibri"/>
          <w:noProof/>
          <w:lang w:eastAsia="en-GB"/>
        </w:rPr>
      </w:pPr>
      <w:r>
        <w:rPr>
          <w:rFonts w:eastAsia="Calibri"/>
          <w:noProof/>
          <w:lang w:eastAsia="en-GB"/>
        </w:rPr>
        <w:t>18. Table containing the amounts of the scale of basic salaries provided for in Article 133 of the Conditions of Employment of Other Servants, applicable from 1 July 2015:</w:t>
      </w:r>
    </w:p>
    <w:p>
      <w:pPr>
        <w:widowControl/>
        <w:spacing w:before="120" w:after="120" w:line="240" w:lineRule="auto"/>
        <w:jc w:val="both"/>
        <w:rPr>
          <w:rFonts w:eastAsia="Calibri"/>
          <w:noProof/>
          <w:lang w:eastAsia="en-GB"/>
        </w:rPr>
      </w:pPr>
      <w:r>
        <w:rPr>
          <w:rFonts w:eastAsia="Calibri"/>
          <w:noProof/>
          <w:lang w:val="en-US" w:eastAsia="en-US"/>
        </w:rPr>
        <w:drawing>
          <wp:inline distT="0" distB="0" distL="0" distR="0">
            <wp:extent cx="4839335" cy="1466215"/>
            <wp:effectExtent l="0" t="0" r="0" b="63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9335" cy="1466215"/>
                    </a:xfrm>
                    <a:prstGeom prst="rect">
                      <a:avLst/>
                    </a:prstGeom>
                    <a:noFill/>
                    <a:ln>
                      <a:noFill/>
                    </a:ln>
                  </pic:spPr>
                </pic:pic>
              </a:graphicData>
            </a:graphic>
          </wp:inline>
        </w:drawing>
      </w:r>
    </w:p>
    <w:p>
      <w:pPr>
        <w:rPr>
          <w:noProof/>
        </w:rPr>
      </w:pPr>
    </w:p>
    <w:p>
      <w:pPr>
        <w:widowControl/>
        <w:spacing w:after="200" w:line="276" w:lineRule="auto"/>
        <w:rPr>
          <w:noProof/>
        </w:rPr>
      </w:pPr>
      <w:r>
        <w:rPr>
          <w:noProof/>
        </w:rPr>
        <w:br w:type="page"/>
      </w:r>
    </w:p>
    <w:p>
      <w:pPr>
        <w:widowControl/>
        <w:spacing w:before="360" w:after="360" w:line="240" w:lineRule="auto"/>
        <w:jc w:val="right"/>
        <w:rPr>
          <w:b/>
          <w:i/>
          <w:noProof/>
          <w:szCs w:val="24"/>
          <w:u w:val="single"/>
          <w:lang w:eastAsia="en-US"/>
        </w:rPr>
      </w:pPr>
      <w:r>
        <w:rPr>
          <w:b/>
          <w:i/>
          <w:noProof/>
          <w:szCs w:val="24"/>
          <w:u w:val="single"/>
          <w:lang w:eastAsia="en-US"/>
        </w:rPr>
        <w:t xml:space="preserve">Draft </w:t>
      </w:r>
    </w:p>
    <w:p>
      <w:pPr>
        <w:widowControl/>
        <w:spacing w:before="360" w:after="360" w:line="240" w:lineRule="auto"/>
        <w:jc w:val="center"/>
        <w:rPr>
          <w:b/>
          <w:i/>
          <w:noProof/>
          <w:szCs w:val="24"/>
          <w:lang w:eastAsia="en-US"/>
        </w:rPr>
      </w:pPr>
      <w:r>
        <w:rPr>
          <w:b/>
          <w:i/>
          <w:noProof/>
          <w:szCs w:val="24"/>
          <w:lang w:eastAsia="en-US"/>
        </w:rPr>
        <w:t xml:space="preserve">ANNEX II </w:t>
      </w:r>
    </w:p>
    <w:p>
      <w:pPr>
        <w:widowControl/>
        <w:spacing w:before="360" w:after="360" w:line="240" w:lineRule="auto"/>
        <w:jc w:val="center"/>
        <w:rPr>
          <w:b/>
          <w:noProof/>
          <w:szCs w:val="24"/>
          <w:lang w:eastAsia="en-US"/>
        </w:rPr>
      </w:pPr>
      <w:r>
        <w:rPr>
          <w:b/>
          <w:noProof/>
          <w:szCs w:val="24"/>
          <w:lang w:eastAsia="en-US"/>
        </w:rPr>
        <w:t xml:space="preserve">ANNUAL UPDATE </w:t>
      </w:r>
    </w:p>
    <w:p>
      <w:pPr>
        <w:widowControl/>
        <w:spacing w:before="360" w:after="360" w:line="240" w:lineRule="auto"/>
        <w:jc w:val="center"/>
        <w:rPr>
          <w:b/>
          <w:noProof/>
          <w:szCs w:val="24"/>
          <w:lang w:eastAsia="en-US"/>
        </w:rPr>
      </w:pPr>
      <w:r>
        <w:rPr>
          <w:b/>
          <w:noProof/>
          <w:szCs w:val="24"/>
          <w:lang w:eastAsia="en-US"/>
        </w:rPr>
        <w:t>OF THE WEIGHTINGS APPLICABLE TO THE REMUNERATION OF OFFICIALS, TEMPORARY STAFF AND CONTRACT STAFF OF THE EUROPEAN UNION SERVING IN THIRD COUNTRIES</w:t>
      </w:r>
      <w:r>
        <w:rPr>
          <w:rFonts w:ascii="Calibri" w:eastAsia="Calibri" w:hAnsi="Calibri"/>
          <w:b/>
          <w:noProof/>
          <w:sz w:val="22"/>
          <w:szCs w:val="22"/>
          <w:vertAlign w:val="superscript"/>
          <w:lang w:eastAsia="en-US"/>
        </w:rPr>
        <w:footnoteReference w:id="3"/>
      </w:r>
    </w:p>
    <w:tbl>
      <w:tblPr>
        <w:tblW w:w="9229"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4551"/>
        <w:gridCol w:w="1560"/>
        <w:gridCol w:w="1559"/>
        <w:gridCol w:w="1559"/>
      </w:tblGrid>
      <w:tr>
        <w:trPr>
          <w:trHeight w:val="120"/>
        </w:trPr>
        <w:tc>
          <w:tcPr>
            <w:tcW w:w="4551" w:type="dxa"/>
            <w:shd w:val="clear" w:color="000000" w:fill="FFFFFF"/>
            <w:vAlign w:val="center"/>
            <w:hideMark/>
          </w:tcPr>
          <w:p>
            <w:pPr>
              <w:widowControl/>
              <w:spacing w:line="276" w:lineRule="auto"/>
              <w:jc w:val="center"/>
              <w:rPr>
                <w:rFonts w:ascii="Calibri" w:eastAsia="Calibri" w:hAnsi="Calibri"/>
                <w:b/>
                <w:noProof/>
                <w:sz w:val="22"/>
                <w:szCs w:val="22"/>
                <w:lang w:eastAsia="en-US"/>
              </w:rPr>
            </w:pPr>
            <w:r>
              <w:rPr>
                <w:rFonts w:ascii="Calibri" w:eastAsia="Calibri" w:hAnsi="Calibri"/>
                <w:b/>
                <w:noProof/>
                <w:sz w:val="22"/>
                <w:szCs w:val="22"/>
                <w:lang w:eastAsia="en-US"/>
              </w:rPr>
              <w:t>PLACE OF EMPLOYMENT</w:t>
            </w:r>
          </w:p>
        </w:tc>
        <w:tc>
          <w:tcPr>
            <w:tcW w:w="1560" w:type="dxa"/>
            <w:shd w:val="clear" w:color="000000" w:fill="FFFFFF"/>
            <w:vAlign w:val="center"/>
            <w:hideMark/>
          </w:tcPr>
          <w:p>
            <w:pPr>
              <w:widowControl/>
              <w:spacing w:line="276" w:lineRule="auto"/>
              <w:jc w:val="center"/>
              <w:rPr>
                <w:rFonts w:ascii="Calibri" w:eastAsia="Calibri" w:hAnsi="Calibri"/>
                <w:b/>
                <w:noProof/>
                <w:sz w:val="22"/>
                <w:szCs w:val="22"/>
                <w:lang w:eastAsia="en-US"/>
              </w:rPr>
            </w:pPr>
            <w:r>
              <w:rPr>
                <w:rFonts w:ascii="Calibri" w:eastAsia="Calibri" w:hAnsi="Calibri"/>
                <w:b/>
                <w:noProof/>
                <w:sz w:val="22"/>
                <w:szCs w:val="22"/>
                <w:lang w:eastAsia="en-US"/>
              </w:rPr>
              <w:t>Economic parity</w:t>
            </w:r>
            <w:r>
              <w:rPr>
                <w:rFonts w:ascii="Calibri" w:eastAsia="Calibri" w:hAnsi="Calibri"/>
                <w:b/>
                <w:noProof/>
                <w:sz w:val="22"/>
                <w:szCs w:val="22"/>
                <w:lang w:eastAsia="en-US"/>
              </w:rPr>
              <w:br/>
              <w:t>July 2015</w:t>
            </w:r>
          </w:p>
        </w:tc>
        <w:tc>
          <w:tcPr>
            <w:tcW w:w="1559" w:type="dxa"/>
            <w:shd w:val="clear" w:color="000000" w:fill="FFFFFF"/>
            <w:vAlign w:val="center"/>
            <w:hideMark/>
          </w:tcPr>
          <w:p>
            <w:pPr>
              <w:widowControl/>
              <w:spacing w:line="276" w:lineRule="auto"/>
              <w:jc w:val="center"/>
              <w:rPr>
                <w:rFonts w:ascii="Calibri" w:eastAsia="Calibri" w:hAnsi="Calibri"/>
                <w:b/>
                <w:noProof/>
                <w:sz w:val="22"/>
                <w:szCs w:val="22"/>
                <w:lang w:eastAsia="en-US"/>
              </w:rPr>
            </w:pPr>
            <w:r>
              <w:rPr>
                <w:rFonts w:ascii="Calibri" w:eastAsia="Calibri" w:hAnsi="Calibri"/>
                <w:b/>
                <w:noProof/>
                <w:sz w:val="22"/>
                <w:szCs w:val="22"/>
                <w:lang w:eastAsia="en-US"/>
              </w:rPr>
              <w:t>Exchange rate</w:t>
            </w:r>
            <w:r>
              <w:rPr>
                <w:rFonts w:ascii="Calibri" w:eastAsia="Calibri" w:hAnsi="Calibri"/>
                <w:b/>
                <w:noProof/>
                <w:sz w:val="22"/>
                <w:szCs w:val="22"/>
                <w:lang w:eastAsia="en-US"/>
              </w:rPr>
              <w:br/>
              <w:t>July 2015 (*)</w:t>
            </w:r>
          </w:p>
        </w:tc>
        <w:tc>
          <w:tcPr>
            <w:tcW w:w="1559" w:type="dxa"/>
            <w:shd w:val="clear" w:color="000000" w:fill="FFFFFF"/>
            <w:vAlign w:val="center"/>
            <w:hideMark/>
          </w:tcPr>
          <w:p>
            <w:pPr>
              <w:widowControl/>
              <w:spacing w:line="276" w:lineRule="auto"/>
              <w:jc w:val="center"/>
              <w:rPr>
                <w:rFonts w:ascii="Calibri" w:eastAsia="Calibri" w:hAnsi="Calibri"/>
                <w:b/>
                <w:noProof/>
                <w:sz w:val="22"/>
                <w:szCs w:val="22"/>
                <w:lang w:eastAsia="en-US"/>
              </w:rPr>
            </w:pPr>
            <w:r>
              <w:rPr>
                <w:rFonts w:ascii="Calibri" w:eastAsia="Calibri" w:hAnsi="Calibri"/>
                <w:b/>
                <w:noProof/>
                <w:sz w:val="22"/>
                <w:szCs w:val="22"/>
                <w:lang w:eastAsia="en-US"/>
              </w:rPr>
              <w:t>Weighting</w:t>
            </w:r>
            <w:r>
              <w:rPr>
                <w:rFonts w:ascii="Calibri" w:eastAsia="Calibri" w:hAnsi="Calibri"/>
                <w:b/>
                <w:noProof/>
                <w:sz w:val="22"/>
                <w:szCs w:val="22"/>
                <w:lang w:eastAsia="en-US"/>
              </w:rPr>
              <w:br/>
              <w:t xml:space="preserve"> July 2015 (**)</w:t>
            </w:r>
          </w:p>
        </w:tc>
      </w:tr>
      <w:tr>
        <w:trPr>
          <w:trHeight w:val="120"/>
        </w:trPr>
        <w:tc>
          <w:tcPr>
            <w:tcW w:w="4551" w:type="dxa"/>
            <w:tcBorders>
              <w:top w:val="double" w:sz="6"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Afghanistan(***)</w:t>
            </w:r>
          </w:p>
        </w:tc>
        <w:tc>
          <w:tcPr>
            <w:tcW w:w="1560" w:type="dxa"/>
            <w:tcBorders>
              <w:top w:val="double" w:sz="6"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lang w:eastAsia="en-US"/>
              </w:rPr>
            </w:pPr>
          </w:p>
        </w:tc>
        <w:tc>
          <w:tcPr>
            <w:tcW w:w="1559" w:type="dxa"/>
            <w:tcBorders>
              <w:top w:val="double" w:sz="6"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lang w:eastAsia="en-US"/>
              </w:rPr>
            </w:pPr>
          </w:p>
        </w:tc>
        <w:tc>
          <w:tcPr>
            <w:tcW w:w="1559" w:type="dxa"/>
            <w:tcBorders>
              <w:top w:val="double" w:sz="6"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lang w:eastAsia="en-US"/>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Albania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79,96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140,550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56,9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Algeria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79,28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110,821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71,5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Angola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200,1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134,757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148,5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Argentina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9,287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10,0965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92,0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Armenia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437,7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529,690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82,6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Australia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1,457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1,45260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100,3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Azerbaijan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1,078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1,16696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92,4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Bangladesh</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71,37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86,6147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82,4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Barbados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2,749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2,23853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122,8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Belarus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9132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17248,0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52,9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Belize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1,858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2,24330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82,8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Benin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684,2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104,3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Bolivia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6,891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7,69290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lang w:eastAsia="en-US"/>
              </w:rPr>
            </w:pPr>
            <w:r>
              <w:rPr>
                <w:rFonts w:asciiTheme="minorHAnsi" w:eastAsia="Calibri" w:hAnsiTheme="minorHAnsi" w:cstheme="minorHAnsi"/>
                <w:noProof/>
                <w:sz w:val="22"/>
                <w:szCs w:val="22"/>
                <w:lang w:eastAsia="en-US"/>
              </w:rPr>
              <w:t>89,6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Bosnia and Herzegovina (Banja Luka)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1,95583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55,8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Bosnia and Herzegovina (Sarajevo)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1,95583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Botswana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6,330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11,0742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Brazil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3,597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3,49590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Burkina Faso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636,2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Burundi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1751,18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84,4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Cambodia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3827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4614,00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Cameroon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633,7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96,6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Canada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1,37760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Cape Verde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76,68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110,265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Central African Republic</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680,8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Chad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780,1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118,9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Chile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397,1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704,519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56,4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China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6,929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6,91210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100,2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Colombia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2839,74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74,0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Comoros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317,2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491,968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Congo (Brazzaville)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806,2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Costa Rica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498,7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595,543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Cuba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Democratic Republic of the Congo (Kinshasa)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1,825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163,9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Djibouti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181,1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197,857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Dominican Republic</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33,73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50,2830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67,1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Ecuador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92,3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Egypt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6,718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8,52845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El Salvador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0,8567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Eritrea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17,3943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Ethiopia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22,17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23,2380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95,4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Fiji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1,609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2,33918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Former Yugoslav Republic of Macedonia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30,65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61,6940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Gabon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719,9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Gambia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33,81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43,9300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Georgia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1,577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2,51700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Ghana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2,787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4,81095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Guatemala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8,027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8,47985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94,7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Guinea (Conakry)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7414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8206,67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90,3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Guinea-Bissau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585,6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Guyana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171,5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231,930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Haiti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53,18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55,8709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95,2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Honduras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22,08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24,4101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90,5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Hong Kong</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10,71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8,63060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Iceland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186,8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147,770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126,4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India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54,37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71,0695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76,5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Indonesia (Banda Aceh)</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10316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14868,3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69,4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Indonesia (Jakarta)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11232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14868,3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75,5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Iran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bottom"/>
          </w:tcPr>
          <w:p>
            <w:pPr>
              <w:widowControl/>
              <w:spacing w:after="200" w:line="276" w:lineRule="auto"/>
              <w:jc w:val="center"/>
              <w:rPr>
                <w:rFonts w:ascii="Arial" w:eastAsia="Calibri" w:hAnsi="Arial" w:cs="Arial"/>
                <w:noProof/>
                <w:sz w:val="20"/>
                <w:lang w:eastAsia="en-US"/>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Iraq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Israel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4,559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4,22500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Ivory Coast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637,3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Jamaica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119,8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129,193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Japan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136,810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94,7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Jordan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0,8276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0,789330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Kazakhstan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206,1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208,950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Kenya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99,88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110,340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90,5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Kosovo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0,7104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1,00000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Kyrgyzstan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54,01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68,1088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Laos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9306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9075,00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102,5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Lebanon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1702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1678,30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101,4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Lesotho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6,816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13,6434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50,0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Liberia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124,9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Libya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Madagascar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3080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3197,30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96,3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Malawi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374,0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490,125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76,3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Malaysia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3,053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4,20700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72,6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Mali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648,5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98,9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Mauritania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249,5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364,760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68,4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Mauritius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28,69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39,4345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72,8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Mexico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17,3959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71,9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Moldova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21,1341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Montenegro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0,6274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1,00000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Morocco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7,879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10,9025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72,3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Mozambique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32,16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44,8000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71,8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Myanmar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815,3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1212,38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Namibia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9,241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13,6434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67,7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Nepal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114,080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New Caledonia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119,332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New Zealand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1,705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1,62680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Nicaragua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19,43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30,3371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64,0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Niger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553,7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84,4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Nigeria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214,1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220,223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Norway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8,80650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135,6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Pakistan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69,70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113,767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61,3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Panama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0,8670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Papua New Guinea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3,514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3,05432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Paraguay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3984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5738,95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69,4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Peru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3,322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3,53640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Philippines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50,3010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84,0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Russia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57,26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61,6025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93,0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Rwanda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702,2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805,110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Samoa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2,715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2,85462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Saudi Arabia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3,521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4,17488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84,3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Senegal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666,0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Serbia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73,39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120,422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60,9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Sierra Leone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7270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5411,94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134,3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Singapore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1,971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1,50160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131,3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Solomon Islands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8,73172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116,4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Somalia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South Africa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7,905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13,6434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South Korea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1249,68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South-Sudan (Juba)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4,259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3,28424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Sri Lanka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122,4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149,945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81,6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Sudan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9,975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7,01746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142,1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Suriname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2,791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3,67389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76,0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Swaziland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8,707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13,6434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Switzerland (Bern)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1,03760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Switzerland (Geneva)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1,03760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Syria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Taiwan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34,4458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93,6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Tajikistan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4,656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6,96948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66,8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Tanzania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1443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2337,55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61,7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Thailand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31,06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37,6350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82,5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Timor Leste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95,7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Togo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533,1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81,3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Trinidad and Tobago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6,886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7,16400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Tunisia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1,519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2,17640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69,8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Turkey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2,332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2,99050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Turkmenistan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2,536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3,89655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Uganda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2551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3646,60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70,0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Ukraine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23,5775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United Arab Emirates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3,988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4,09190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97,5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United States (New York)</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108,9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United States (Washington)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1,085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97,5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Uruguay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27,92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29,8676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Uzbekistan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2681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2839,86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94,4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Vanuatu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134,7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121,130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111,2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Venezuela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Vietnam</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15329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24281,1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63,1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West Bank — Gaza Strip</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5,181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4,22500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122,6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Yemen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285,8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239,237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Zambia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7,632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8,23290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92,7</w:t>
            </w:r>
          </w:p>
        </w:tc>
      </w:tr>
      <w:tr>
        <w:trPr>
          <w:trHeight w:val="120"/>
        </w:trPr>
        <w:tc>
          <w:tcPr>
            <w:tcW w:w="4551" w:type="dxa"/>
            <w:tcBorders>
              <w:top w:val="single" w:sz="4" w:space="0" w:color="auto"/>
              <w:left w:val="double" w:sz="6" w:space="0" w:color="auto"/>
              <w:bottom w:val="double" w:sz="6"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lang w:eastAsia="en-GB"/>
              </w:rPr>
            </w:pPr>
            <w:r>
              <w:rPr>
                <w:rFonts w:ascii="Calibri" w:eastAsia="Calibri" w:hAnsi="Calibri"/>
                <w:noProof/>
                <w:sz w:val="22"/>
                <w:szCs w:val="22"/>
                <w:lang w:eastAsia="en-GB"/>
              </w:rPr>
              <w:t>Zimbabwe (*)</w:t>
            </w:r>
          </w:p>
        </w:tc>
        <w:tc>
          <w:tcPr>
            <w:tcW w:w="1560" w:type="dxa"/>
            <w:tcBorders>
              <w:top w:val="single" w:sz="4" w:space="0" w:color="auto"/>
              <w:left w:val="single" w:sz="4" w:space="0" w:color="auto"/>
              <w:bottom w:val="double" w:sz="6"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1,078</w:t>
            </w:r>
          </w:p>
        </w:tc>
        <w:tc>
          <w:tcPr>
            <w:tcW w:w="1559" w:type="dxa"/>
            <w:tcBorders>
              <w:top w:val="single" w:sz="4" w:space="0" w:color="auto"/>
              <w:left w:val="single" w:sz="4" w:space="0" w:color="auto"/>
              <w:bottom w:val="double" w:sz="6"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1,11330</w:t>
            </w:r>
          </w:p>
        </w:tc>
        <w:tc>
          <w:tcPr>
            <w:tcW w:w="1559" w:type="dxa"/>
            <w:tcBorders>
              <w:top w:val="single" w:sz="4" w:space="0" w:color="auto"/>
              <w:left w:val="single" w:sz="4" w:space="0" w:color="auto"/>
              <w:bottom w:val="double" w:sz="6"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lang w:eastAsia="en-US"/>
              </w:rPr>
            </w:pPr>
            <w:r>
              <w:rPr>
                <w:rFonts w:ascii="Arial" w:eastAsia="Calibri" w:hAnsi="Arial" w:cs="Arial"/>
                <w:noProof/>
                <w:sz w:val="20"/>
                <w:lang w:eastAsia="en-US"/>
              </w:rPr>
              <w:t>96,8</w:t>
            </w:r>
          </w:p>
        </w:tc>
      </w:tr>
    </w:tbl>
    <w:p>
      <w:pPr>
        <w:widowControl/>
        <w:spacing w:after="200" w:line="276" w:lineRule="auto"/>
        <w:rPr>
          <w:rFonts w:ascii="Calibri" w:eastAsia="Calibri" w:hAnsi="Calibri"/>
          <w:noProof/>
          <w:sz w:val="16"/>
          <w:szCs w:val="16"/>
          <w:lang w:eastAsia="en-US"/>
        </w:rPr>
      </w:pPr>
      <w:r>
        <w:rPr>
          <w:rFonts w:ascii="Calibri" w:eastAsia="Calibri" w:hAnsi="Calibri"/>
          <w:noProof/>
          <w:sz w:val="16"/>
          <w:szCs w:val="16"/>
          <w:lang w:eastAsia="en-US"/>
        </w:rPr>
        <w:t xml:space="preserve">(*) 1 EURO = x units of local currency (USD for Cuba, El Salvador, Ecuador, Liberia, Panama, D.R. Congo, Timor-Leste and Zimbabwe). </w:t>
      </w:r>
    </w:p>
    <w:p>
      <w:pPr>
        <w:widowControl/>
        <w:spacing w:after="200" w:line="276" w:lineRule="auto"/>
        <w:rPr>
          <w:rFonts w:ascii="Calibri" w:eastAsia="Calibri" w:hAnsi="Calibri"/>
          <w:noProof/>
          <w:sz w:val="16"/>
          <w:szCs w:val="16"/>
          <w:lang w:eastAsia="en-US"/>
        </w:rPr>
      </w:pPr>
      <w:r>
        <w:rPr>
          <w:rFonts w:ascii="Calibri" w:eastAsia="Calibri" w:hAnsi="Calibri"/>
          <w:noProof/>
          <w:sz w:val="16"/>
          <w:szCs w:val="16"/>
          <w:lang w:eastAsia="en-US"/>
        </w:rPr>
        <w:t>(**) Brussels and Luxembourg = 100 %.</w:t>
      </w:r>
    </w:p>
    <w:p>
      <w:pPr>
        <w:widowControl/>
        <w:spacing w:after="200" w:line="276" w:lineRule="auto"/>
        <w:rPr>
          <w:rFonts w:ascii="Calibri" w:eastAsia="Calibri" w:hAnsi="Calibri"/>
          <w:noProof/>
          <w:sz w:val="22"/>
          <w:szCs w:val="22"/>
          <w:lang w:eastAsia="en-US"/>
        </w:rPr>
      </w:pPr>
      <w:r>
        <w:rPr>
          <w:rFonts w:ascii="Calibri" w:eastAsia="Calibri" w:hAnsi="Calibri"/>
          <w:noProof/>
          <w:sz w:val="16"/>
          <w:szCs w:val="16"/>
          <w:lang w:eastAsia="en-US"/>
        </w:rPr>
        <w:t>(***) Not available</w:t>
      </w:r>
      <w:r>
        <w:rPr>
          <w:rFonts w:ascii="Calibri" w:eastAsia="Calibri" w:hAnsi="Calibri"/>
          <w:noProof/>
          <w:sz w:val="22"/>
          <w:szCs w:val="22"/>
          <w:lang w:eastAsia="en-US"/>
        </w:rPr>
        <w:t xml:space="preserve"> </w:t>
      </w:r>
      <w:r>
        <w:rPr>
          <w:rFonts w:ascii="Calibri" w:eastAsia="Calibri" w:hAnsi="Calibri"/>
          <w:noProof/>
          <w:sz w:val="16"/>
          <w:szCs w:val="16"/>
          <w:lang w:eastAsia="en-US"/>
        </w:rPr>
        <w:t>because of local instability or unreliable data.</w:t>
      </w:r>
    </w:p>
    <w:p>
      <w:pPr>
        <w:widowControl/>
        <w:spacing w:after="200" w:line="276" w:lineRule="auto"/>
        <w:rPr>
          <w:noProof/>
        </w:rPr>
      </w:pPr>
      <w:r>
        <w:rPr>
          <w:noProof/>
        </w:rPr>
        <w:br w:type="page"/>
      </w:r>
    </w:p>
    <w:tbl>
      <w:tblPr>
        <w:tblpPr w:leftFromText="180" w:rightFromText="180" w:vertAnchor="page" w:horzAnchor="margin" w:tblpY="965"/>
        <w:tblW w:w="9940" w:type="dxa"/>
        <w:tblLayout w:type="fixed"/>
        <w:tblLook w:val="04A0" w:firstRow="1" w:lastRow="0" w:firstColumn="1" w:lastColumn="0" w:noHBand="0" w:noVBand="1"/>
      </w:tblPr>
      <w:tblGrid>
        <w:gridCol w:w="510"/>
        <w:gridCol w:w="3638"/>
        <w:gridCol w:w="1814"/>
        <w:gridCol w:w="10"/>
        <w:gridCol w:w="11"/>
        <w:gridCol w:w="346"/>
        <w:gridCol w:w="1437"/>
        <w:gridCol w:w="17"/>
        <w:gridCol w:w="348"/>
        <w:gridCol w:w="1573"/>
        <w:gridCol w:w="236"/>
      </w:tblGrid>
      <w:tr>
        <w:trPr>
          <w:trHeight w:val="40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right"/>
              <w:rPr>
                <w:b/>
                <w:i/>
                <w:iCs/>
                <w:noProof/>
                <w:szCs w:val="32"/>
                <w:lang w:eastAsia="en-GB"/>
              </w:rPr>
            </w:pPr>
            <w:r>
              <w:rPr>
                <w:b/>
                <w:i/>
                <w:iCs/>
                <w:noProof/>
                <w:szCs w:val="32"/>
                <w:lang w:eastAsia="en-GB"/>
              </w:rPr>
              <w:t>Draft</w:t>
            </w:r>
          </w:p>
          <w:p>
            <w:pPr>
              <w:widowControl/>
              <w:spacing w:before="120" w:line="240" w:lineRule="auto"/>
              <w:jc w:val="center"/>
              <w:rPr>
                <w:b/>
                <w:iCs/>
                <w:noProof/>
                <w:szCs w:val="32"/>
                <w:lang w:eastAsia="en-GB"/>
              </w:rPr>
            </w:pPr>
          </w:p>
          <w:p>
            <w:pPr>
              <w:widowControl/>
              <w:spacing w:before="120" w:line="240" w:lineRule="auto"/>
              <w:jc w:val="center"/>
              <w:rPr>
                <w:b/>
                <w:noProof/>
                <w:szCs w:val="24"/>
                <w:lang w:eastAsia="en-US"/>
              </w:rPr>
            </w:pPr>
            <w:r>
              <w:rPr>
                <w:b/>
                <w:noProof/>
                <w:szCs w:val="24"/>
                <w:lang w:eastAsia="en-US"/>
              </w:rPr>
              <w:t>ANNEX III</w:t>
            </w:r>
          </w:p>
          <w:p>
            <w:pPr>
              <w:widowControl/>
              <w:spacing w:before="120" w:line="240" w:lineRule="auto"/>
              <w:jc w:val="center"/>
              <w:rPr>
                <w:b/>
                <w:noProof/>
                <w:szCs w:val="24"/>
                <w:lang w:eastAsia="en-US"/>
              </w:rPr>
            </w:pPr>
          </w:p>
          <w:p>
            <w:pPr>
              <w:widowControl/>
              <w:spacing w:before="120" w:line="240" w:lineRule="auto"/>
              <w:jc w:val="center"/>
              <w:rPr>
                <w:b/>
                <w:noProof/>
                <w:szCs w:val="24"/>
                <w:lang w:eastAsia="en-US"/>
              </w:rPr>
            </w:pPr>
            <w:r>
              <w:rPr>
                <w:b/>
                <w:noProof/>
                <w:szCs w:val="24"/>
                <w:lang w:eastAsia="en-US"/>
              </w:rPr>
              <w:t xml:space="preserve">INTERIM UPDATE </w:t>
            </w:r>
          </w:p>
          <w:p>
            <w:pPr>
              <w:widowControl/>
              <w:spacing w:before="120" w:line="240" w:lineRule="auto"/>
              <w:jc w:val="center"/>
              <w:rPr>
                <w:i/>
                <w:iCs/>
                <w:noProof/>
                <w:sz w:val="32"/>
                <w:szCs w:val="32"/>
                <w:lang w:eastAsia="en-GB"/>
              </w:rPr>
            </w:pPr>
            <w:r>
              <w:rPr>
                <w:b/>
                <w:noProof/>
                <w:szCs w:val="24"/>
                <w:lang w:eastAsia="en-US"/>
              </w:rPr>
              <w:t>OF THE WEIGHTINGS APPLICABLE TO THE</w:t>
            </w:r>
            <w:r>
              <w:rPr>
                <w:b/>
                <w:noProof/>
                <w:szCs w:val="24"/>
                <w:lang w:eastAsia="en-US"/>
              </w:rPr>
              <w:br/>
              <w:t xml:space="preserve"> REMUNERATION OF OFFICIALS, TEMPORARY STAFF AND CONTRACT</w:t>
            </w:r>
            <w:r>
              <w:rPr>
                <w:b/>
                <w:noProof/>
                <w:szCs w:val="24"/>
                <w:lang w:eastAsia="en-US"/>
              </w:rPr>
              <w:br/>
              <w:t xml:space="preserve"> STAFF OF THE EUROPEAN UNION SERVING IN THIRD COUNTRIES</w:t>
            </w:r>
            <w:r>
              <w:rPr>
                <w:b/>
                <w:noProof/>
                <w:szCs w:val="24"/>
                <w:vertAlign w:val="superscript"/>
                <w:lang w:eastAsia="en-US"/>
              </w:rPr>
              <w:footnoteReference w:id="4"/>
            </w:r>
          </w:p>
          <w:p>
            <w:pPr>
              <w:widowControl/>
              <w:spacing w:before="120" w:line="240" w:lineRule="auto"/>
              <w:jc w:val="center"/>
              <w:rPr>
                <w:i/>
                <w:iCs/>
                <w:noProof/>
                <w:sz w:val="32"/>
                <w:szCs w:val="32"/>
                <w:lang w:eastAsia="en-GB"/>
              </w:rPr>
            </w:pPr>
            <w:r>
              <w:rPr>
                <w:i/>
                <w:iCs/>
                <w:noProof/>
                <w:sz w:val="32"/>
                <w:szCs w:val="32"/>
                <w:lang w:eastAsia="en-GB"/>
              </w:rPr>
              <w:br/>
              <w:t>FEBRUARY 2015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63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PLACE OF EMPLOYMENT</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Economic parity </w:t>
            </w:r>
            <w:r>
              <w:rPr>
                <w:b/>
                <w:bCs/>
                <w:noProof/>
                <w:sz w:val="16"/>
                <w:szCs w:val="16"/>
                <w:lang w:eastAsia="en-GB"/>
              </w:rPr>
              <w:br/>
              <w:t>February 2015</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Exchange rate </w:t>
            </w:r>
            <w:r>
              <w:rPr>
                <w:b/>
                <w:bCs/>
                <w:noProof/>
                <w:sz w:val="16"/>
                <w:szCs w:val="16"/>
                <w:lang w:eastAsia="en-GB"/>
              </w:rPr>
              <w:br/>
              <w:t>February 2015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Weighting </w:t>
            </w:r>
            <w:r>
              <w:rPr>
                <w:b/>
                <w:bCs/>
                <w:noProof/>
                <w:sz w:val="16"/>
                <w:szCs w:val="16"/>
                <w:lang w:eastAsia="en-GB"/>
              </w:rPr>
              <w:br/>
              <w:t>February 2015 (**)</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Albania</w:t>
            </w:r>
          </w:p>
        </w:tc>
        <w:tc>
          <w:tcPr>
            <w:tcW w:w="1814" w:type="dxa"/>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80,21</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139,690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57,4</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Algeria</w:t>
            </w:r>
          </w:p>
        </w:tc>
        <w:tc>
          <w:tcPr>
            <w:tcW w:w="1814" w:type="dxa"/>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79,14</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103,264</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76,6</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Armenia</w:t>
            </w:r>
          </w:p>
        </w:tc>
        <w:tc>
          <w:tcPr>
            <w:tcW w:w="1814" w:type="dxa"/>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449,2</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536,780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83,7</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Bangladesh</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71,67</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87,4394</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82,0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Barbados</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2,821</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2,27512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124,0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Bosnia and Herzegovina (Banja Luka)</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1,128</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1,95583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57,7</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Bosnia and Herzegovina (Sarajevo)</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1,334</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1,95583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68,2</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Cambodia</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4252</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4589,50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92,6</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Central African Republic</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661,4</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100,8</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Ghana</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2,660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3,63590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73,2</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Liberia</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1,426</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1,13150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126,0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Mexico</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12,55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16,7722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74,8</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Nepal</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104,7</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110,360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94,9</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Nigeria</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210,5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188,103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111,9</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Russia</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56,65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78,2726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72,4</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Sierra Leone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7232</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5573,77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129,8</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Sudan</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9,769</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7,13218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137,0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Ukraine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10,08</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17,9904</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56</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nil"/>
              <w:left w:val="nil"/>
              <w:bottom w:val="nil"/>
              <w:right w:val="nil"/>
            </w:tcBorders>
            <w:shd w:val="clear" w:color="auto" w:fill="auto"/>
            <w:vAlign w:val="center"/>
            <w:hideMark/>
          </w:tcPr>
          <w:p>
            <w:pPr>
              <w:widowControl/>
              <w:spacing w:before="120" w:line="240" w:lineRule="auto"/>
              <w:jc w:val="both"/>
              <w:rPr>
                <w:noProof/>
                <w:sz w:val="16"/>
                <w:szCs w:val="16"/>
                <w:lang w:eastAsia="en-GB"/>
              </w:rPr>
            </w:pPr>
          </w:p>
        </w:tc>
        <w:tc>
          <w:tcPr>
            <w:tcW w:w="1814" w:type="dxa"/>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1804" w:type="dxa"/>
            <w:gridSpan w:val="4"/>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1938"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lang w:eastAsia="en-GB"/>
              </w:rPr>
            </w:pPr>
            <w:r>
              <w:rPr>
                <w:rFonts w:ascii="Arial" w:hAnsi="Arial" w:cs="Arial"/>
                <w:b/>
                <w:bCs/>
                <w:noProof/>
                <w:sz w:val="20"/>
                <w:lang w:eastAsia="en-GB"/>
              </w:rPr>
              <w:t>(*)</w:t>
            </w: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1 EUR = x units of local currency, except USD for: Cuba, El Salvador, Ecuador, Liberia, Panama, D.R. Congo, Timor-Leste, Zimbabwe.</w:t>
            </w: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lang w:eastAsia="en-GB"/>
              </w:rPr>
            </w:pPr>
            <w:r>
              <w:rPr>
                <w:rFonts w:ascii="Arial" w:hAnsi="Arial" w:cs="Arial"/>
                <w:b/>
                <w:bCs/>
                <w:noProof/>
                <w:sz w:val="20"/>
                <w:lang w:eastAsia="en-GB"/>
              </w:rPr>
              <w:t>(**)</w:t>
            </w: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lang w:eastAsia="en-GB"/>
              </w:rPr>
            </w:pPr>
            <w:r>
              <w:rPr>
                <w:i/>
                <w:iCs/>
                <w:noProof/>
                <w:sz w:val="32"/>
                <w:szCs w:val="32"/>
                <w:lang w:eastAsia="en-GB"/>
              </w:rPr>
              <w:t>MARCH 2015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6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PLACE OF EMPLOYMENT</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Economic parity </w:t>
            </w:r>
            <w:r>
              <w:rPr>
                <w:b/>
                <w:bCs/>
                <w:noProof/>
                <w:sz w:val="16"/>
                <w:szCs w:val="16"/>
                <w:lang w:eastAsia="en-GB"/>
              </w:rPr>
              <w:br/>
              <w:t>March 2015</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Exchange rate </w:t>
            </w:r>
            <w:r>
              <w:rPr>
                <w:b/>
                <w:bCs/>
                <w:noProof/>
                <w:sz w:val="16"/>
                <w:szCs w:val="16"/>
                <w:lang w:eastAsia="en-GB"/>
              </w:rPr>
              <w:br/>
              <w:t>March 2015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Weighting  </w:t>
            </w:r>
            <w:r>
              <w:rPr>
                <w:b/>
                <w:bCs/>
                <w:noProof/>
                <w:sz w:val="16"/>
                <w:szCs w:val="16"/>
                <w:lang w:eastAsia="en-GB"/>
              </w:rPr>
              <w:br/>
              <w:t>March 2015 (**)</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Azerbaijan</w:t>
            </w:r>
          </w:p>
        </w:tc>
        <w:tc>
          <w:tcPr>
            <w:tcW w:w="1814" w:type="dxa"/>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1,078</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1,18840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90,7</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Chad</w:t>
            </w:r>
          </w:p>
        </w:tc>
        <w:tc>
          <w:tcPr>
            <w:tcW w:w="1814" w:type="dxa"/>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789,1</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120,3</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Malawi</w:t>
            </w:r>
          </w:p>
        </w:tc>
        <w:tc>
          <w:tcPr>
            <w:tcW w:w="1814" w:type="dxa"/>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372,3</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496,614</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lang w:eastAsia="en-US"/>
              </w:rPr>
            </w:pPr>
            <w:r>
              <w:rPr>
                <w:rFonts w:eastAsia="Calibri"/>
                <w:noProof/>
                <w:sz w:val="18"/>
                <w:szCs w:val="16"/>
                <w:lang w:eastAsia="en-US"/>
              </w:rPr>
              <w:t>75,0</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Moldova</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11,85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20,1215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58,9</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Mozambique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32,70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37,9900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86,1</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Solomon Islands</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11,25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8,44729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133,2</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South-Sudan</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4,080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3,33852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122,2</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Timor Leste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1,165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1,13170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lang w:eastAsia="en-US"/>
              </w:rPr>
            </w:pPr>
            <w:r>
              <w:rPr>
                <w:rFonts w:eastAsia="Calibri"/>
                <w:noProof/>
                <w:sz w:val="18"/>
                <w:szCs w:val="16"/>
                <w:lang w:eastAsia="en-US"/>
              </w:rPr>
              <w:t>102,9</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nil"/>
              <w:left w:val="nil"/>
              <w:bottom w:val="nil"/>
              <w:right w:val="nil"/>
            </w:tcBorders>
            <w:shd w:val="clear" w:color="auto" w:fill="auto"/>
            <w:vAlign w:val="center"/>
            <w:hideMark/>
          </w:tcPr>
          <w:p>
            <w:pPr>
              <w:widowControl/>
              <w:spacing w:before="120" w:line="240" w:lineRule="auto"/>
              <w:jc w:val="both"/>
              <w:rPr>
                <w:noProof/>
                <w:sz w:val="16"/>
                <w:szCs w:val="16"/>
                <w:lang w:eastAsia="en-GB"/>
              </w:rPr>
            </w:pPr>
          </w:p>
        </w:tc>
        <w:tc>
          <w:tcPr>
            <w:tcW w:w="1814" w:type="dxa"/>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1804" w:type="dxa"/>
            <w:gridSpan w:val="4"/>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1938"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lang w:eastAsia="en-GB"/>
              </w:rPr>
            </w:pPr>
            <w:r>
              <w:rPr>
                <w:rFonts w:ascii="Arial" w:hAnsi="Arial" w:cs="Arial"/>
                <w:b/>
                <w:bCs/>
                <w:noProof/>
                <w:sz w:val="20"/>
                <w:lang w:eastAsia="en-GB"/>
              </w:rPr>
              <w:t>(*)</w:t>
            </w: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1 EUR = x units of local currency, except USD for: Cuba, El Salvador, Ecuador, Liberia, Panama, D.R. Congo, Timor-Leste, Zimbabwe.</w:t>
            </w: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lang w:eastAsia="en-GB"/>
              </w:rPr>
            </w:pPr>
            <w:r>
              <w:rPr>
                <w:rFonts w:ascii="Arial" w:hAnsi="Arial" w:cs="Arial"/>
                <w:b/>
                <w:bCs/>
                <w:noProof/>
                <w:sz w:val="20"/>
                <w:lang w:eastAsia="en-GB"/>
              </w:rPr>
              <w:t>(**)</w:t>
            </w: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lang w:eastAsia="en-GB"/>
              </w:rPr>
            </w:pPr>
            <w:r>
              <w:rPr>
                <w:i/>
                <w:iCs/>
                <w:noProof/>
                <w:sz w:val="32"/>
                <w:szCs w:val="32"/>
                <w:lang w:eastAsia="en-GB"/>
              </w:rPr>
              <w:t>APRIL 2015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63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PLACE OF EMPLOYMENT</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Economic parity </w:t>
            </w:r>
            <w:r>
              <w:rPr>
                <w:b/>
                <w:bCs/>
                <w:noProof/>
                <w:sz w:val="16"/>
                <w:szCs w:val="16"/>
                <w:lang w:eastAsia="en-GB"/>
              </w:rPr>
              <w:br/>
              <w:t>April 2015</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Exchange rate </w:t>
            </w:r>
            <w:r>
              <w:rPr>
                <w:b/>
                <w:bCs/>
                <w:noProof/>
                <w:sz w:val="16"/>
                <w:szCs w:val="16"/>
                <w:lang w:eastAsia="en-GB"/>
              </w:rPr>
              <w:br/>
              <w:t>April 2015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Weighting </w:t>
            </w:r>
            <w:r>
              <w:rPr>
                <w:b/>
                <w:bCs/>
                <w:noProof/>
                <w:sz w:val="16"/>
                <w:szCs w:val="16"/>
                <w:lang w:eastAsia="en-GB"/>
              </w:rPr>
              <w:br/>
              <w:t>April 2015 (**)</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Angola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199,0</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118,288</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168,2</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El Salvador</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0,9040</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1,08450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83,4</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Former Yugoslav Republic of Macedonia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33,53</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61,6614</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54,4</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Serbia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79,08</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120,633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65,6</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Swaziland</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8,251</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13,1446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62,8</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Turkey</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2,293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2,82650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81,1</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Turkmenistan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2,520</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3,79575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66,4</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Ukraine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11,67</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25,4866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45,8</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nil"/>
              <w:left w:val="nil"/>
              <w:bottom w:val="nil"/>
              <w:right w:val="nil"/>
            </w:tcBorders>
            <w:shd w:val="clear" w:color="auto" w:fill="auto"/>
            <w:vAlign w:val="center"/>
            <w:hideMark/>
          </w:tcPr>
          <w:p>
            <w:pPr>
              <w:widowControl/>
              <w:spacing w:before="120" w:line="240" w:lineRule="auto"/>
              <w:jc w:val="both"/>
              <w:rPr>
                <w:noProof/>
                <w:sz w:val="16"/>
                <w:szCs w:val="16"/>
                <w:lang w:eastAsia="en-GB"/>
              </w:rPr>
            </w:pPr>
          </w:p>
        </w:tc>
        <w:tc>
          <w:tcPr>
            <w:tcW w:w="1824"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1794"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1938"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lang w:eastAsia="en-GB"/>
              </w:rPr>
            </w:pPr>
            <w:r>
              <w:rPr>
                <w:rFonts w:ascii="Arial" w:hAnsi="Arial" w:cs="Arial"/>
                <w:b/>
                <w:bCs/>
                <w:noProof/>
                <w:sz w:val="20"/>
                <w:lang w:eastAsia="en-GB"/>
              </w:rPr>
              <w:t>(*)</w:t>
            </w: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1 EUR = x units of local currency, except USD for: Cuba, El Salvador, Ecuador, Liberia, Panama, D.R. Congo, Timor-Leste, Zimbabwe.</w:t>
            </w: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lang w:eastAsia="en-GB"/>
              </w:rPr>
            </w:pPr>
            <w:r>
              <w:rPr>
                <w:rFonts w:ascii="Arial" w:hAnsi="Arial" w:cs="Arial"/>
                <w:b/>
                <w:bCs/>
                <w:noProof/>
                <w:sz w:val="20"/>
                <w:lang w:eastAsia="en-GB"/>
              </w:rPr>
              <w:t>(**)</w:t>
            </w: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lang w:eastAsia="en-GB"/>
              </w:rPr>
            </w:pPr>
            <w:r>
              <w:rPr>
                <w:i/>
                <w:iCs/>
                <w:noProof/>
                <w:sz w:val="32"/>
                <w:szCs w:val="32"/>
                <w:lang w:eastAsia="en-GB"/>
              </w:rPr>
              <w:t>MAY 2015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84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PLACE OF EMPLOYMENT</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Economic parity </w:t>
            </w:r>
            <w:r>
              <w:rPr>
                <w:b/>
                <w:bCs/>
                <w:noProof/>
                <w:sz w:val="16"/>
                <w:szCs w:val="16"/>
                <w:lang w:eastAsia="en-GB"/>
              </w:rPr>
              <w:br/>
              <w:t>May 2015</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Exchange rate </w:t>
            </w:r>
            <w:r>
              <w:rPr>
                <w:b/>
                <w:bCs/>
                <w:noProof/>
                <w:sz w:val="16"/>
                <w:szCs w:val="16"/>
                <w:lang w:eastAsia="en-GB"/>
              </w:rPr>
              <w:br/>
              <w:t>May 2015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Weighting  </w:t>
            </w:r>
            <w:r>
              <w:rPr>
                <w:b/>
                <w:bCs/>
                <w:noProof/>
                <w:sz w:val="16"/>
                <w:szCs w:val="16"/>
                <w:lang w:eastAsia="en-GB"/>
              </w:rPr>
              <w:br/>
              <w:t>May 2015 (**)</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Cambodia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4014</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4387,50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91,5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China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7,144</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6,82110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104,7</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Dominican Republic</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34,53</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48,4068</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71,3</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Ethiopia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22,98</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22,0862</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104,0</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Jamaica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125,6</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123,326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101,8</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Kenya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99,86</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102,458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97,5</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Lebanon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1675</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1658,55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101,0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Mauritius</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30,10</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39,0038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77,2</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South Africa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7,712</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13,0682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59,0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Ukraine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13,23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25,1930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52,5</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nil"/>
              <w:left w:val="nil"/>
              <w:bottom w:val="nil"/>
              <w:right w:val="nil"/>
            </w:tcBorders>
            <w:shd w:val="clear" w:color="auto" w:fill="auto"/>
            <w:vAlign w:val="center"/>
            <w:hideMark/>
          </w:tcPr>
          <w:p>
            <w:pPr>
              <w:widowControl/>
              <w:spacing w:before="120" w:line="240" w:lineRule="auto"/>
              <w:jc w:val="both"/>
              <w:rPr>
                <w:noProof/>
                <w:sz w:val="16"/>
                <w:szCs w:val="16"/>
                <w:lang w:eastAsia="en-GB"/>
              </w:rPr>
            </w:pPr>
          </w:p>
        </w:tc>
        <w:tc>
          <w:tcPr>
            <w:tcW w:w="1824"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1794"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1938"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lang w:eastAsia="en-GB"/>
              </w:rPr>
            </w:pPr>
            <w:r>
              <w:rPr>
                <w:rFonts w:ascii="Arial" w:hAnsi="Arial" w:cs="Arial"/>
                <w:b/>
                <w:bCs/>
                <w:noProof/>
                <w:sz w:val="20"/>
                <w:lang w:eastAsia="en-GB"/>
              </w:rPr>
              <w:t>(*)</w:t>
            </w: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1 EUR = x units of local currency, except USD for: Cuba, El Salvador, Ecuador, Liberia, Panama, D.R. Congo, Timor-Leste, Zimbabwe.</w:t>
            </w: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lang w:eastAsia="en-GB"/>
              </w:rPr>
            </w:pPr>
            <w:r>
              <w:rPr>
                <w:rFonts w:ascii="Arial" w:hAnsi="Arial" w:cs="Arial"/>
                <w:b/>
                <w:bCs/>
                <w:noProof/>
                <w:sz w:val="20"/>
                <w:lang w:eastAsia="en-GB"/>
              </w:rPr>
              <w:t>(**)</w:t>
            </w: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lang w:eastAsia="en-GB"/>
              </w:rPr>
            </w:pPr>
            <w:r>
              <w:rPr>
                <w:i/>
                <w:iCs/>
                <w:noProof/>
                <w:sz w:val="32"/>
                <w:szCs w:val="32"/>
                <w:lang w:eastAsia="en-GB"/>
              </w:rPr>
              <w:t>JUNE 2015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84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PLACE OF EMPLOYMENT</w:t>
            </w:r>
          </w:p>
        </w:tc>
        <w:tc>
          <w:tcPr>
            <w:tcW w:w="1835"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Economic parity </w:t>
            </w:r>
            <w:r>
              <w:rPr>
                <w:b/>
                <w:bCs/>
                <w:noProof/>
                <w:sz w:val="16"/>
                <w:szCs w:val="16"/>
                <w:lang w:eastAsia="en-GB"/>
              </w:rPr>
              <w:br/>
              <w:t>June 2015</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Exchange rate </w:t>
            </w:r>
            <w:r>
              <w:rPr>
                <w:b/>
                <w:bCs/>
                <w:noProof/>
                <w:sz w:val="16"/>
                <w:szCs w:val="16"/>
                <w:lang w:eastAsia="en-GB"/>
              </w:rPr>
              <w:br/>
              <w:t xml:space="preserve"> June 2015 (*)</w:t>
            </w:r>
          </w:p>
        </w:tc>
        <w:tc>
          <w:tcPr>
            <w:tcW w:w="1921"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Weighting </w:t>
            </w:r>
            <w:r>
              <w:rPr>
                <w:b/>
                <w:bCs/>
                <w:noProof/>
                <w:sz w:val="16"/>
                <w:szCs w:val="16"/>
                <w:lang w:eastAsia="en-GB"/>
              </w:rPr>
              <w:br/>
              <w:t>June 2015 (**)</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Benin</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683,3</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655,957</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104,2</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Bosnia and Herzegovina (Banja Luka)</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1,063</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1,95583</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54,4</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Bosnia and Herzegovina (Sarajevo)</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1,262</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1,95583</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64,5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Papua New Guinea</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3,616</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2,96490</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lang w:eastAsia="en-US"/>
              </w:rPr>
            </w:pPr>
            <w:r>
              <w:rPr>
                <w:rFonts w:eastAsia="Calibri"/>
                <w:noProof/>
                <w:sz w:val="18"/>
                <w:szCs w:val="18"/>
                <w:lang w:eastAsia="en-US"/>
              </w:rPr>
              <w:t>122,0</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Solomon Islands</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10,43</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8,43340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123,7</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Timor Leste</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1,085</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1,08960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lang w:eastAsia="en-US"/>
              </w:rPr>
            </w:pPr>
            <w:r>
              <w:rPr>
                <w:rFonts w:eastAsia="Calibri"/>
                <w:noProof/>
                <w:sz w:val="18"/>
                <w:szCs w:val="18"/>
                <w:lang w:eastAsia="en-US"/>
              </w:rPr>
              <w:t>99,6</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3638" w:type="dxa"/>
            <w:tcBorders>
              <w:top w:val="nil"/>
              <w:left w:val="nil"/>
              <w:bottom w:val="nil"/>
              <w:right w:val="nil"/>
            </w:tcBorders>
            <w:shd w:val="clear" w:color="auto" w:fill="auto"/>
            <w:vAlign w:val="center"/>
            <w:hideMark/>
          </w:tcPr>
          <w:p>
            <w:pPr>
              <w:widowControl/>
              <w:spacing w:before="120" w:line="240" w:lineRule="auto"/>
              <w:jc w:val="both"/>
              <w:rPr>
                <w:noProof/>
                <w:sz w:val="16"/>
                <w:szCs w:val="16"/>
                <w:lang w:eastAsia="en-GB"/>
              </w:rPr>
            </w:pPr>
          </w:p>
        </w:tc>
        <w:tc>
          <w:tcPr>
            <w:tcW w:w="1835"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1800"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1921"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lang w:eastAsia="en-GB"/>
              </w:rPr>
            </w:pPr>
            <w:r>
              <w:rPr>
                <w:rFonts w:ascii="Arial" w:hAnsi="Arial" w:cs="Arial"/>
                <w:b/>
                <w:bCs/>
                <w:noProof/>
                <w:sz w:val="20"/>
                <w:lang w:eastAsia="en-GB"/>
              </w:rPr>
              <w:t>(*)</w:t>
            </w: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1 EUR = x units of local currency, except USD for: Cuba, El Salvador, Ecuador, Liberia, Panama, D.R. Congo, Timor-Leste, Zimbabwe.</w:t>
            </w: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lang w:eastAsia="en-GB"/>
              </w:rPr>
            </w:pPr>
            <w:r>
              <w:rPr>
                <w:rFonts w:ascii="Arial" w:hAnsi="Arial" w:cs="Arial"/>
                <w:b/>
                <w:bCs/>
                <w:noProof/>
                <w:sz w:val="20"/>
                <w:lang w:eastAsia="en-GB"/>
              </w:rPr>
              <w:t>(**)</w:t>
            </w: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bl>
    <w:p>
      <w:pPr>
        <w:widowControl/>
        <w:spacing w:after="200" w:line="276" w:lineRule="auto"/>
        <w:rPr>
          <w:noProof/>
        </w:rPr>
      </w:pPr>
    </w:p>
    <w:p>
      <w:pPr>
        <w:widowControl/>
        <w:spacing w:before="120" w:line="240" w:lineRule="auto"/>
        <w:jc w:val="center"/>
        <w:rPr>
          <w:rFonts w:cstheme="minorBidi"/>
          <w:b/>
          <w:i/>
          <w:noProof/>
          <w:szCs w:val="24"/>
          <w:lang w:eastAsia="en-US"/>
        </w:rPr>
      </w:pPr>
      <w:r>
        <w:rPr>
          <w:rFonts w:cstheme="minorBidi"/>
          <w:b/>
          <w:i/>
          <w:noProof/>
          <w:szCs w:val="24"/>
          <w:lang w:eastAsia="en-US"/>
        </w:rPr>
        <w:t>ANNEX IV</w:t>
      </w:r>
    </w:p>
    <w:p>
      <w:pPr>
        <w:widowControl/>
        <w:spacing w:before="120" w:line="240" w:lineRule="auto"/>
        <w:jc w:val="center"/>
        <w:rPr>
          <w:rFonts w:cstheme="minorBidi"/>
          <w:b/>
          <w:i/>
          <w:noProof/>
          <w:szCs w:val="24"/>
          <w:u w:val="single"/>
          <w:lang w:eastAsia="en-US"/>
        </w:rPr>
      </w:pPr>
      <w:r>
        <w:rPr>
          <w:rFonts w:cstheme="minorBidi"/>
          <w:b/>
          <w:i/>
          <w:noProof/>
          <w:szCs w:val="24"/>
          <w:u w:val="single"/>
          <w:lang w:eastAsia="en-US"/>
        </w:rPr>
        <w:t>Already published in OJ C/193 of 11 June 2015</w:t>
      </w:r>
    </w:p>
    <w:p>
      <w:pPr>
        <w:widowControl/>
        <w:spacing w:before="120" w:line="240" w:lineRule="auto"/>
        <w:jc w:val="center"/>
        <w:rPr>
          <w:rFonts w:cstheme="minorBidi"/>
          <w:b/>
          <w:i/>
          <w:noProof/>
          <w:szCs w:val="24"/>
          <w:lang w:eastAsia="en-US"/>
        </w:rPr>
      </w:pPr>
    </w:p>
    <w:p>
      <w:pPr>
        <w:widowControl/>
        <w:spacing w:before="120" w:line="240" w:lineRule="auto"/>
        <w:jc w:val="center"/>
        <w:rPr>
          <w:rFonts w:cstheme="minorBidi"/>
          <w:b/>
          <w:i/>
          <w:noProof/>
          <w:szCs w:val="24"/>
          <w:lang w:eastAsia="en-US"/>
        </w:rPr>
      </w:pPr>
    </w:p>
    <w:p>
      <w:pPr>
        <w:widowControl/>
        <w:spacing w:before="120" w:line="240" w:lineRule="auto"/>
        <w:jc w:val="center"/>
        <w:rPr>
          <w:rFonts w:cstheme="minorBidi"/>
          <w:b/>
          <w:noProof/>
          <w:szCs w:val="24"/>
          <w:lang w:eastAsia="en-US"/>
        </w:rPr>
      </w:pPr>
      <w:r>
        <w:rPr>
          <w:rFonts w:cstheme="minorBidi"/>
          <w:b/>
          <w:i/>
          <w:noProof/>
          <w:szCs w:val="24"/>
          <w:lang w:eastAsia="en-US"/>
        </w:rPr>
        <w:br/>
      </w:r>
      <w:r>
        <w:rPr>
          <w:rFonts w:cstheme="minorBidi"/>
          <w:b/>
          <w:noProof/>
          <w:szCs w:val="24"/>
          <w:lang w:eastAsia="en-US"/>
        </w:rPr>
        <w:t xml:space="preserve">INTERMEDIATE UPDATE </w:t>
      </w:r>
    </w:p>
    <w:p>
      <w:pPr>
        <w:widowControl/>
        <w:spacing w:before="120" w:line="240" w:lineRule="auto"/>
        <w:jc w:val="center"/>
        <w:rPr>
          <w:rFonts w:cstheme="minorBidi"/>
          <w:b/>
          <w:noProof/>
          <w:szCs w:val="24"/>
          <w:lang w:eastAsia="en-US"/>
        </w:rPr>
      </w:pPr>
      <w:r>
        <w:rPr>
          <w:rFonts w:cstheme="minorBidi"/>
          <w:b/>
          <w:noProof/>
          <w:szCs w:val="24"/>
          <w:lang w:eastAsia="en-US"/>
        </w:rPr>
        <w:t xml:space="preserve">of the correction coefficients applicable from 1 January 2015 to the remuneration and pensions of </w:t>
      </w:r>
    </w:p>
    <w:p>
      <w:pPr>
        <w:widowControl/>
        <w:spacing w:before="120" w:line="240" w:lineRule="auto"/>
        <w:jc w:val="center"/>
        <w:rPr>
          <w:rFonts w:cstheme="minorBidi"/>
          <w:b/>
          <w:noProof/>
          <w:szCs w:val="24"/>
          <w:lang w:eastAsia="en-US"/>
        </w:rPr>
      </w:pPr>
      <w:r>
        <w:rPr>
          <w:rFonts w:cstheme="minorBidi"/>
          <w:b/>
          <w:noProof/>
          <w:szCs w:val="24"/>
          <w:lang w:eastAsia="en-US"/>
        </w:rPr>
        <w:t>officials and other servants of the European Union</w:t>
      </w:r>
      <w:r>
        <w:rPr>
          <w:rFonts w:cstheme="minorBidi"/>
          <w:b/>
          <w:noProof/>
          <w:szCs w:val="24"/>
          <w:vertAlign w:val="superscript"/>
          <w:lang w:eastAsia="en-US"/>
        </w:rPr>
        <w:footnoteReference w:id="5"/>
      </w:r>
    </w:p>
    <w:p>
      <w:pPr>
        <w:widowControl/>
        <w:spacing w:before="120" w:line="240" w:lineRule="auto"/>
        <w:jc w:val="center"/>
        <w:rPr>
          <w:rFonts w:cstheme="minorBidi"/>
          <w:iCs/>
          <w:noProof/>
          <w:sz w:val="32"/>
          <w:szCs w:val="32"/>
          <w:lang w:eastAsia="en-GB"/>
        </w:rPr>
      </w:pPr>
      <w:r>
        <w:rPr>
          <w:rFonts w:cstheme="minorBidi"/>
          <w:i/>
          <w:iCs/>
          <w:noProof/>
          <w:sz w:val="32"/>
          <w:szCs w:val="32"/>
          <w:lang w:eastAsia="en-GB"/>
        </w:rPr>
        <w:br/>
      </w:r>
    </w:p>
    <w:tbl>
      <w:tblPr>
        <w:tblW w:w="0" w:type="auto"/>
        <w:jc w:val="center"/>
        <w:tblInd w:w="1008" w:type="dxa"/>
        <w:tblCellMar>
          <w:left w:w="0" w:type="dxa"/>
          <w:right w:w="0" w:type="dxa"/>
        </w:tblCellMar>
        <w:tblLook w:val="04A0" w:firstRow="1" w:lastRow="0" w:firstColumn="1" w:lastColumn="0" w:noHBand="0" w:noVBand="1"/>
      </w:tblPr>
      <w:tblGrid>
        <w:gridCol w:w="557"/>
        <w:gridCol w:w="1854"/>
        <w:gridCol w:w="2561"/>
      </w:tblGrid>
      <w:tr>
        <w:trPr>
          <w:jc w:val="center"/>
        </w:trPr>
        <w:tc>
          <w:tcPr>
            <w:tcW w:w="24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pPr>
              <w:widowControl/>
              <w:spacing w:before="40" w:after="40" w:line="240" w:lineRule="auto"/>
              <w:jc w:val="center"/>
              <w:rPr>
                <w:rFonts w:eastAsiaTheme="minorHAnsi" w:cstheme="minorBidi"/>
                <w:b/>
                <w:bCs/>
                <w:noProof/>
                <w:sz w:val="22"/>
                <w:szCs w:val="22"/>
                <w:lang w:eastAsia="en-US"/>
              </w:rPr>
            </w:pPr>
            <w:r>
              <w:rPr>
                <w:rFonts w:eastAsiaTheme="minorHAnsi" w:cstheme="minorBidi"/>
                <w:b/>
                <w:bCs/>
                <w:noProof/>
                <w:sz w:val="22"/>
                <w:szCs w:val="22"/>
                <w:lang w:eastAsia="en-US"/>
              </w:rPr>
              <w:t>Place of employment</w:t>
            </w:r>
          </w:p>
        </w:tc>
        <w:tc>
          <w:tcPr>
            <w:tcW w:w="2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widowControl/>
              <w:spacing w:before="40" w:after="40" w:line="240" w:lineRule="auto"/>
              <w:jc w:val="center"/>
              <w:rPr>
                <w:rFonts w:eastAsiaTheme="minorHAnsi" w:cstheme="minorBidi"/>
                <w:b/>
                <w:bCs/>
                <w:noProof/>
                <w:sz w:val="22"/>
                <w:szCs w:val="22"/>
                <w:lang w:eastAsia="en-US"/>
              </w:rPr>
            </w:pPr>
            <w:r>
              <w:rPr>
                <w:rFonts w:eastAsiaTheme="minorHAnsi" w:cstheme="minorBidi"/>
                <w:b/>
                <w:bCs/>
                <w:noProof/>
                <w:sz w:val="22"/>
                <w:szCs w:val="22"/>
                <w:lang w:eastAsia="en-US"/>
              </w:rPr>
              <w:t>Correction Coefficient for remuneration</w:t>
            </w:r>
          </w:p>
        </w:tc>
      </w:tr>
      <w:tr>
        <w:trPr>
          <w:jc w:val="center"/>
        </w:trPr>
        <w:tc>
          <w:tcPr>
            <w:tcW w:w="557"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pPr>
              <w:widowControl/>
              <w:spacing w:before="40" w:after="40" w:line="240" w:lineRule="auto"/>
              <w:rPr>
                <w:rFonts w:eastAsiaTheme="minorHAnsi" w:cstheme="minorBidi"/>
                <w:noProof/>
                <w:sz w:val="22"/>
                <w:szCs w:val="22"/>
                <w:lang w:eastAsia="en-US"/>
              </w:rPr>
            </w:pPr>
            <w:r>
              <w:rPr>
                <w:rFonts w:eastAsiaTheme="minorHAnsi" w:cstheme="minorBidi"/>
                <w:noProof/>
                <w:sz w:val="22"/>
                <w:szCs w:val="22"/>
                <w:lang w:eastAsia="en-US"/>
              </w:rPr>
              <w:t>EL</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pPr>
              <w:widowControl/>
              <w:spacing w:before="40" w:after="40" w:line="240" w:lineRule="auto"/>
              <w:rPr>
                <w:rFonts w:eastAsiaTheme="minorHAnsi" w:cstheme="minorBidi"/>
                <w:noProof/>
                <w:sz w:val="22"/>
                <w:szCs w:val="22"/>
                <w:lang w:eastAsia="en-US"/>
              </w:rPr>
            </w:pPr>
            <w:r>
              <w:rPr>
                <w:rFonts w:eastAsiaTheme="minorHAnsi" w:cstheme="minorBidi"/>
                <w:noProof/>
                <w:sz w:val="22"/>
                <w:szCs w:val="22"/>
                <w:lang w:eastAsia="en-US"/>
              </w:rPr>
              <w:t xml:space="preserve">Athens </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pPr>
              <w:widowControl/>
              <w:spacing w:before="40" w:after="40" w:line="240" w:lineRule="auto"/>
              <w:jc w:val="center"/>
              <w:rPr>
                <w:rFonts w:eastAsiaTheme="minorHAnsi" w:cstheme="minorBidi"/>
                <w:noProof/>
                <w:sz w:val="22"/>
                <w:szCs w:val="22"/>
                <w:lang w:eastAsia="en-US"/>
              </w:rPr>
            </w:pPr>
            <w:r>
              <w:rPr>
                <w:rFonts w:eastAsiaTheme="minorHAnsi" w:cstheme="minorBidi"/>
                <w:noProof/>
                <w:sz w:val="22"/>
                <w:szCs w:val="22"/>
                <w:lang w:eastAsia="en-US"/>
              </w:rPr>
              <w:t>83.8</w:t>
            </w:r>
          </w:p>
        </w:tc>
      </w:tr>
      <w:tr>
        <w:trPr>
          <w:jc w:val="center"/>
        </w:trPr>
        <w:tc>
          <w:tcPr>
            <w:tcW w:w="557" w:type="dxa"/>
            <w:tcBorders>
              <w:top w:val="nil"/>
              <w:left w:val="single" w:sz="8" w:space="0" w:color="auto"/>
              <w:bottom w:val="single" w:sz="8" w:space="0" w:color="auto"/>
              <w:right w:val="dotted" w:sz="8" w:space="0" w:color="auto"/>
            </w:tcBorders>
            <w:tcMar>
              <w:top w:w="0" w:type="dxa"/>
              <w:left w:w="108" w:type="dxa"/>
              <w:bottom w:w="0" w:type="dxa"/>
              <w:right w:w="108" w:type="dxa"/>
            </w:tcMar>
          </w:tcPr>
          <w:p>
            <w:pPr>
              <w:widowControl/>
              <w:spacing w:before="40" w:after="40" w:line="240" w:lineRule="auto"/>
              <w:rPr>
                <w:rFonts w:eastAsiaTheme="minorHAnsi" w:cstheme="minorBidi"/>
                <w:noProof/>
                <w:sz w:val="22"/>
                <w:szCs w:val="22"/>
                <w:lang w:eastAsia="en-US"/>
              </w:rPr>
            </w:pPr>
            <w:r>
              <w:rPr>
                <w:rFonts w:eastAsiaTheme="minorHAnsi" w:cstheme="minorBidi"/>
                <w:noProof/>
                <w:sz w:val="22"/>
                <w:szCs w:val="22"/>
                <w:lang w:eastAsia="en-US"/>
              </w:rPr>
              <w:t>CY</w:t>
            </w:r>
          </w:p>
        </w:tc>
        <w:tc>
          <w:tcPr>
            <w:tcW w:w="1854" w:type="dxa"/>
            <w:tcBorders>
              <w:top w:val="nil"/>
              <w:left w:val="nil"/>
              <w:bottom w:val="single" w:sz="8" w:space="0" w:color="auto"/>
              <w:right w:val="single" w:sz="8" w:space="0" w:color="auto"/>
            </w:tcBorders>
            <w:tcMar>
              <w:top w:w="0" w:type="dxa"/>
              <w:left w:w="108" w:type="dxa"/>
              <w:bottom w:w="0" w:type="dxa"/>
              <w:right w:w="108" w:type="dxa"/>
            </w:tcMar>
          </w:tcPr>
          <w:p>
            <w:pPr>
              <w:widowControl/>
              <w:spacing w:before="40" w:after="40" w:line="240" w:lineRule="auto"/>
              <w:rPr>
                <w:rFonts w:eastAsiaTheme="minorHAnsi" w:cstheme="minorBidi"/>
                <w:noProof/>
                <w:sz w:val="22"/>
                <w:szCs w:val="22"/>
                <w:lang w:eastAsia="en-US"/>
              </w:rPr>
            </w:pPr>
            <w:r>
              <w:rPr>
                <w:rFonts w:eastAsiaTheme="minorHAnsi" w:cstheme="minorBidi"/>
                <w:noProof/>
                <w:sz w:val="22"/>
                <w:szCs w:val="22"/>
                <w:lang w:eastAsia="en-US"/>
              </w:rPr>
              <w:t>Nicosia</w:t>
            </w:r>
          </w:p>
        </w:tc>
        <w:tc>
          <w:tcPr>
            <w:tcW w:w="2561" w:type="dxa"/>
            <w:tcBorders>
              <w:top w:val="nil"/>
              <w:left w:val="nil"/>
              <w:bottom w:val="single" w:sz="8" w:space="0" w:color="auto"/>
              <w:right w:val="single" w:sz="8" w:space="0" w:color="auto"/>
            </w:tcBorders>
            <w:tcMar>
              <w:top w:w="0" w:type="dxa"/>
              <w:left w:w="108" w:type="dxa"/>
              <w:bottom w:w="0" w:type="dxa"/>
              <w:right w:w="108" w:type="dxa"/>
            </w:tcMar>
          </w:tcPr>
          <w:p>
            <w:pPr>
              <w:widowControl/>
              <w:spacing w:before="40" w:after="40" w:line="240" w:lineRule="auto"/>
              <w:jc w:val="center"/>
              <w:rPr>
                <w:rFonts w:eastAsiaTheme="minorHAnsi" w:cstheme="minorBidi"/>
                <w:noProof/>
                <w:sz w:val="22"/>
                <w:szCs w:val="22"/>
                <w:lang w:eastAsia="en-US"/>
              </w:rPr>
            </w:pPr>
            <w:r>
              <w:rPr>
                <w:rFonts w:eastAsiaTheme="minorHAnsi" w:cstheme="minorBidi"/>
                <w:noProof/>
                <w:sz w:val="22"/>
                <w:szCs w:val="22"/>
                <w:lang w:eastAsia="en-US"/>
              </w:rPr>
              <w:t>78.4</w:t>
            </w:r>
          </w:p>
        </w:tc>
      </w:tr>
      <w:tr>
        <w:trPr>
          <w:jc w:val="center"/>
        </w:trPr>
        <w:tc>
          <w:tcPr>
            <w:tcW w:w="444" w:type="dxa"/>
            <w:vAlign w:val="center"/>
            <w:hideMark/>
          </w:tcPr>
          <w:p>
            <w:pPr>
              <w:widowControl/>
              <w:spacing w:after="200" w:line="240" w:lineRule="auto"/>
              <w:rPr>
                <w:rFonts w:cstheme="minorBidi"/>
                <w:noProof/>
                <w:sz w:val="20"/>
                <w:lang w:eastAsia="en-US"/>
              </w:rPr>
            </w:pPr>
          </w:p>
        </w:tc>
        <w:tc>
          <w:tcPr>
            <w:tcW w:w="1488" w:type="dxa"/>
            <w:vAlign w:val="center"/>
            <w:hideMark/>
          </w:tcPr>
          <w:p>
            <w:pPr>
              <w:widowControl/>
              <w:spacing w:after="200" w:line="240" w:lineRule="auto"/>
              <w:rPr>
                <w:rFonts w:cstheme="minorBidi"/>
                <w:noProof/>
                <w:sz w:val="20"/>
                <w:lang w:eastAsia="en-US"/>
              </w:rPr>
            </w:pPr>
          </w:p>
        </w:tc>
        <w:tc>
          <w:tcPr>
            <w:tcW w:w="2052" w:type="dxa"/>
            <w:vAlign w:val="center"/>
            <w:hideMark/>
          </w:tcPr>
          <w:p>
            <w:pPr>
              <w:widowControl/>
              <w:spacing w:after="200" w:line="240" w:lineRule="auto"/>
              <w:rPr>
                <w:rFonts w:cstheme="minorBidi"/>
                <w:noProof/>
                <w:sz w:val="20"/>
                <w:lang w:eastAsia="en-US"/>
              </w:rPr>
            </w:pPr>
          </w:p>
        </w:tc>
      </w:tr>
    </w:tbl>
    <w:p>
      <w:pPr>
        <w:widowControl/>
        <w:spacing w:before="120" w:line="240" w:lineRule="auto"/>
        <w:jc w:val="center"/>
        <w:rPr>
          <w:rFonts w:cstheme="minorBidi"/>
          <w:iCs/>
          <w:noProof/>
          <w:sz w:val="32"/>
          <w:szCs w:val="32"/>
          <w:lang w:eastAsia="en-GB"/>
        </w:rPr>
      </w:pPr>
    </w:p>
    <w:p>
      <w:pPr>
        <w:widowControl/>
        <w:spacing w:after="200" w:line="276" w:lineRule="auto"/>
        <w:rPr>
          <w:noProof/>
        </w:rPr>
      </w:pPr>
      <w:r>
        <w:rPr>
          <w:noProof/>
        </w:rPr>
        <w:br w:type="page"/>
      </w:r>
    </w:p>
    <w:tbl>
      <w:tblPr>
        <w:tblpPr w:leftFromText="180" w:rightFromText="180" w:vertAnchor="page" w:horzAnchor="margin" w:tblpY="965"/>
        <w:tblW w:w="9450" w:type="dxa"/>
        <w:tblLook w:val="04A0" w:firstRow="1" w:lastRow="0" w:firstColumn="1" w:lastColumn="0" w:noHBand="0" w:noVBand="1"/>
      </w:tblPr>
      <w:tblGrid>
        <w:gridCol w:w="4115"/>
        <w:gridCol w:w="1666"/>
        <w:gridCol w:w="1806"/>
        <w:gridCol w:w="1863"/>
      </w:tblGrid>
      <w:tr>
        <w:trPr>
          <w:trHeight w:val="405"/>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center"/>
              <w:rPr>
                <w:b/>
                <w:i/>
                <w:noProof/>
                <w:szCs w:val="24"/>
                <w:lang w:eastAsia="en-US"/>
              </w:rPr>
            </w:pPr>
            <w:r>
              <w:rPr>
                <w:b/>
                <w:i/>
                <w:noProof/>
                <w:szCs w:val="24"/>
                <w:lang w:eastAsia="en-US"/>
              </w:rPr>
              <w:t>ANNEX V</w:t>
            </w:r>
          </w:p>
          <w:p>
            <w:pPr>
              <w:widowControl/>
              <w:spacing w:before="120" w:line="240" w:lineRule="auto"/>
              <w:jc w:val="center"/>
              <w:rPr>
                <w:b/>
                <w:i/>
                <w:noProof/>
                <w:szCs w:val="24"/>
                <w:u w:val="single"/>
                <w:lang w:eastAsia="en-US"/>
              </w:rPr>
            </w:pPr>
            <w:r>
              <w:rPr>
                <w:b/>
                <w:i/>
                <w:noProof/>
                <w:szCs w:val="24"/>
                <w:u w:val="single"/>
                <w:lang w:eastAsia="en-US"/>
              </w:rPr>
              <w:t>Published in OJ C/193 of 11 June 2015</w:t>
            </w:r>
            <w:r>
              <w:rPr>
                <w:b/>
                <w:i/>
                <w:noProof/>
                <w:szCs w:val="24"/>
                <w:u w:val="single"/>
                <w:lang w:eastAsia="en-US"/>
              </w:rPr>
              <w:br/>
            </w:r>
          </w:p>
          <w:p>
            <w:pPr>
              <w:widowControl/>
              <w:spacing w:before="120" w:line="240" w:lineRule="auto"/>
              <w:jc w:val="center"/>
              <w:rPr>
                <w:b/>
                <w:noProof/>
                <w:szCs w:val="24"/>
                <w:lang w:eastAsia="en-US"/>
              </w:rPr>
            </w:pPr>
          </w:p>
          <w:p>
            <w:pPr>
              <w:widowControl/>
              <w:spacing w:before="120" w:line="240" w:lineRule="auto"/>
              <w:jc w:val="center"/>
              <w:rPr>
                <w:b/>
                <w:noProof/>
                <w:szCs w:val="24"/>
                <w:lang w:eastAsia="en-US"/>
              </w:rPr>
            </w:pPr>
            <w:r>
              <w:rPr>
                <w:b/>
                <w:noProof/>
                <w:szCs w:val="24"/>
                <w:lang w:eastAsia="en-US"/>
              </w:rPr>
              <w:t xml:space="preserve">INTERIM UPDATE </w:t>
            </w:r>
          </w:p>
          <w:p>
            <w:pPr>
              <w:widowControl/>
              <w:spacing w:before="120" w:line="240" w:lineRule="auto"/>
              <w:jc w:val="center"/>
              <w:rPr>
                <w:i/>
                <w:iCs/>
                <w:noProof/>
                <w:sz w:val="32"/>
                <w:szCs w:val="32"/>
                <w:lang w:eastAsia="en-GB"/>
              </w:rPr>
            </w:pPr>
            <w:r>
              <w:rPr>
                <w:b/>
                <w:noProof/>
                <w:szCs w:val="24"/>
                <w:lang w:eastAsia="en-US"/>
              </w:rPr>
              <w:t>OF THE WEIGHTINGS APPLICABLE TO THE</w:t>
            </w:r>
            <w:r>
              <w:rPr>
                <w:b/>
                <w:noProof/>
                <w:szCs w:val="24"/>
                <w:lang w:eastAsia="en-US"/>
              </w:rPr>
              <w:br/>
              <w:t xml:space="preserve"> REMUNERATION OF OFFICIALS, TEMPORARY STAFF AND CONTRACT</w:t>
            </w:r>
            <w:r>
              <w:rPr>
                <w:b/>
                <w:noProof/>
                <w:szCs w:val="24"/>
                <w:lang w:eastAsia="en-US"/>
              </w:rPr>
              <w:br/>
              <w:t xml:space="preserve"> STAFF OF THE EUROPEAN UNION SERVING IN THIRD COUNTRIES</w:t>
            </w:r>
            <w:r>
              <w:rPr>
                <w:b/>
                <w:noProof/>
                <w:szCs w:val="24"/>
                <w:vertAlign w:val="superscript"/>
                <w:lang w:eastAsia="en-US"/>
              </w:rPr>
              <w:footnoteReference w:id="6"/>
            </w:r>
          </w:p>
          <w:p>
            <w:pPr>
              <w:widowControl/>
              <w:spacing w:before="120" w:line="240" w:lineRule="auto"/>
              <w:jc w:val="center"/>
              <w:rPr>
                <w:i/>
                <w:iCs/>
                <w:noProof/>
                <w:sz w:val="32"/>
                <w:szCs w:val="32"/>
                <w:lang w:eastAsia="en-GB"/>
              </w:rPr>
            </w:pPr>
            <w:r>
              <w:rPr>
                <w:i/>
                <w:iCs/>
                <w:noProof/>
                <w:sz w:val="32"/>
                <w:szCs w:val="32"/>
                <w:lang w:eastAsia="en-GB"/>
              </w:rPr>
              <w:br/>
              <w:t>AUGUST 2014</w:t>
            </w:r>
          </w:p>
        </w:tc>
      </w:tr>
      <w:tr>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PLACE OF EMPLOYMENT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Economic parity </w:t>
            </w:r>
            <w:r>
              <w:rPr>
                <w:b/>
                <w:bCs/>
                <w:noProof/>
                <w:sz w:val="16"/>
                <w:szCs w:val="16"/>
                <w:lang w:eastAsia="en-GB"/>
              </w:rPr>
              <w:br/>
              <w:t>August 2014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Exchange rate </w:t>
            </w:r>
            <w:r>
              <w:rPr>
                <w:b/>
                <w:bCs/>
                <w:noProof/>
                <w:sz w:val="16"/>
                <w:szCs w:val="16"/>
                <w:lang w:eastAsia="en-GB"/>
              </w:rPr>
              <w:br/>
              <w:t>August 2014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Weighting </w:t>
            </w:r>
            <w:r>
              <w:rPr>
                <w:b/>
                <w:bCs/>
                <w:noProof/>
                <w:sz w:val="16"/>
                <w:szCs w:val="16"/>
                <w:lang w:eastAsia="en-GB"/>
              </w:rPr>
              <w:br/>
              <w:t>August 2014 (**)</w:t>
            </w:r>
          </w:p>
        </w:tc>
      </w:tr>
      <w:tr>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Chile</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382,1</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755,120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50,6</w:t>
            </w:r>
          </w:p>
        </w:tc>
      </w:tr>
      <w:tr>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Japan</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131,9</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137,050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96,2</w:t>
            </w:r>
          </w:p>
        </w:tc>
      </w:tr>
      <w:tr>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Liberia</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1,286</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1,34010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96,0</w:t>
            </w:r>
          </w:p>
        </w:tc>
      </w:tr>
      <w:tr>
        <w:trPr>
          <w:trHeight w:val="285"/>
        </w:trPr>
        <w:tc>
          <w:tcPr>
            <w:tcW w:w="0" w:type="auto"/>
            <w:tcBorders>
              <w:top w:val="nil"/>
              <w:left w:val="nil"/>
              <w:bottom w:val="nil"/>
              <w:right w:val="nil"/>
            </w:tcBorders>
            <w:shd w:val="clear" w:color="auto" w:fill="auto"/>
            <w:vAlign w:val="center"/>
            <w:hideMark/>
          </w:tcPr>
          <w:p>
            <w:pPr>
              <w:widowControl/>
              <w:spacing w:before="120" w:line="240" w:lineRule="auto"/>
              <w:jc w:val="both"/>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r>
      <w:tr>
        <w:trPr>
          <w:trHeight w:val="300"/>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val="es-ES" w:eastAsia="en-GB"/>
              </w:rPr>
            </w:pPr>
            <w:r>
              <w:rPr>
                <w:rFonts w:ascii="Arial" w:hAnsi="Arial" w:cs="Arial"/>
                <w:noProof/>
                <w:sz w:val="16"/>
                <w:szCs w:val="16"/>
                <w:lang w:val="es-ES" w:eastAsia="en-GB"/>
              </w:rPr>
              <w:t>(*) 1 EUR = x units of local currency, except USD for: Cuba, El Salvador, Ecuador, Liberia, Panama, D.R. Congo, Timor-Leste.</w:t>
            </w:r>
          </w:p>
        </w:tc>
      </w:tr>
      <w:tr>
        <w:trPr>
          <w:trHeight w:val="427"/>
        </w:trPr>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 Brussels and Luxembourg = 100.</w:t>
            </w: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285"/>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lang w:eastAsia="en-GB"/>
              </w:rPr>
            </w:pPr>
            <w:r>
              <w:rPr>
                <w:i/>
                <w:iCs/>
                <w:noProof/>
                <w:sz w:val="32"/>
                <w:szCs w:val="32"/>
                <w:lang w:eastAsia="en-GB"/>
              </w:rPr>
              <w:t>SEPTEMBER 2014</w:t>
            </w:r>
          </w:p>
        </w:tc>
      </w:tr>
      <w:tr>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PLACE OF EMPLOYMENT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Economic parity </w:t>
            </w:r>
            <w:r>
              <w:rPr>
                <w:b/>
                <w:bCs/>
                <w:noProof/>
                <w:sz w:val="16"/>
                <w:szCs w:val="16"/>
                <w:lang w:eastAsia="en-GB"/>
              </w:rPr>
              <w:br/>
              <w:t>September 2014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Exchange rate </w:t>
            </w:r>
            <w:r>
              <w:rPr>
                <w:b/>
                <w:bCs/>
                <w:noProof/>
                <w:sz w:val="16"/>
                <w:szCs w:val="16"/>
                <w:lang w:eastAsia="en-GB"/>
              </w:rPr>
              <w:br/>
              <w:t>September 2014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Weighting  </w:t>
            </w:r>
            <w:r>
              <w:rPr>
                <w:b/>
                <w:bCs/>
                <w:noProof/>
                <w:sz w:val="16"/>
                <w:szCs w:val="16"/>
                <w:lang w:eastAsia="en-GB"/>
              </w:rPr>
              <w:br/>
              <w:t>September 2014 (**)</w:t>
            </w:r>
          </w:p>
        </w:tc>
      </w:tr>
      <w:tr>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Egypt</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6,398</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9,45165</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67,7</w:t>
            </w:r>
          </w:p>
        </w:tc>
      </w:tr>
      <w:tr>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Mozambique</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31,06</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39,7600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78,1</w:t>
            </w:r>
          </w:p>
        </w:tc>
      </w:tr>
      <w:tr>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Timor Leste</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1,320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1,31780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100,2</w:t>
            </w:r>
          </w:p>
        </w:tc>
      </w:tr>
      <w:tr>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Venezuela</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13,05</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8,29173</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157,4</w:t>
            </w:r>
          </w:p>
        </w:tc>
      </w:tr>
      <w:tr>
        <w:trPr>
          <w:trHeight w:val="285"/>
        </w:trPr>
        <w:tc>
          <w:tcPr>
            <w:tcW w:w="0" w:type="auto"/>
            <w:tcBorders>
              <w:top w:val="nil"/>
              <w:left w:val="nil"/>
              <w:bottom w:val="nil"/>
              <w:right w:val="nil"/>
            </w:tcBorders>
            <w:shd w:val="clear" w:color="auto" w:fill="auto"/>
            <w:vAlign w:val="center"/>
            <w:hideMark/>
          </w:tcPr>
          <w:p>
            <w:pPr>
              <w:widowControl/>
              <w:spacing w:before="120" w:line="240" w:lineRule="auto"/>
              <w:jc w:val="both"/>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r>
      <w:tr>
        <w:trPr>
          <w:trHeight w:val="300"/>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val="es-ES" w:eastAsia="en-GB"/>
              </w:rPr>
            </w:pPr>
            <w:r>
              <w:rPr>
                <w:rFonts w:ascii="Arial" w:hAnsi="Arial" w:cs="Arial"/>
                <w:noProof/>
                <w:sz w:val="16"/>
                <w:szCs w:val="16"/>
                <w:lang w:val="es-ES" w:eastAsia="en-GB"/>
              </w:rPr>
              <w:t>(*) 1 EUR = x units of local currency, except USD for: Cuba, El Salvador, Ecuador, Liberia, Panama, D.R. Congo, Timor-Leste.</w:t>
            </w:r>
          </w:p>
        </w:tc>
      </w:tr>
      <w:tr>
        <w:trPr>
          <w:trHeight w:val="300"/>
        </w:trPr>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 Brussels and Luxembourg = 100.</w:t>
            </w: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405"/>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lang w:eastAsia="en-GB"/>
              </w:rPr>
            </w:pPr>
            <w:r>
              <w:rPr>
                <w:i/>
                <w:iCs/>
                <w:noProof/>
                <w:sz w:val="32"/>
                <w:szCs w:val="32"/>
                <w:lang w:eastAsia="en-GB"/>
              </w:rPr>
              <w:t>OCTOBER 2014</w:t>
            </w:r>
          </w:p>
        </w:tc>
      </w:tr>
      <w:tr>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PLACE OF EMPLOYMENT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Economic parity </w:t>
            </w:r>
            <w:r>
              <w:rPr>
                <w:b/>
                <w:bCs/>
                <w:noProof/>
                <w:sz w:val="16"/>
                <w:szCs w:val="16"/>
                <w:lang w:eastAsia="en-GB"/>
              </w:rPr>
              <w:br/>
              <w:t>October 2014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Exchange rate </w:t>
            </w:r>
            <w:r>
              <w:rPr>
                <w:b/>
                <w:bCs/>
                <w:noProof/>
                <w:sz w:val="16"/>
                <w:szCs w:val="16"/>
                <w:lang w:eastAsia="en-GB"/>
              </w:rPr>
              <w:br/>
              <w:t>October 2014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Weighting </w:t>
            </w:r>
            <w:r>
              <w:rPr>
                <w:b/>
                <w:bCs/>
                <w:noProof/>
                <w:sz w:val="16"/>
                <w:szCs w:val="16"/>
                <w:lang w:eastAsia="en-GB"/>
              </w:rPr>
              <w:br/>
              <w:t>October 2014 (**)</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Brazil</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3,270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3,14310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104,0</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Chile</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405,9</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760,625</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53,4</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Liberia</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1,351</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1,27010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106,4</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Madagascar</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2891</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3182,21</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90,8</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Norway</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11,50</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8,19600</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140,3</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Uzbekistan</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2525</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3001,84</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84,1</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Venezuela</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13,99</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7,99160</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175,1</w:t>
            </w:r>
          </w:p>
        </w:tc>
      </w:tr>
      <w:tr>
        <w:trPr>
          <w:trHeight w:val="300"/>
        </w:trPr>
        <w:tc>
          <w:tcPr>
            <w:tcW w:w="0" w:type="auto"/>
            <w:tcBorders>
              <w:top w:val="nil"/>
              <w:left w:val="nil"/>
              <w:bottom w:val="nil"/>
              <w:right w:val="nil"/>
            </w:tcBorders>
            <w:shd w:val="clear" w:color="auto" w:fill="auto"/>
            <w:vAlign w:val="center"/>
            <w:hideMark/>
          </w:tcPr>
          <w:p>
            <w:pPr>
              <w:widowControl/>
              <w:spacing w:before="120" w:line="240" w:lineRule="auto"/>
              <w:jc w:val="both"/>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r>
      <w:tr>
        <w:trPr>
          <w:trHeight w:val="300"/>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val="es-ES" w:eastAsia="en-GB"/>
              </w:rPr>
            </w:pPr>
            <w:r>
              <w:rPr>
                <w:rFonts w:ascii="Arial" w:hAnsi="Arial" w:cs="Arial"/>
                <w:noProof/>
                <w:sz w:val="16"/>
                <w:szCs w:val="16"/>
                <w:lang w:val="es-ES" w:eastAsia="en-GB"/>
              </w:rPr>
              <w:t>(*) 1 EUR = x units of local currency, except USD for: Cuba, El Salvador, Ecuador, Liberia, Panama, D.R. Congo, Timor-Leste.</w:t>
            </w:r>
          </w:p>
        </w:tc>
      </w:tr>
      <w:tr>
        <w:trPr>
          <w:trHeight w:val="300"/>
        </w:trPr>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 Brussels and Luxembourg = 100.</w:t>
            </w: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405"/>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lang w:eastAsia="en-GB"/>
              </w:rPr>
            </w:pPr>
            <w:r>
              <w:rPr>
                <w:i/>
                <w:iCs/>
                <w:noProof/>
                <w:sz w:val="32"/>
                <w:szCs w:val="32"/>
                <w:lang w:eastAsia="en-GB"/>
              </w:rPr>
              <w:t>NOVEMBER 2014</w:t>
            </w:r>
          </w:p>
        </w:tc>
      </w:tr>
      <w:tr>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PLACE OF EMPLOYMENT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Economic parity </w:t>
            </w:r>
            <w:r>
              <w:rPr>
                <w:b/>
                <w:bCs/>
                <w:noProof/>
                <w:sz w:val="16"/>
                <w:szCs w:val="16"/>
                <w:lang w:eastAsia="en-GB"/>
              </w:rPr>
              <w:br/>
              <w:t>November 2014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Exchange rate </w:t>
            </w:r>
            <w:r>
              <w:rPr>
                <w:b/>
                <w:bCs/>
                <w:noProof/>
                <w:sz w:val="16"/>
                <w:szCs w:val="16"/>
                <w:lang w:eastAsia="en-GB"/>
              </w:rPr>
              <w:br/>
              <w:t>November 2014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Weighting  </w:t>
            </w:r>
            <w:r>
              <w:rPr>
                <w:b/>
                <w:bCs/>
                <w:noProof/>
                <w:sz w:val="16"/>
                <w:szCs w:val="16"/>
                <w:lang w:eastAsia="en-GB"/>
              </w:rPr>
              <w:br/>
              <w:t>November 2014 (**)</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Canada</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1,368</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1,40740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97,2</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Costa Rica</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541,3</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678,913</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79,7</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Ghana</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2,515</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4,06355</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61,9</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Ukraine</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9,245</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16,3156</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56,7</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Venezuela</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14,96</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7,92679</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188,7</w:t>
            </w:r>
          </w:p>
        </w:tc>
      </w:tr>
      <w:tr>
        <w:trPr>
          <w:trHeight w:val="300"/>
        </w:trPr>
        <w:tc>
          <w:tcPr>
            <w:tcW w:w="0" w:type="auto"/>
            <w:tcBorders>
              <w:top w:val="nil"/>
              <w:left w:val="nil"/>
              <w:bottom w:val="nil"/>
              <w:right w:val="nil"/>
            </w:tcBorders>
            <w:shd w:val="clear" w:color="auto" w:fill="auto"/>
            <w:vAlign w:val="center"/>
            <w:hideMark/>
          </w:tcPr>
          <w:p>
            <w:pPr>
              <w:widowControl/>
              <w:spacing w:before="120" w:line="240" w:lineRule="auto"/>
              <w:jc w:val="both"/>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r>
      <w:tr>
        <w:trPr>
          <w:trHeight w:val="300"/>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val="es-ES" w:eastAsia="en-GB"/>
              </w:rPr>
            </w:pPr>
            <w:r>
              <w:rPr>
                <w:rFonts w:ascii="Arial" w:hAnsi="Arial" w:cs="Arial"/>
                <w:noProof/>
                <w:sz w:val="16"/>
                <w:szCs w:val="16"/>
                <w:lang w:val="es-ES" w:eastAsia="en-GB"/>
              </w:rPr>
              <w:t>(*) 1 EUR = x units of local currency, except USD for: Cuba, El Salvador, Ecuador, Liberia, Panama, D.R. Congo, Timor-Leste.</w:t>
            </w:r>
          </w:p>
        </w:tc>
      </w:tr>
      <w:tr>
        <w:trPr>
          <w:trHeight w:val="300"/>
        </w:trPr>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 Brussels and Luxembourg = 100.</w:t>
            </w: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405"/>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lang w:eastAsia="en-GB"/>
              </w:rPr>
            </w:pPr>
            <w:r>
              <w:rPr>
                <w:i/>
                <w:iCs/>
                <w:noProof/>
                <w:sz w:val="32"/>
                <w:szCs w:val="32"/>
                <w:lang w:eastAsia="en-GB"/>
              </w:rPr>
              <w:t>DECEMBER 2014</w:t>
            </w:r>
          </w:p>
        </w:tc>
      </w:tr>
      <w:tr>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PLACE OF EMPLOYMENT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Economic parity </w:t>
            </w:r>
            <w:r>
              <w:rPr>
                <w:b/>
                <w:bCs/>
                <w:noProof/>
                <w:sz w:val="16"/>
                <w:szCs w:val="16"/>
                <w:lang w:eastAsia="en-GB"/>
              </w:rPr>
              <w:br/>
              <w:t>December 2014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Exchange rate </w:t>
            </w:r>
            <w:r>
              <w:rPr>
                <w:b/>
                <w:bCs/>
                <w:noProof/>
                <w:sz w:val="16"/>
                <w:szCs w:val="16"/>
                <w:lang w:eastAsia="en-GB"/>
              </w:rPr>
              <w:br/>
              <w:t xml:space="preserve"> December 2014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Weighting </w:t>
            </w:r>
            <w:r>
              <w:rPr>
                <w:b/>
                <w:bCs/>
                <w:noProof/>
                <w:sz w:val="16"/>
                <w:szCs w:val="16"/>
                <w:lang w:eastAsia="en-GB"/>
              </w:rPr>
              <w:br/>
              <w:t>December 2014 (**)</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Central African Republic</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732,1</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655,957</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111,6</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Cuba</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1,043</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1,24800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83,6</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Iceland</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182,9</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154,070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118,7</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Kyrgyzstan</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53,44</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71,8550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74,4</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Malawi</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349,2</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619,615</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56,4</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South-Sudan</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4,055</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3,68160</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110,1</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Sudan</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9,182</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7,76543</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118,2</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Uzbekistan</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2666</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2996,56</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89,0</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Venezuela</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16,00</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7,85254</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203,8</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Yemen</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278,8</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268,183</w:t>
            </w:r>
          </w:p>
        </w:tc>
        <w:tc>
          <w:tcPr>
            <w:tcW w:w="0" w:type="auto"/>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104,0</w:t>
            </w:r>
          </w:p>
        </w:tc>
      </w:tr>
      <w:tr>
        <w:trPr>
          <w:trHeight w:val="300"/>
        </w:trPr>
        <w:tc>
          <w:tcPr>
            <w:tcW w:w="0" w:type="auto"/>
            <w:tcBorders>
              <w:top w:val="nil"/>
              <w:left w:val="nil"/>
              <w:bottom w:val="nil"/>
              <w:right w:val="nil"/>
            </w:tcBorders>
            <w:shd w:val="clear" w:color="auto" w:fill="auto"/>
            <w:vAlign w:val="center"/>
            <w:hideMark/>
          </w:tcPr>
          <w:p>
            <w:pPr>
              <w:widowControl/>
              <w:spacing w:before="120" w:line="240" w:lineRule="auto"/>
              <w:jc w:val="both"/>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r>
      <w:tr>
        <w:trPr>
          <w:trHeight w:val="300"/>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val="es-ES" w:eastAsia="en-GB"/>
              </w:rPr>
            </w:pPr>
            <w:r>
              <w:rPr>
                <w:rFonts w:ascii="Arial" w:hAnsi="Arial" w:cs="Arial"/>
                <w:noProof/>
                <w:sz w:val="16"/>
                <w:szCs w:val="16"/>
                <w:lang w:val="es-ES" w:eastAsia="en-GB"/>
              </w:rPr>
              <w:t>(*) 1 EUR = x units of local currency, except USD for: Cuba, El Salvador, Ecuador, Liberia, Panama, D.R. Congo, Timor-Leste.</w:t>
            </w:r>
          </w:p>
        </w:tc>
      </w:tr>
      <w:tr>
        <w:trPr>
          <w:trHeight w:val="300"/>
        </w:trPr>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 Brussels and Luxembourg = 100.</w:t>
            </w: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300"/>
        </w:trPr>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r>
        <w:trPr>
          <w:trHeight w:val="405"/>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lang w:eastAsia="en-GB"/>
              </w:rPr>
            </w:pPr>
            <w:r>
              <w:rPr>
                <w:i/>
                <w:iCs/>
                <w:noProof/>
                <w:sz w:val="32"/>
                <w:szCs w:val="32"/>
                <w:lang w:eastAsia="en-GB"/>
              </w:rPr>
              <w:t>JANUARY 2015</w:t>
            </w:r>
          </w:p>
        </w:tc>
      </w:tr>
      <w:tr>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PLACE OF EMPLOYMENT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Economic parity </w:t>
            </w:r>
            <w:r>
              <w:rPr>
                <w:b/>
                <w:bCs/>
                <w:noProof/>
                <w:sz w:val="16"/>
                <w:szCs w:val="16"/>
                <w:lang w:eastAsia="en-GB"/>
              </w:rPr>
              <w:br/>
              <w:t>January 2015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Exchange rate </w:t>
            </w:r>
            <w:r>
              <w:rPr>
                <w:b/>
                <w:bCs/>
                <w:noProof/>
                <w:sz w:val="16"/>
                <w:szCs w:val="16"/>
                <w:lang w:eastAsia="en-GB"/>
              </w:rPr>
              <w:br/>
              <w:t xml:space="preserve"> January 2015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lang w:eastAsia="en-GB"/>
              </w:rPr>
            </w:pPr>
            <w:r>
              <w:rPr>
                <w:b/>
                <w:bCs/>
                <w:noProof/>
                <w:sz w:val="16"/>
                <w:szCs w:val="16"/>
                <w:lang w:eastAsia="en-GB"/>
              </w:rPr>
              <w:t xml:space="preserve">Weighting </w:t>
            </w:r>
            <w:r>
              <w:rPr>
                <w:b/>
                <w:bCs/>
                <w:noProof/>
                <w:sz w:val="16"/>
                <w:szCs w:val="16"/>
                <w:lang w:eastAsia="en-GB"/>
              </w:rPr>
              <w:br/>
              <w:t>January 2015 (**)</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Belarus</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8640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13440,0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64,3</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Brazil</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3,492</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3,23940</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107,8</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Costa Rica</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509,4</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655,467</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77,7</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Eritrea</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24,99</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19,0638</w:t>
            </w:r>
          </w:p>
        </w:tc>
        <w:tc>
          <w:tcPr>
            <w:tcW w:w="0" w:type="auto"/>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lang w:eastAsia="en-US"/>
              </w:rPr>
            </w:pPr>
            <w:r>
              <w:rPr>
                <w:rFonts w:eastAsia="Calibri"/>
                <w:noProof/>
                <w:sz w:val="16"/>
                <w:szCs w:val="16"/>
                <w:lang w:eastAsia="en-US"/>
              </w:rPr>
              <w:t>131,1</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Indonesia (Banda Aceh)</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10384</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15099,7</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68,8</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Indonesia (Jakarta)</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11307</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15099,7</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74,9</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Madagascar</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3041</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3166,69</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96,0</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Nepal</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98,03</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124,455</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78,8</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South Korea</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1298</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1334,19</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97,3</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South-Sudan</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3,820</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3,58720</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106,5</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Swaziland</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7,829</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14,1487</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55,3</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Timor Leste</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1,240</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1,21600</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102,0</w:t>
            </w:r>
          </w:p>
        </w:tc>
      </w:tr>
      <w:tr>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lang w:eastAsia="en-US"/>
              </w:rPr>
            </w:pPr>
            <w:r>
              <w:rPr>
                <w:rFonts w:eastAsia="Calibri"/>
                <w:noProof/>
                <w:sz w:val="16"/>
                <w:szCs w:val="16"/>
                <w:lang w:eastAsia="en-US"/>
              </w:rPr>
              <w:t>Venezuela</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16,96</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7,65119</w:t>
            </w:r>
          </w:p>
        </w:tc>
        <w:tc>
          <w:tcPr>
            <w:tcW w:w="0" w:type="auto"/>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lang w:eastAsia="en-US"/>
              </w:rPr>
            </w:pPr>
            <w:r>
              <w:rPr>
                <w:rFonts w:eastAsia="Calibri"/>
                <w:noProof/>
                <w:sz w:val="16"/>
                <w:szCs w:val="16"/>
                <w:lang w:eastAsia="en-US"/>
              </w:rPr>
              <w:t>221,7</w:t>
            </w:r>
          </w:p>
        </w:tc>
      </w:tr>
      <w:tr>
        <w:trPr>
          <w:trHeight w:val="300"/>
        </w:trPr>
        <w:tc>
          <w:tcPr>
            <w:tcW w:w="0" w:type="auto"/>
            <w:tcBorders>
              <w:top w:val="nil"/>
              <w:left w:val="nil"/>
              <w:bottom w:val="nil"/>
              <w:right w:val="nil"/>
            </w:tcBorders>
            <w:shd w:val="clear" w:color="auto" w:fill="auto"/>
            <w:vAlign w:val="center"/>
            <w:hideMark/>
          </w:tcPr>
          <w:p>
            <w:pPr>
              <w:widowControl/>
              <w:spacing w:before="120" w:line="240" w:lineRule="auto"/>
              <w:jc w:val="both"/>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c>
          <w:tcPr>
            <w:tcW w:w="0" w:type="auto"/>
            <w:tcBorders>
              <w:top w:val="nil"/>
              <w:left w:val="nil"/>
              <w:bottom w:val="nil"/>
              <w:right w:val="nil"/>
            </w:tcBorders>
            <w:shd w:val="clear" w:color="auto" w:fill="auto"/>
            <w:vAlign w:val="center"/>
            <w:hideMark/>
          </w:tcPr>
          <w:p>
            <w:pPr>
              <w:widowControl/>
              <w:spacing w:before="120" w:line="240" w:lineRule="auto"/>
              <w:jc w:val="right"/>
              <w:rPr>
                <w:noProof/>
                <w:sz w:val="16"/>
                <w:szCs w:val="16"/>
                <w:lang w:eastAsia="en-GB"/>
              </w:rPr>
            </w:pPr>
          </w:p>
        </w:tc>
      </w:tr>
      <w:tr>
        <w:trPr>
          <w:trHeight w:val="300"/>
        </w:trPr>
        <w:tc>
          <w:tcPr>
            <w:tcW w:w="0" w:type="auto"/>
            <w:gridSpan w:val="4"/>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val="es-ES" w:eastAsia="en-GB"/>
              </w:rPr>
            </w:pPr>
            <w:r>
              <w:rPr>
                <w:rFonts w:ascii="Arial" w:hAnsi="Arial" w:cs="Arial"/>
                <w:noProof/>
                <w:sz w:val="16"/>
                <w:szCs w:val="16"/>
                <w:lang w:val="es-ES" w:eastAsia="en-GB"/>
              </w:rPr>
              <w:t>(*) 1 EUR = x units of local currency, except USD for: Cuba, El Salvador, Ecuador, Liberia, Panama, D.R. Congo, Timor-Leste.</w:t>
            </w:r>
          </w:p>
        </w:tc>
      </w:tr>
      <w:tr>
        <w:trPr>
          <w:trHeight w:val="300"/>
        </w:trPr>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lang w:eastAsia="en-GB"/>
              </w:rPr>
            </w:pPr>
            <w:r>
              <w:rPr>
                <w:rFonts w:ascii="Arial" w:hAnsi="Arial" w:cs="Arial"/>
                <w:noProof/>
                <w:sz w:val="16"/>
                <w:szCs w:val="16"/>
                <w:lang w:eastAsia="en-GB"/>
              </w:rPr>
              <w:t>(**) Brussels and Luxembourg = 100.</w:t>
            </w: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c>
          <w:tcPr>
            <w:tcW w:w="0" w:type="auto"/>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lang w:eastAsia="en-GB"/>
              </w:rPr>
            </w:pPr>
          </w:p>
        </w:tc>
      </w:tr>
    </w:tbl>
    <w:p>
      <w:pPr>
        <w:widowControl/>
        <w:spacing w:after="200" w:line="276" w:lineRule="auto"/>
        <w:rPr>
          <w:rFonts w:ascii="Calibri" w:eastAsia="Calibri" w:hAnsi="Calibri"/>
          <w:noProof/>
          <w:sz w:val="22"/>
          <w:szCs w:val="22"/>
          <w:lang w:eastAsia="en-US"/>
        </w:rPr>
      </w:pP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90373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pPr>
      <w:r>
        <w:rPr>
          <w:rStyle w:val="FootnoteReference"/>
          <w:rFonts w:eastAsiaTheme="majorEastAsia"/>
        </w:rPr>
        <w:footnoteRef/>
      </w:r>
      <w:r>
        <w:rPr>
          <w:rStyle w:val="FootnoteReference"/>
          <w:rFonts w:eastAsiaTheme="majorEastAsia"/>
        </w:rPr>
        <w:tab/>
      </w:r>
      <w:r>
        <w:t>Council Regulation (ECSC, EEC, Euratom) No 300/76 of 9 February 1976 determining the categories of officials entitled to allowances for shiftwork, and the rates and conditions thereof (OJ L 38, 13.2.1976, p. 1).</w:t>
      </w:r>
      <w:r>
        <w:rPr>
          <w:rStyle w:val="FootnoteReference"/>
          <w:rFonts w:eastAsiaTheme="majorEastAsia"/>
        </w:rPr>
        <w:t xml:space="preserve"> </w:t>
      </w:r>
      <w:r>
        <w:t>Regulation as supplemented by Regulation (Euratom, ECSC, EEC) No 1307/87 (OJ L 124, 13.5.1987, p. 6).</w:t>
      </w:r>
    </w:p>
  </w:footnote>
  <w:footnote w:id="2">
    <w:p>
      <w:pPr>
        <w:pStyle w:val="FootnoteText"/>
      </w:pPr>
      <w:r>
        <w:rPr>
          <w:rStyle w:val="FootnoteReference"/>
          <w:rFonts w:eastAsiaTheme="majorEastAsia"/>
        </w:rPr>
        <w:footnoteRef/>
      </w:r>
      <w:r>
        <w:rPr>
          <w:rStyle w:val="FootnoteReference"/>
          <w:rFonts w:eastAsiaTheme="majorEastAsia"/>
        </w:rPr>
        <w:tab/>
      </w:r>
      <w:r>
        <w:t>Regulation (EEC, Euratom, ECSC) No 260/68 of the Council of 29 February 1968 laying down the conditions and procedure for applying the tax for the benefit of the European Communities (OJ L 56, 4.3.1968, p. 8).</w:t>
      </w:r>
    </w:p>
  </w:footnote>
  <w:footnote w:id="3">
    <w:p>
      <w:pPr>
        <w:pStyle w:val="FootnoteText"/>
      </w:pPr>
      <w:r>
        <w:rPr>
          <w:rStyle w:val="FootnoteReference"/>
        </w:rPr>
        <w:footnoteRef/>
      </w:r>
      <w:r>
        <w:t xml:space="preserve"> </w:t>
      </w:r>
      <w:r>
        <w:rPr>
          <w:sz w:val="18"/>
        </w:rPr>
        <w:t>Eurostat Report of 22 October 2015 on the 2015 annual update of remuneration and pensions of EU officials in accordance with Articles 64 and 65 and Annexes XI and of the Staff Regulations applicable to officials and other servants of the European Union adjusting with effect from 1 July 2015 the remuneration of active staff and the pensions of retired staff, and updating with effect from 1 July 2015 the correction coefficients applied to the remuneration of active staff serving in Intra-EU and Extra-EU duty stations, to the pensions of retired staff according to their country of residence, and for pension transfers (Ares(2015)4498187)</w:t>
      </w:r>
      <w:r>
        <w:rPr>
          <w:sz w:val="18"/>
        </w:rPr>
        <w:br/>
        <w:t>Further information on the methodology is available on the Eurostat website ("Statistics Database" &gt;</w:t>
      </w:r>
      <w:r>
        <w:t xml:space="preserve"> </w:t>
      </w:r>
      <w:r>
        <w:rPr>
          <w:sz w:val="18"/>
        </w:rPr>
        <w:t>"Economy and finance" &gt; "Prices" &gt; "Correction coefficients")</w:t>
      </w:r>
    </w:p>
  </w:footnote>
  <w:footnote w:id="4">
    <w:p>
      <w:pPr>
        <w:pStyle w:val="FootnoteText"/>
        <w:rPr>
          <w:sz w:val="18"/>
        </w:rPr>
      </w:pPr>
      <w:r>
        <w:rPr>
          <w:rStyle w:val="FootnoteReference"/>
        </w:rPr>
        <w:footnoteRef/>
      </w:r>
      <w:r>
        <w:rPr>
          <w:sz w:val="18"/>
        </w:rPr>
        <w:t xml:space="preserve"> Eurostat Report of 15 September 2015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 (Ares(2015)3805783).</w:t>
      </w:r>
      <w:r>
        <w:rPr>
          <w:sz w:val="18"/>
        </w:rPr>
        <w:br/>
        <w:t>Further information on the methodology is available on the Eurostat website ("Statistics Database" &gt; "Economy and finance" &gt; "Prices" &gt; "Correction coefficients")</w:t>
      </w:r>
    </w:p>
  </w:footnote>
  <w:footnote w:id="5">
    <w:p>
      <w:pPr>
        <w:pStyle w:val="FootnoteText"/>
        <w:rPr>
          <w:sz w:val="18"/>
        </w:rPr>
      </w:pPr>
      <w:r>
        <w:rPr>
          <w:rStyle w:val="FootnoteReference"/>
        </w:rPr>
        <w:footnoteRef/>
      </w:r>
      <w:r>
        <w:t xml:space="preserve"> </w:t>
      </w:r>
      <w:r>
        <w:rPr>
          <w:sz w:val="18"/>
          <w:szCs w:val="18"/>
        </w:rPr>
        <w:t>According to the Eurostat Report of 20 April 2015 on the intermediate update of remuneration and pensions of EU officials in accordance</w:t>
      </w:r>
      <w:r>
        <w:rPr>
          <w:sz w:val="18"/>
        </w:rPr>
        <w:t xml:space="preserve"> with the Articles 64, 65 and Annex XI of the Staff Regulations applicable to officials and other servants of the European Union </w:t>
      </w:r>
      <w:r>
        <w:rPr>
          <w:sz w:val="18"/>
          <w:szCs w:val="18"/>
        </w:rPr>
        <w:t>(Ares(2015)1660037)</w:t>
      </w:r>
    </w:p>
    <w:p>
      <w:pPr>
        <w:pStyle w:val="FootnoteText"/>
      </w:pPr>
      <w:r>
        <w:rPr>
          <w:sz w:val="18"/>
        </w:rPr>
        <w:t>Further information is available on the Eurostat website (</w:t>
      </w:r>
      <w:hyperlink r:id="rId1" w:history="1">
        <w:r>
          <w:rPr>
            <w:rStyle w:val="Hyperlink"/>
            <w:sz w:val="18"/>
          </w:rPr>
          <w:t>http://ec.europa.eu/eurostat</w:t>
        </w:r>
      </w:hyperlink>
      <w:r>
        <w:rPr>
          <w:sz w:val="18"/>
        </w:rPr>
        <w:t xml:space="preserve"> &gt; "Data" &gt; "Database" &gt; "Economy and finance" &gt; "Prices" &gt; "Correction coefficients")</w:t>
      </w:r>
    </w:p>
  </w:footnote>
  <w:footnote w:id="6">
    <w:p>
      <w:pPr>
        <w:pStyle w:val="FootnoteText"/>
        <w:rPr>
          <w:sz w:val="18"/>
        </w:rPr>
      </w:pPr>
      <w:r>
        <w:rPr>
          <w:rStyle w:val="FootnoteReference"/>
        </w:rPr>
        <w:footnoteRef/>
      </w:r>
      <w:r>
        <w:rPr>
          <w:sz w:val="18"/>
        </w:rPr>
        <w:t xml:space="preserve"> According to the Eurostat Report of 17 April 2015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 (Ares(2015)1638258)</w:t>
      </w:r>
      <w:r>
        <w:rPr>
          <w:sz w:val="18"/>
        </w:rPr>
        <w:br/>
      </w:r>
      <w:r>
        <w:rPr>
          <w:sz w:val="18"/>
        </w:rPr>
        <w:br/>
        <w:t>Further information is available on the Eurostat website (</w:t>
      </w:r>
      <w:hyperlink r:id="rId2" w:history="1">
        <w:r>
          <w:rPr>
            <w:rStyle w:val="Hyperlink"/>
            <w:sz w:val="18"/>
          </w:rPr>
          <w:t>http://ec.europa.eu/eurostat</w:t>
        </w:r>
      </w:hyperlink>
      <w:r>
        <w:rPr>
          <w:sz w:val="18"/>
        </w:rPr>
        <w:t xml:space="preserve"> &gt; "Data" &gt; "Database" &gt; "Economy and finance" &gt; "Prices" &gt; "Correction coefficients")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5"/>
    <w:docVar w:name="LW_CONFIDENCE" w:val=" "/>
    <w:docVar w:name="LW_CONST_RESTREINT_UE" w:val="RESTREINT UE"/>
    <w:docVar w:name="LW_CORRIGENDUM" w:val="&lt;UNUSED&gt;"/>
    <w:docVar w:name="LW_COVERPAGE_GUID" w:val="AAA8F74DB3654BF3ACAE53556C7775AC"/>
    <w:docVar w:name="LW_CROSSREFERENCE" w:val="&lt;UNUSED&gt;"/>
    <w:docVar w:name="LW_DocType" w:val="NORMAL"/>
    <w:docVar w:name="LW_EMISSION" w:val="2.12.2015"/>
    <w:docVar w:name="LW_EMISSION_ISODATE" w:val="2015-12-02"/>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on data pertaining to the budgetary impact of the 2015 annual update of remuneration and pensions of the officials and other servants of the European Union and the correction coefficients applied thereto"/>
    <w:docVar w:name="LW_PART_NBR" w:val="&lt;UNUSED&gt;"/>
    <w:docVar w:name="LW_PART_NBR_TOTAL" w:val="&lt;UNUSED&gt;"/>
    <w:docVar w:name="LW_REF.INST.NEW" w:val="COM"/>
    <w:docVar w:name="LW_REF.INST.NEW_ADOPTED" w:val="final"/>
    <w:docVar w:name="LW_REF.INST.NEW_TEXT" w:val="(2015) 597"/>
    <w:docVar w:name="LW_REF.INTERNE" w:val="&lt;UNUSED&gt;"/>
    <w:docVar w:name="LW_SUPERTITRE" w:val="&lt;UNUSED&gt;"/>
    <w:docVar w:name="LW_TITRE.OBJ.CP" w:val="&lt;UNUSED&gt;"/>
    <w:docVar w:name="LW_TYPE.DOC.CP" w:val="ANNEXES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360" w:lineRule="auto"/>
    </w:pPr>
    <w:rPr>
      <w:rFonts w:ascii="Times New Roman" w:eastAsia="Times New Roman" w:hAnsi="Times New Roman" w:cs="Times New Roman"/>
      <w:sz w:val="24"/>
      <w:szCs w:val="20"/>
      <w:lang w:eastAsia="fr-BE"/>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eastAsia="fr-BE"/>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BE"/>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Calibri"/>
      <w:bCs/>
      <w:color w:val="365F91" w:themeColor="accent1" w:themeShade="BF"/>
      <w:lang w:eastAsia="en-GB"/>
    </w:rPr>
  </w:style>
  <w:style w:type="character" w:customStyle="1" w:styleId="FooterCoverPageChar">
    <w:name w:val="Footer Cover Page Char"/>
    <w:basedOn w:val="Heading1Char"/>
    <w:link w:val="FooterCoverPage"/>
    <w:rPr>
      <w:rFonts w:ascii="Times New Roman" w:eastAsia="Calibri" w:hAnsi="Times New Roman" w:cs="Times New Roman"/>
      <w:b w:val="0"/>
      <w:bCs/>
      <w:color w:val="365F91" w:themeColor="accent1" w:themeShade="BF"/>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Calibri"/>
      <w:bCs/>
      <w:color w:val="365F91" w:themeColor="accent1" w:themeShade="BF"/>
      <w:lang w:eastAsia="en-GB"/>
    </w:rPr>
  </w:style>
  <w:style w:type="character" w:customStyle="1" w:styleId="HeaderCoverPageChar">
    <w:name w:val="Header Cover Page Char"/>
    <w:basedOn w:val="Heading1Char"/>
    <w:link w:val="HeaderCoverPage"/>
    <w:rPr>
      <w:rFonts w:ascii="Times New Roman" w:eastAsia="Calibri" w:hAnsi="Times New Roman" w:cs="Times New Roman"/>
      <w:b w:val="0"/>
      <w:bCs/>
      <w:color w:val="365F91" w:themeColor="accent1" w:themeShade="BF"/>
      <w:sz w:val="24"/>
      <w:szCs w:val="20"/>
      <w:lang w:eastAsia="en-GB"/>
    </w:rPr>
  </w:style>
  <w:style w:type="character" w:styleId="Hyperlink">
    <w:name w:val="Hyperlink"/>
    <w:rPr>
      <w:color w:val="0000FF"/>
      <w:u w:val="single"/>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fr-B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360" w:lineRule="auto"/>
    </w:pPr>
    <w:rPr>
      <w:rFonts w:ascii="Times New Roman" w:eastAsia="Times New Roman" w:hAnsi="Times New Roman" w:cs="Times New Roman"/>
      <w:sz w:val="24"/>
      <w:szCs w:val="20"/>
      <w:lang w:eastAsia="fr-BE"/>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eastAsia="fr-BE"/>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BE"/>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Calibri"/>
      <w:bCs/>
      <w:color w:val="365F91" w:themeColor="accent1" w:themeShade="BF"/>
      <w:lang w:eastAsia="en-GB"/>
    </w:rPr>
  </w:style>
  <w:style w:type="character" w:customStyle="1" w:styleId="FooterCoverPageChar">
    <w:name w:val="Footer Cover Page Char"/>
    <w:basedOn w:val="Heading1Char"/>
    <w:link w:val="FooterCoverPage"/>
    <w:rPr>
      <w:rFonts w:ascii="Times New Roman" w:eastAsia="Calibri" w:hAnsi="Times New Roman" w:cs="Times New Roman"/>
      <w:b w:val="0"/>
      <w:bCs/>
      <w:color w:val="365F91" w:themeColor="accent1" w:themeShade="BF"/>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Calibri"/>
      <w:bCs/>
      <w:color w:val="365F91" w:themeColor="accent1" w:themeShade="BF"/>
      <w:lang w:eastAsia="en-GB"/>
    </w:rPr>
  </w:style>
  <w:style w:type="character" w:customStyle="1" w:styleId="HeaderCoverPageChar">
    <w:name w:val="Header Cover Page Char"/>
    <w:basedOn w:val="Heading1Char"/>
    <w:link w:val="HeaderCoverPage"/>
    <w:rPr>
      <w:rFonts w:ascii="Times New Roman" w:eastAsia="Calibri" w:hAnsi="Times New Roman" w:cs="Times New Roman"/>
      <w:b w:val="0"/>
      <w:bCs/>
      <w:color w:val="365F91" w:themeColor="accent1" w:themeShade="BF"/>
      <w:sz w:val="24"/>
      <w:szCs w:val="20"/>
      <w:lang w:eastAsia="en-GB"/>
    </w:rPr>
  </w:style>
  <w:style w:type="character" w:styleId="Hyperlink">
    <w:name w:val="Hyperlink"/>
    <w:rPr>
      <w:color w:val="0000FF"/>
      <w:u w:val="single"/>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fr-B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3995">
      <w:bodyDiv w:val="1"/>
      <w:marLeft w:val="0"/>
      <w:marRight w:val="0"/>
      <w:marTop w:val="0"/>
      <w:marBottom w:val="0"/>
      <w:divBdr>
        <w:top w:val="none" w:sz="0" w:space="0" w:color="auto"/>
        <w:left w:val="none" w:sz="0" w:space="0" w:color="auto"/>
        <w:bottom w:val="none" w:sz="0" w:space="0" w:color="auto"/>
        <w:right w:val="none" w:sz="0" w:space="0" w:color="auto"/>
      </w:divBdr>
    </w:div>
    <w:div w:id="240875007">
      <w:bodyDiv w:val="1"/>
      <w:marLeft w:val="0"/>
      <w:marRight w:val="0"/>
      <w:marTop w:val="0"/>
      <w:marBottom w:val="0"/>
      <w:divBdr>
        <w:top w:val="none" w:sz="0" w:space="0" w:color="auto"/>
        <w:left w:val="none" w:sz="0" w:space="0" w:color="auto"/>
        <w:bottom w:val="none" w:sz="0" w:space="0" w:color="auto"/>
        <w:right w:val="none" w:sz="0" w:space="0" w:color="auto"/>
      </w:divBdr>
    </w:div>
    <w:div w:id="364672191">
      <w:bodyDiv w:val="1"/>
      <w:marLeft w:val="0"/>
      <w:marRight w:val="0"/>
      <w:marTop w:val="0"/>
      <w:marBottom w:val="0"/>
      <w:divBdr>
        <w:top w:val="none" w:sz="0" w:space="0" w:color="auto"/>
        <w:left w:val="none" w:sz="0" w:space="0" w:color="auto"/>
        <w:bottom w:val="none" w:sz="0" w:space="0" w:color="auto"/>
        <w:right w:val="none" w:sz="0" w:space="0" w:color="auto"/>
      </w:divBdr>
    </w:div>
    <w:div w:id="433326719">
      <w:bodyDiv w:val="1"/>
      <w:marLeft w:val="0"/>
      <w:marRight w:val="0"/>
      <w:marTop w:val="0"/>
      <w:marBottom w:val="0"/>
      <w:divBdr>
        <w:top w:val="none" w:sz="0" w:space="0" w:color="auto"/>
        <w:left w:val="none" w:sz="0" w:space="0" w:color="auto"/>
        <w:bottom w:val="none" w:sz="0" w:space="0" w:color="auto"/>
        <w:right w:val="none" w:sz="0" w:space="0" w:color="auto"/>
      </w:divBdr>
    </w:div>
    <w:div w:id="697387036">
      <w:bodyDiv w:val="1"/>
      <w:marLeft w:val="0"/>
      <w:marRight w:val="0"/>
      <w:marTop w:val="0"/>
      <w:marBottom w:val="0"/>
      <w:divBdr>
        <w:top w:val="none" w:sz="0" w:space="0" w:color="auto"/>
        <w:left w:val="none" w:sz="0" w:space="0" w:color="auto"/>
        <w:bottom w:val="none" w:sz="0" w:space="0" w:color="auto"/>
        <w:right w:val="none" w:sz="0" w:space="0" w:color="auto"/>
      </w:divBdr>
    </w:div>
    <w:div w:id="964769540">
      <w:bodyDiv w:val="1"/>
      <w:marLeft w:val="0"/>
      <w:marRight w:val="0"/>
      <w:marTop w:val="0"/>
      <w:marBottom w:val="0"/>
      <w:divBdr>
        <w:top w:val="none" w:sz="0" w:space="0" w:color="auto"/>
        <w:left w:val="none" w:sz="0" w:space="0" w:color="auto"/>
        <w:bottom w:val="none" w:sz="0" w:space="0" w:color="auto"/>
        <w:right w:val="none" w:sz="0" w:space="0" w:color="auto"/>
      </w:divBdr>
    </w:div>
    <w:div w:id="1118989360">
      <w:bodyDiv w:val="1"/>
      <w:marLeft w:val="0"/>
      <w:marRight w:val="0"/>
      <w:marTop w:val="0"/>
      <w:marBottom w:val="0"/>
      <w:divBdr>
        <w:top w:val="none" w:sz="0" w:space="0" w:color="auto"/>
        <w:left w:val="none" w:sz="0" w:space="0" w:color="auto"/>
        <w:bottom w:val="none" w:sz="0" w:space="0" w:color="auto"/>
        <w:right w:val="none" w:sz="0" w:space="0" w:color="auto"/>
      </w:divBdr>
    </w:div>
    <w:div w:id="1235045645">
      <w:bodyDiv w:val="1"/>
      <w:marLeft w:val="0"/>
      <w:marRight w:val="0"/>
      <w:marTop w:val="0"/>
      <w:marBottom w:val="0"/>
      <w:divBdr>
        <w:top w:val="none" w:sz="0" w:space="0" w:color="auto"/>
        <w:left w:val="none" w:sz="0" w:space="0" w:color="auto"/>
        <w:bottom w:val="none" w:sz="0" w:space="0" w:color="auto"/>
        <w:right w:val="none" w:sz="0" w:space="0" w:color="auto"/>
      </w:divBdr>
    </w:div>
    <w:div w:id="1322925618">
      <w:bodyDiv w:val="1"/>
      <w:marLeft w:val="0"/>
      <w:marRight w:val="0"/>
      <w:marTop w:val="0"/>
      <w:marBottom w:val="0"/>
      <w:divBdr>
        <w:top w:val="none" w:sz="0" w:space="0" w:color="auto"/>
        <w:left w:val="none" w:sz="0" w:space="0" w:color="auto"/>
        <w:bottom w:val="none" w:sz="0" w:space="0" w:color="auto"/>
        <w:right w:val="none" w:sz="0" w:space="0" w:color="auto"/>
      </w:divBdr>
    </w:div>
    <w:div w:id="1515611874">
      <w:bodyDiv w:val="1"/>
      <w:marLeft w:val="0"/>
      <w:marRight w:val="0"/>
      <w:marTop w:val="0"/>
      <w:marBottom w:val="0"/>
      <w:divBdr>
        <w:top w:val="none" w:sz="0" w:space="0" w:color="auto"/>
        <w:left w:val="none" w:sz="0" w:space="0" w:color="auto"/>
        <w:bottom w:val="none" w:sz="0" w:space="0" w:color="auto"/>
        <w:right w:val="none" w:sz="0" w:space="0" w:color="auto"/>
      </w:divBdr>
    </w:div>
    <w:div w:id="1734082854">
      <w:bodyDiv w:val="1"/>
      <w:marLeft w:val="0"/>
      <w:marRight w:val="0"/>
      <w:marTop w:val="0"/>
      <w:marBottom w:val="0"/>
      <w:divBdr>
        <w:top w:val="none" w:sz="0" w:space="0" w:color="auto"/>
        <w:left w:val="none" w:sz="0" w:space="0" w:color="auto"/>
        <w:bottom w:val="none" w:sz="0" w:space="0" w:color="auto"/>
        <w:right w:val="none" w:sz="0" w:space="0" w:color="auto"/>
      </w:divBdr>
    </w:div>
    <w:div w:id="1802383949">
      <w:bodyDiv w:val="1"/>
      <w:marLeft w:val="0"/>
      <w:marRight w:val="0"/>
      <w:marTop w:val="0"/>
      <w:marBottom w:val="0"/>
      <w:divBdr>
        <w:top w:val="none" w:sz="0" w:space="0" w:color="auto"/>
        <w:left w:val="none" w:sz="0" w:space="0" w:color="auto"/>
        <w:bottom w:val="none" w:sz="0" w:space="0" w:color="auto"/>
        <w:right w:val="none" w:sz="0" w:space="0" w:color="auto"/>
      </w:divBdr>
    </w:div>
    <w:div w:id="18139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 TargetMode="External"/><Relationship Id="rId1" Type="http://schemas.openxmlformats.org/officeDocument/2006/relationships/hyperlink" Target="http://ec.europa.eu/euro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2078-1541-4B32-BB2A-075921BB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3216</Words>
  <Characters>16599</Characters>
  <Application>Microsoft Office Word</Application>
  <DocSecurity>0</DocSecurity>
  <Lines>1659</Lines>
  <Paragraphs>1320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POIRIER Felix (HR)</dc:creator>
  <cp:lastModifiedBy>DIGIT/A3</cp:lastModifiedBy>
  <cp:revision>7</cp:revision>
  <dcterms:created xsi:type="dcterms:W3CDTF">2015-11-24T15:17:00Z</dcterms:created>
  <dcterms:modified xsi:type="dcterms:W3CDTF">2015-12-01T11:00:00Z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5</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