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FCA78C28B5841EE995CEE6677D735D9" style="width:450.75pt;height:348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ДОКЛАД НА КОМИСИЯТА ДО СЪВЕТА И ЕВРОПЕЙСКИЯ ПАРЛАМЕНТ</w:t>
      </w:r>
    </w:p>
    <w:p>
      <w:pPr>
        <w:jc w:val="center"/>
        <w:rPr>
          <w:b/>
          <w:noProof/>
        </w:rPr>
      </w:pPr>
      <w:r>
        <w:rPr>
          <w:b/>
          <w:noProof/>
        </w:rPr>
        <w:t>относно използването от институциите през 2013 г. на Регламент № 495/77 на Съвета, последно изменен с Регламент № 1945/2006 (относно задълженията по дежурство), на Регламент № 858/2004 на Съвета (относно труда в особено вредни условия) и на Регламент № 300/76 на Съвета, последно изменен с Регламент №</w:t>
      </w:r>
      <w:r>
        <w:rPr>
          <w:b/>
          <w:noProof/>
          <w:lang w:val="en-GB"/>
        </w:rPr>
        <w:t> </w:t>
      </w:r>
      <w:r>
        <w:rPr>
          <w:b/>
          <w:noProof/>
        </w:rPr>
        <w:t>1873/2006 (относно непрекъснатата работа или работата на смени)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Въведение</w:t>
      </w:r>
    </w:p>
    <w:p>
      <w:pPr>
        <w:rPr>
          <w:noProof/>
        </w:rPr>
      </w:pPr>
      <w:r>
        <w:rPr>
          <w:noProof/>
        </w:rPr>
        <w:t>Съгласно регламентите на Съвета относно задълженията по дежурство (№ 495/77) и относно труда в особено вредни условия (№ 858/2004) Комисията е длъжна да докладва ежегодно на Съвета за броя на длъжностните лица и на другите служители във всяка категория, получаващи предвидените в съответните регламенти надбавки, и за общия размер на разходите за тези надбавки.</w:t>
      </w:r>
    </w:p>
    <w:p>
      <w:pPr>
        <w:rPr>
          <w:noProof/>
        </w:rPr>
      </w:pPr>
      <w:r>
        <w:rPr>
          <w:noProof/>
        </w:rPr>
        <w:t>Настоящият доклад се основава на последните пълни годишни данни, които са налице към момента на изготвянето му, и се отнася за 2013 г. Той обхваща всички институции и за по-голяма пълнота съдържа също подобна информация относно използването на непрекъснатата работа или работата на смени (Регламент № 300/76 на Съвета).</w:t>
      </w:r>
    </w:p>
    <w:p>
      <w:pPr>
        <w:pStyle w:val="ManualHeading1"/>
        <w:rPr>
          <w:bCs/>
          <w:noProof/>
        </w:rPr>
      </w:pPr>
      <w:r>
        <w:t>2.</w:t>
      </w:r>
      <w:r>
        <w:tab/>
      </w:r>
      <w:r>
        <w:rPr>
          <w:noProof/>
        </w:rPr>
        <w:t>Надбавка за задължения по дежурство</w:t>
      </w:r>
    </w:p>
    <w:p>
      <w:pPr>
        <w:rPr>
          <w:noProof/>
        </w:rPr>
      </w:pPr>
      <w:r>
        <w:rPr>
          <w:noProof/>
        </w:rPr>
        <w:t>Правното основание за тази надбавка са членове 55 и 56б от Правилника за персонала и Регламент № 495/77 на Съвета от 8 март 1977 г., последно изменен с Регламент № 1945/2006 на Съвета от 11 декември 2006 г.</w:t>
      </w:r>
    </w:p>
    <w:p>
      <w:pPr>
        <w:spacing w:after="0"/>
        <w:rPr>
          <w:noProof/>
        </w:rPr>
      </w:pPr>
      <w:r>
        <w:rPr>
          <w:noProof/>
        </w:rPr>
        <w:t xml:space="preserve">Надбавката се изплаща само на длъжностните лица и другите служители, които получават възнагражденията си от </w:t>
      </w:r>
      <w:r>
        <w:rPr>
          <w:i/>
          <w:noProof/>
        </w:rPr>
        <w:t>бюджетните кредити за изследвания</w:t>
      </w:r>
      <w:r>
        <w:rPr>
          <w:noProof/>
        </w:rPr>
        <w:t xml:space="preserve"> и са наети:</w:t>
      </w:r>
    </w:p>
    <w:p>
      <w:pPr>
        <w:pStyle w:val="Tiret1"/>
        <w:numPr>
          <w:ilvl w:val="0"/>
          <w:numId w:val="24"/>
        </w:numPr>
        <w:spacing w:before="0" w:after="0"/>
        <w:ind w:left="1418"/>
        <w:rPr>
          <w:noProof/>
        </w:rPr>
      </w:pPr>
      <w:r>
        <w:rPr>
          <w:noProof/>
        </w:rPr>
        <w:t xml:space="preserve">в звено на Съвместния изследователски център (JRC) или 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рамките на непряка дейност или</w:t>
      </w:r>
    </w:p>
    <w:p>
      <w:pPr>
        <w:spacing w:after="0"/>
        <w:rPr>
          <w:noProof/>
        </w:rPr>
      </w:pPr>
      <w:r>
        <w:rPr>
          <w:noProof/>
        </w:rPr>
        <w:t xml:space="preserve">получават възнагражденията си от </w:t>
      </w:r>
      <w:r>
        <w:rPr>
          <w:i/>
          <w:noProof/>
        </w:rPr>
        <w:t>бюджетните кредити за административни разходи</w:t>
      </w:r>
      <w:r>
        <w:rPr>
          <w:noProof/>
        </w:rPr>
        <w:t xml:space="preserve"> и са наети: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да работят на технически инсталации или да наблюдават такива инсталации,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отдел за безопасност и сигурност,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отдел, обслужващ информационните и комуникационните технологии (ИКТ),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отдел, осигуряващ подкрепа за общата външна политика и политика на сигурност (ОВППС)/европейската политика за сигурност и отбрана (ЕПСО) или за координацията в извънредни и кризисни ситуации, или</w:t>
      </w:r>
    </w:p>
    <w:p>
      <w:pPr>
        <w:pStyle w:val="Tiret1"/>
        <w:numPr>
          <w:ilvl w:val="0"/>
          <w:numId w:val="25"/>
        </w:numPr>
        <w:spacing w:before="0"/>
        <w:rPr>
          <w:noProof/>
        </w:rPr>
      </w:pPr>
      <w:r>
        <w:rPr>
          <w:noProof/>
        </w:rPr>
        <w:t>в структура, създадена с цел осигуряване на помощ на държавите членки 24 часа в денонощието и 7 дни в седмицата („ДЧ 24/7“) в рамките на координацията в извънредни или кризисни ситуации, или в служби, където е налице доказана необходимост от изпълнението на задачи, за да се гарантира механизъм за предоставяне на помощ на държавите членки.</w:t>
      </w:r>
    </w:p>
    <w:p>
      <w:pPr>
        <w:rPr>
          <w:noProof/>
        </w:rPr>
      </w:pPr>
      <w:r>
        <w:rPr>
          <w:noProof/>
        </w:rPr>
        <w:t>Надбавката за задължения по дежурство се изразява в точки. Броят на точките, които се начисляват за всеки час дадено дежурство, се определя, както следва: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дежурство на разположение у дома в работен ден: 2,15 точки;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дежурство на разположение у дома в събота и неделя и през официалните празници: 4,3 точки;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дежурство на работното място в работен ден: 11 точки;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дежурство на работното място в събота и неделя и през официалните празници: 22 точки.</w:t>
      </w:r>
    </w:p>
    <w:p>
      <w:pPr>
        <w:rPr>
          <w:noProof/>
        </w:rPr>
      </w:pPr>
      <w:r>
        <w:rPr>
          <w:noProof/>
        </w:rPr>
        <w:t>Всяка точка се равнява на 0,032 % от основната заплата на длъжностно лице със степен 1, първа стъпка (или на 0,86 EUR през 2013 г.).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Брой бенефициери по видове дежурство:</w:t>
      </w:r>
    </w:p>
    <w:tbl>
      <w:tblPr>
        <w:tblW w:w="8900" w:type="dxa"/>
        <w:tblInd w:w="93" w:type="dxa"/>
        <w:tblLook w:val="0000" w:firstRow="0" w:lastRow="0" w:firstColumn="0" w:lastColumn="0" w:noHBand="0" w:noVBand="0"/>
      </w:tblPr>
      <w:tblGrid>
        <w:gridCol w:w="2860"/>
        <w:gridCol w:w="1120"/>
        <w:gridCol w:w="1720"/>
        <w:gridCol w:w="2080"/>
        <w:gridCol w:w="1120"/>
      </w:tblGrid>
      <w:tr>
        <w:trPr>
          <w:trHeight w:val="51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Институция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У дома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У дома и на работното място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На работното място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Общо </w:t>
            </w:r>
          </w:p>
        </w:tc>
      </w:tr>
      <w:tr>
        <w:trPr>
          <w:trHeight w:val="64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402</w:t>
            </w:r>
          </w:p>
        </w:tc>
      </w:tr>
      <w:tr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- от които JRC: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33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b/>
                <w:i/>
                <w:iCs/>
                <w:noProof/>
                <w:color w:val="808080"/>
                <w:sz w:val="22"/>
              </w:rPr>
            </w:pPr>
            <w:r>
              <w:rPr>
                <w:b/>
                <w:i/>
                <w:noProof/>
                <w:color w:val="808080"/>
                <w:sz w:val="22"/>
              </w:rPr>
              <w:t>217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Съвет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51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Парламент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Сметна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9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ЕИСК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ЕНОЗД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Омбудсман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ЕСВД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17</w:t>
            </w:r>
          </w:p>
        </w:tc>
      </w:tr>
      <w:tr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407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18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479</w:t>
            </w:r>
          </w:p>
        </w:tc>
      </w:tr>
    </w:tbl>
    <w:p>
      <w:pPr>
        <w:pStyle w:val="ManualHeading2"/>
        <w:rPr>
          <w:bCs/>
          <w:noProof/>
        </w:rPr>
      </w:pPr>
      <w:r>
        <w:t>2.2.</w:t>
      </w:r>
      <w:r>
        <w:tab/>
      </w:r>
      <w:r>
        <w:rPr>
          <w:noProof/>
        </w:rPr>
        <w:t>Брой бенефициери (длъжностни лица/срочно наети служители и договорно наети служители)</w:t>
      </w:r>
      <w:r>
        <w:rPr>
          <w:rStyle w:val="FootnoteReference"/>
          <w:noProof/>
        </w:rPr>
        <w:footnoteReference w:id="1"/>
      </w:r>
      <w:r>
        <w:rPr>
          <w:noProof/>
        </w:rPr>
        <w:t>:</w:t>
      </w:r>
    </w:p>
    <w:tbl>
      <w:tblPr>
        <w:tblW w:w="9420" w:type="dxa"/>
        <w:tblInd w:w="93" w:type="dxa"/>
        <w:tblLook w:val="0000" w:firstRow="0" w:lastRow="0" w:firstColumn="0" w:lastColumn="0" w:noHBand="0" w:noVBand="0"/>
      </w:tblPr>
      <w:tblGrid>
        <w:gridCol w:w="2680"/>
        <w:gridCol w:w="800"/>
        <w:gridCol w:w="1140"/>
        <w:gridCol w:w="960"/>
        <w:gridCol w:w="960"/>
        <w:gridCol w:w="960"/>
        <w:gridCol w:w="960"/>
        <w:gridCol w:w="960"/>
      </w:tblGrid>
      <w:tr>
        <w:trPr>
          <w:trHeight w:val="51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Институция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AST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Договорно наети служители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</w:tr>
      <w:tr>
        <w:trPr>
          <w:trHeight w:val="64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ФГ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ФГ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ФГ III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ФГ IV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Комисия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402</w:t>
            </w:r>
          </w:p>
        </w:tc>
      </w:tr>
      <w:tr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- от които JRC: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rPr>
                <w:b/>
                <w:i/>
                <w:iCs/>
                <w:noProof/>
                <w:color w:val="808080"/>
                <w:sz w:val="22"/>
              </w:rPr>
            </w:pPr>
            <w:r>
              <w:rPr>
                <w:b/>
                <w:i/>
                <w:noProof/>
                <w:color w:val="808080"/>
                <w:sz w:val="22"/>
              </w:rPr>
              <w:t>217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Съвет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51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Парламент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Сметна палата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9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ЕИСК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ЕНОЗД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Омбудсман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ЕСВД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17</w:t>
            </w:r>
          </w:p>
        </w:tc>
      </w:tr>
      <w:tr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127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304,5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37,5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479</w:t>
            </w:r>
          </w:p>
        </w:tc>
      </w:tr>
    </w:tbl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Брой бенефициери по области на работа:</w:t>
      </w:r>
    </w:p>
    <w:tbl>
      <w:tblPr>
        <w:tblW w:w="99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36"/>
        <w:gridCol w:w="824"/>
        <w:gridCol w:w="1216"/>
        <w:gridCol w:w="1484"/>
        <w:gridCol w:w="1056"/>
        <w:gridCol w:w="718"/>
        <w:gridCol w:w="961"/>
        <w:gridCol w:w="840"/>
        <w:gridCol w:w="840"/>
      </w:tblGrid>
      <w:tr>
        <w:trPr>
          <w:trHeight w:val="64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Институция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JRC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Непреки дейности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Технически инсталации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Безопасност/сигурност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ИКТ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ОВППС/ЕПСО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ДЧ 24/7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Комисия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217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402</w:t>
            </w:r>
          </w:p>
        </w:tc>
      </w:tr>
      <w:tr>
        <w:trPr>
          <w:trHeight w:val="315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- от които JRC: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217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rPr>
                <w:i/>
                <w:iCs/>
                <w:noProof/>
                <w:color w:val="808080"/>
                <w:sz w:val="22"/>
              </w:rPr>
            </w:pPr>
            <w:r>
              <w:rPr>
                <w:i/>
                <w:noProof/>
                <w:color w:val="808080"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rPr>
                <w:b/>
                <w:i/>
                <w:iCs/>
                <w:noProof/>
                <w:color w:val="808080"/>
                <w:sz w:val="22"/>
              </w:rPr>
            </w:pPr>
            <w:r>
              <w:rPr>
                <w:b/>
                <w:i/>
                <w:noProof/>
                <w:color w:val="808080"/>
                <w:sz w:val="22"/>
              </w:rPr>
              <w:t>217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51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Парламент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Сметна палата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9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ЕИСК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ЕНОЗД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Омбудсман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ЕСВД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17</w:t>
            </w:r>
          </w:p>
        </w:tc>
      </w:tr>
      <w:tr>
        <w:trPr>
          <w:trHeight w:val="330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i/>
                <w:iCs/>
                <w:noProof/>
                <w:sz w:val="22"/>
              </w:rPr>
            </w:pPr>
            <w:r>
              <w:rPr>
                <w:b/>
                <w:i/>
                <w:noProof/>
                <w:sz w:val="22"/>
              </w:rPr>
              <w:t>Общо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217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61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89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479</w:t>
            </w:r>
          </w:p>
        </w:tc>
      </w:tr>
    </w:tbl>
    <w:p>
      <w:pPr>
        <w:pStyle w:val="ManualHeading1"/>
        <w:rPr>
          <w:bCs/>
          <w:noProof/>
        </w:rPr>
      </w:pPr>
      <w:r>
        <w:t>3.</w:t>
      </w:r>
      <w:r>
        <w:tab/>
      </w:r>
      <w:r>
        <w:rPr>
          <w:noProof/>
        </w:rPr>
        <w:t>Надбавка за труд в особено вредни условия</w:t>
      </w:r>
    </w:p>
    <w:p>
      <w:pPr>
        <w:rPr>
          <w:noProof/>
        </w:rPr>
      </w:pPr>
      <w:r>
        <w:rPr>
          <w:noProof/>
        </w:rPr>
        <w:t>Правното основание за тази надбавка са член 56в от Правилника за персонала и Регламент № 858/2004 на Съвета от 29 април 2004 г., който заменя Регламент № 1799/72 на Съвета.</w:t>
      </w:r>
      <w:r>
        <w:rPr>
          <w:noProof/>
        </w:rPr>
        <w:tab/>
      </w:r>
    </w:p>
    <w:p>
      <w:pPr>
        <w:rPr>
          <w:noProof/>
        </w:rPr>
      </w:pPr>
      <w:r>
        <w:rPr>
          <w:noProof/>
        </w:rPr>
        <w:br/>
        <w:t>Надбавката за труд в особено вредни условия се изразява в точки, които се начисляват за всеки час действително положен труд, като се прави разграничение между специфични условия на труд, свързани с „личните защитни средства“, с „работното място“ и с „естеството на труда“. Броят на точките варира между 2 (напр. за средни нива на шума, надвишаващи 85 децибела) и максимума от 50 точки (за служител, носещ личен противопожарен скафандър). Всяка точка се равнява на 0,032 % от основната заплата на длъжностно лице със степен 1, първа стъпка (или на 0,86 EUR през 2013 г.).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ManualHeading2"/>
        <w:rPr>
          <w:bCs/>
          <w:noProof/>
        </w:rPr>
      </w:pPr>
      <w:r>
        <w:t>3.1.</w:t>
      </w:r>
      <w:r>
        <w:tab/>
      </w:r>
      <w:r>
        <w:rPr>
          <w:noProof/>
        </w:rPr>
        <w:t>Брой бенефициери (длъжностни лица/срочно наети служители и договорно наети служители):</w:t>
      </w:r>
    </w:p>
    <w:tbl>
      <w:tblPr>
        <w:tblW w:w="9100" w:type="dxa"/>
        <w:tblInd w:w="93" w:type="dxa"/>
        <w:tblLook w:val="0000" w:firstRow="0" w:lastRow="0" w:firstColumn="0" w:lastColumn="0" w:noHBand="0" w:noVBand="0"/>
      </w:tblPr>
      <w:tblGrid>
        <w:gridCol w:w="2295"/>
        <w:gridCol w:w="960"/>
        <w:gridCol w:w="960"/>
        <w:gridCol w:w="840"/>
        <w:gridCol w:w="960"/>
        <w:gridCol w:w="1080"/>
        <w:gridCol w:w="1045"/>
        <w:gridCol w:w="960"/>
      </w:tblGrid>
      <w:tr>
        <w:trPr>
          <w:trHeight w:val="330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Институция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AST</w:t>
            </w:r>
          </w:p>
        </w:tc>
        <w:tc>
          <w:tcPr>
            <w:tcW w:w="39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Договорно наети служители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</w:tr>
      <w:tr>
        <w:trPr>
          <w:trHeight w:val="330"/>
        </w:trPr>
        <w:tc>
          <w:tcPr>
            <w:tcW w:w="2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III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IV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236</w:t>
            </w:r>
          </w:p>
        </w:tc>
      </w:tr>
      <w:tr>
        <w:trPr>
          <w:trHeight w:val="31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от които JRC: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221</w:t>
            </w:r>
          </w:p>
        </w:tc>
      </w:tr>
      <w:tr>
        <w:trPr>
          <w:trHeight w:val="34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Парламент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1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Сметна палата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1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15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ЕНОЗД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Омбудсман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ЕСВД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>
            <w:pPr>
              <w:spacing w:before="0" w:after="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236</w:t>
            </w:r>
          </w:p>
        </w:tc>
      </w:tr>
    </w:tbl>
    <w:p>
      <w:pPr>
        <w:pStyle w:val="ManualHeading1"/>
        <w:rPr>
          <w:bCs/>
          <w:noProof/>
        </w:rPr>
      </w:pPr>
      <w:r>
        <w:t>4.</w:t>
      </w:r>
      <w:r>
        <w:tab/>
      </w:r>
      <w:r>
        <w:rPr>
          <w:noProof/>
        </w:rPr>
        <w:t>Надбавка за непрекъсната работа или за работа на смени</w:t>
      </w:r>
    </w:p>
    <w:p>
      <w:pPr>
        <w:spacing w:after="0"/>
        <w:rPr>
          <w:noProof/>
        </w:rPr>
      </w:pPr>
      <w:r>
        <w:rPr>
          <w:noProof/>
        </w:rPr>
        <w:t>Правното основание за тази надбавка са член 56а от Правилника за персонала и Регламент № 300/76 на Съвета от 9 февруари 1976 г., последно изменен с Регламент № 1873/2006 на Съвета от 11 декември 2006 г.</w:t>
      </w:r>
    </w:p>
    <w:p>
      <w:pPr>
        <w:spacing w:after="0"/>
        <w:rPr>
          <w:noProof/>
        </w:rPr>
      </w:pPr>
      <w:r>
        <w:rPr>
          <w:noProof/>
        </w:rPr>
        <w:t xml:space="preserve">Надбавката се изплаща само на длъжностните лица и другите служители, които получават възнагражденията си от </w:t>
      </w:r>
      <w:r>
        <w:rPr>
          <w:i/>
          <w:noProof/>
        </w:rPr>
        <w:t>бюджетните кредити за изследвания</w:t>
      </w:r>
      <w:r>
        <w:rPr>
          <w:noProof/>
        </w:rPr>
        <w:t xml:space="preserve"> и са наети: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звено на Съвместния изследователски център (JRC) или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 xml:space="preserve">в рамките на непряка дейност или </w:t>
      </w:r>
    </w:p>
    <w:p>
      <w:pPr>
        <w:spacing w:before="0" w:after="0"/>
        <w:rPr>
          <w:noProof/>
        </w:rPr>
      </w:pPr>
      <w:r>
        <w:rPr>
          <w:noProof/>
        </w:rPr>
        <w:t xml:space="preserve">получават възнагражденията си от </w:t>
      </w:r>
      <w:r>
        <w:rPr>
          <w:i/>
          <w:noProof/>
        </w:rPr>
        <w:t>бюджетните кредити за административни разходи</w:t>
      </w:r>
      <w:r>
        <w:rPr>
          <w:noProof/>
        </w:rPr>
        <w:t xml:space="preserve"> и са наети: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отдел, обслужващ информационните и комуникационните технологии (ИКТ),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отдел за безопасност и сигурност,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в телефонна централа/информационна служба или рецепция,</w:t>
      </w:r>
    </w:p>
    <w:p>
      <w:pPr>
        <w:pStyle w:val="Tiret1"/>
        <w:numPr>
          <w:ilvl w:val="0"/>
          <w:numId w:val="25"/>
        </w:numPr>
        <w:spacing w:before="0" w:after="0"/>
        <w:rPr>
          <w:noProof/>
        </w:rPr>
      </w:pPr>
      <w:r>
        <w:rPr>
          <w:noProof/>
        </w:rPr>
        <w:t>в отдел, осигуряващ подкрепа за общата външна политика и политика на сигурност (ОВППС)/европейската политика за сигурност и отбрана (ЕПСО) или за координацията в извънредни и кризисни ситуации,</w:t>
      </w:r>
    </w:p>
    <w:p>
      <w:pPr>
        <w:pStyle w:val="Tiret1"/>
        <w:numPr>
          <w:ilvl w:val="0"/>
          <w:numId w:val="25"/>
        </w:numPr>
        <w:spacing w:before="0" w:after="0"/>
        <w:rPr>
          <w:noProof/>
        </w:rPr>
      </w:pPr>
      <w:r>
        <w:rPr>
          <w:noProof/>
        </w:rPr>
        <w:t>в отдел, осигуряващ помощ в рамките на координацията в извънредни или кризисни ситуации, или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да работят на технически инсталации или да наблюдават такива инсталации.</w:t>
      </w:r>
    </w:p>
    <w:p>
      <w:pPr>
        <w:spacing w:after="0"/>
        <w:rPr>
          <w:noProof/>
        </w:rPr>
      </w:pPr>
      <w:r>
        <w:rPr>
          <w:noProof/>
        </w:rPr>
        <w:t>Предвидени са четири различни ставки за месечната надбавка (стойностите са за 2013 г.):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ставка 1: работа на две смени без събота и неделя и без официалните празници: 385,23 EUR;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ставка 2: работа на две смени, включително през нощта, в събота и неделя и през официалните празници: 581,45 EUR;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ставка 3: 24 часа в денонощието без събота и неделя и без официалните празници: 635,74 EUR;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ставка 4: 24 часа в денонощието, 7 дни в седмицата: 866,72 EUR.</w:t>
      </w:r>
    </w:p>
    <w:p>
      <w:pPr>
        <w:spacing w:after="0"/>
        <w:rPr>
          <w:noProof/>
        </w:rPr>
      </w:pPr>
      <w:r>
        <w:rPr>
          <w:noProof/>
        </w:rPr>
        <w:t>По-долу е посочен броят на надбавките, отпуснати от всяка институция за 2013 г.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Брой бенефициери по ставки: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3620"/>
        <w:gridCol w:w="1215"/>
        <w:gridCol w:w="1276"/>
        <w:gridCol w:w="1275"/>
        <w:gridCol w:w="1134"/>
        <w:gridCol w:w="1418"/>
      </w:tblGrid>
      <w:tr>
        <w:trPr>
          <w:trHeight w:val="255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Институция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Ставка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Ставка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Ставка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Ставка 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</w:tr>
      <w:tr>
        <w:trPr>
          <w:trHeight w:val="64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385,23 EUR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581,45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635,74 EUR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2"/>
              </w:rPr>
              <w:t>866,72 EUR 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103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от които JRC: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50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Съвет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61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Парламент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145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Сметна палата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Европейски икономически и социален комитет (ЕИСК)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Комитет на регионите (КР)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Европейски надзорен орган</w:t>
            </w:r>
            <w:r>
              <w:rPr>
                <w:noProof/>
              </w:rPr>
              <w:br/>
            </w:r>
            <w:r>
              <w:rPr>
                <w:rFonts w:ascii="Arial" w:hAnsi="Arial"/>
                <w:noProof/>
                <w:sz w:val="20"/>
              </w:rPr>
              <w:t>по защита на данните (ЕНОЗД)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Омбудсман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ЕСВД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</w:t>
            </w:r>
          </w:p>
        </w:tc>
      </w:tr>
      <w:tr>
        <w:trPr>
          <w:trHeight w:val="27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Общо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355</w:t>
            </w:r>
          </w:p>
        </w:tc>
      </w:tr>
    </w:tbl>
    <w:p>
      <w:pPr>
        <w:pStyle w:val="ManualHeading2"/>
        <w:rPr>
          <w:bCs/>
          <w:noProof/>
        </w:rPr>
      </w:pPr>
      <w:r>
        <w:t>4.2.</w:t>
      </w:r>
      <w:r>
        <w:tab/>
      </w:r>
      <w:r>
        <w:rPr>
          <w:noProof/>
        </w:rPr>
        <w:t>Брой бенефициери (длъжностни лица/срочно наети служители и договорно наети служители):</w:t>
      </w:r>
    </w:p>
    <w:tbl>
      <w:tblPr>
        <w:tblW w:w="9140" w:type="dxa"/>
        <w:tblInd w:w="93" w:type="dxa"/>
        <w:tblLook w:val="0000" w:firstRow="0" w:lastRow="0" w:firstColumn="0" w:lastColumn="0" w:noHBand="0" w:noVBand="0"/>
      </w:tblPr>
      <w:tblGrid>
        <w:gridCol w:w="2680"/>
        <w:gridCol w:w="960"/>
        <w:gridCol w:w="960"/>
        <w:gridCol w:w="960"/>
        <w:gridCol w:w="960"/>
        <w:gridCol w:w="960"/>
        <w:gridCol w:w="840"/>
        <w:gridCol w:w="820"/>
      </w:tblGrid>
      <w:tr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Институция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AST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Договорно наети служители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Общо </w:t>
            </w:r>
          </w:p>
        </w:tc>
      </w:tr>
      <w:tr>
        <w:trPr>
          <w:trHeight w:val="64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III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ФГ IV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103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от които JRC: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50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61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Парламент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145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Сметна палата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ЕНОЗД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Омбудсман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ЕСВД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</w:t>
            </w:r>
          </w:p>
        </w:tc>
      </w:tr>
      <w:tr>
        <w:trPr>
          <w:trHeight w:val="27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Общо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355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Брой бенефициери по области на работа: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850"/>
        <w:gridCol w:w="992"/>
        <w:gridCol w:w="709"/>
        <w:gridCol w:w="992"/>
        <w:gridCol w:w="1134"/>
        <w:gridCol w:w="945"/>
        <w:gridCol w:w="1040"/>
        <w:gridCol w:w="992"/>
        <w:gridCol w:w="851"/>
      </w:tblGrid>
      <w:tr>
        <w:trPr>
          <w:trHeight w:val="6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Институция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JRC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Коорд. при криза/</w:t>
            </w:r>
            <w:r>
              <w:rPr>
                <w:b/>
                <w:bCs/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извънредна ситуация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Безопасност/сигурност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pacing w:val="-2"/>
                <w:sz w:val="22"/>
              </w:rPr>
            </w:pPr>
            <w:r>
              <w:rPr>
                <w:b/>
                <w:noProof/>
                <w:spacing w:val="-2"/>
                <w:sz w:val="22"/>
              </w:rPr>
              <w:t>Телефонна централа/</w:t>
            </w:r>
            <w:r>
              <w:rPr>
                <w:noProof/>
                <w:spacing w:val="-2"/>
              </w:rPr>
              <w:br/>
            </w:r>
            <w:r>
              <w:rPr>
                <w:b/>
                <w:noProof/>
                <w:spacing w:val="-4"/>
                <w:sz w:val="22"/>
              </w:rPr>
              <w:t>рецепция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ОВППС/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2"/>
              </w:rPr>
              <w:t>ЕПСО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Техн. инсталации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rPr>
                <w:b/>
                <w:bCs/>
                <w:noProof/>
                <w:spacing w:val="6"/>
                <w:sz w:val="22"/>
              </w:rPr>
            </w:pPr>
            <w:r>
              <w:rPr>
                <w:b/>
                <w:noProof/>
                <w:spacing w:val="6"/>
                <w:sz w:val="22"/>
              </w:rPr>
              <w:t>Непреки дейности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103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- от които JRC: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i/>
                <w:iCs/>
                <w:noProof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color w:val="808080"/>
                <w:sz w:val="20"/>
              </w:rPr>
              <w:t>50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61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Парламент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145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Съд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Сметна палата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11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ЕНОЗД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Омбудсман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</w:tr>
      <w:tr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ЕСВД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</w:t>
            </w:r>
          </w:p>
        </w:tc>
      </w:tr>
      <w:tr>
        <w:trPr>
          <w:trHeight w:val="27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before="0" w:after="0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355</w:t>
            </w:r>
          </w:p>
        </w:tc>
      </w:tr>
    </w:tbl>
    <w:p>
      <w:pPr>
        <w:pStyle w:val="ManualHeading1"/>
        <w:rPr>
          <w:bCs/>
          <w:noProof/>
        </w:rPr>
      </w:pPr>
      <w:r>
        <w:t>5.</w:t>
      </w:r>
      <w:r>
        <w:tab/>
      </w:r>
      <w:r>
        <w:rPr>
          <w:noProof/>
        </w:rPr>
        <w:t>Засегнати служби и основания</w:t>
      </w:r>
    </w:p>
    <w:p>
      <w:pPr>
        <w:rPr>
          <w:noProof/>
        </w:rPr>
      </w:pPr>
      <w:r>
        <w:rPr>
          <w:noProof/>
        </w:rPr>
        <w:t>Европейският парламент, Съветът, Комисията, ЕСВД (която поема голяма част от бившата генерална дирекция RELEX на Комисията) и Сметната палата използват дежурствата и непрекъснатата работа или работата на смени и изплащат предвидените в законодателството надбавки. Комисията продължава да е единствената институция, която изплаща надбавки за труд в особено вредни условия в JRC и в Службата за инфраструктура и логистика в Брюксел (OIB).</w:t>
      </w:r>
    </w:p>
    <w:p>
      <w:pPr>
        <w:pStyle w:val="ManualHeading2"/>
        <w:rPr>
          <w:bCs/>
          <w:noProof/>
        </w:rPr>
      </w:pPr>
      <w:r>
        <w:t>5.1.</w:t>
      </w:r>
      <w:r>
        <w:tab/>
      </w:r>
      <w:r>
        <w:rPr>
          <w:noProof/>
        </w:rPr>
        <w:t>Основания за даване на дежурства</w:t>
      </w:r>
    </w:p>
    <w:p>
      <w:pPr>
        <w:rPr>
          <w:noProof/>
        </w:rPr>
      </w:pPr>
      <w:r>
        <w:rPr>
          <w:b/>
          <w:i/>
          <w:noProof/>
        </w:rPr>
        <w:t>Комисия:</w:t>
      </w:r>
      <w:r>
        <w:rPr>
          <w:noProof/>
        </w:rPr>
        <w:tab/>
      </w:r>
      <w:r>
        <w:rPr>
          <w:b/>
          <w:i/>
          <w:noProof/>
        </w:rPr>
        <w:br/>
      </w:r>
      <w:r>
        <w:rPr>
          <w:i/>
          <w:noProof/>
        </w:rPr>
        <w:t>Изследователски център (JRC)</w:t>
      </w:r>
      <w:r>
        <w:rPr>
          <w:noProof/>
        </w:rPr>
        <w:tab/>
      </w:r>
      <w:r>
        <w:rPr>
          <w:b/>
          <w:i/>
          <w:noProof/>
        </w:rPr>
        <w:br/>
      </w:r>
      <w:r>
        <w:rPr>
          <w:noProof/>
        </w:rPr>
        <w:t>През 2013 г. Комисията е изплатила надбавки за задължения по дежурство на 402 свои служители, от които около 54 % (217 души) са били наети в един от изследователските центрове. По принцип, както и през предходните години, основанията за даването на дежурства са свързани с дейностите за сигурност и безопасност и за защита (противопожарна защита, наблюдение на лъченията, радиационна защита и т.н.). В повечето случаи дежурствата в JRC се изпълняват, като лицата са на разположение по домовете си, с изключение на Испра и Карлсруе, където поради естеството на задачите дежурствата се дават на работното място или у дома и на работното място.</w:t>
      </w:r>
    </w:p>
    <w:p>
      <w:pPr>
        <w:spacing w:after="0"/>
        <w:rPr>
          <w:noProof/>
        </w:rPr>
      </w:pPr>
      <w:r>
        <w:rPr>
          <w:i/>
          <w:noProof/>
        </w:rPr>
        <w:t>Други</w:t>
      </w:r>
      <w:r>
        <w:rPr>
          <w:noProof/>
        </w:rPr>
        <w:tab/>
      </w:r>
      <w:r>
        <w:rPr>
          <w:i/>
          <w:noProof/>
        </w:rPr>
        <w:br/>
      </w:r>
      <w:r>
        <w:rPr>
          <w:noProof/>
        </w:rPr>
        <w:t xml:space="preserve">В останалите генерални дирекции на Комисията отделите, в които се дават дежурства, са свързани главно със сигурността и безопасността, с техническите инсталации и с ИКТ, както и с помощта за държавите членки. </w:t>
      </w:r>
    </w:p>
    <w:p>
      <w:pPr>
        <w:rPr>
          <w:noProof/>
        </w:rPr>
      </w:pPr>
      <w:r>
        <w:rPr>
          <w:b/>
          <w:i/>
          <w:noProof/>
        </w:rPr>
        <w:t>Съвет:</w:t>
      </w:r>
      <w:r>
        <w:rPr>
          <w:noProof/>
        </w:rPr>
        <w:t xml:space="preserve"> През 2013 г. Съветът е изплатил надбавки за задължения по дежурство на разположение у дома на 51 свои служители. Съответните области продължават да са работата и наблюдението на техническите инсталации, сигурността и подкрепата за ОВППС/ЕПСО. Дежурствата са били изпълнявани само под формата на присъствие на разположение у дома. </w:t>
      </w:r>
    </w:p>
    <w:p>
      <w:pPr>
        <w:rPr>
          <w:noProof/>
        </w:rPr>
      </w:pPr>
      <w:r>
        <w:rPr>
          <w:b/>
          <w:i/>
          <w:noProof/>
        </w:rPr>
        <w:t>Сметна палата:</w:t>
      </w:r>
      <w:r>
        <w:rPr>
          <w:noProof/>
        </w:rPr>
        <w:t xml:space="preserve"> През 2013 г. Сметната палата е изплатила надбавки за задължения по дежурство на разположение у дома на 9 свои служители.</w:t>
      </w:r>
    </w:p>
    <w:p>
      <w:pPr>
        <w:rPr>
          <w:noProof/>
        </w:rPr>
      </w:pPr>
      <w:r>
        <w:rPr>
          <w:b/>
          <w:i/>
          <w:noProof/>
        </w:rPr>
        <w:t>ЕСВД:</w:t>
      </w:r>
      <w:r>
        <w:rPr>
          <w:noProof/>
        </w:rPr>
        <w:t xml:space="preserve"> През 2013 г. ЕСВД е изплатила надбавки за задължения по дежурство на разположение у дома на 17 свои служители за 3 категории труд: обезпечаване на сигурността, подкрепа за ОВППС/ЕПСО и работа в сферата на информационните и комуникационните технологии (ИКТ). </w:t>
      </w:r>
    </w:p>
    <w:p>
      <w:pPr>
        <w:pStyle w:val="ManualHeading2"/>
        <w:rPr>
          <w:bCs/>
          <w:noProof/>
        </w:rPr>
      </w:pPr>
      <w:r>
        <w:t>5.2.</w:t>
      </w:r>
      <w:r>
        <w:tab/>
      </w:r>
      <w:r>
        <w:rPr>
          <w:noProof/>
        </w:rPr>
        <w:t>Основания за използване на надбавката за труд в особено вредни условия</w:t>
      </w:r>
    </w:p>
    <w:p>
      <w:pPr>
        <w:rPr>
          <w:noProof/>
        </w:rPr>
      </w:pPr>
      <w:r>
        <w:rPr>
          <w:b/>
          <w:i/>
          <w:noProof/>
        </w:rPr>
        <w:t>Комисия:</w:t>
      </w:r>
      <w:r>
        <w:rPr>
          <w:i/>
          <w:noProof/>
        </w:rPr>
        <w:t xml:space="preserve"> </w:t>
      </w:r>
      <w:r>
        <w:rPr>
          <w:noProof/>
        </w:rPr>
        <w:t>Комисията е единствената институция, използвала тази възможност през 2013 г. През 2008 г. Службата за инфраструктура и логистика в Брюксел (OIB) въведе тази възможност в един от отделите си (отдела за възпроизвеждане) в допълнение към JRC, който вече я използваше.</w:t>
      </w:r>
    </w:p>
    <w:p>
      <w:pPr>
        <w:spacing w:after="0"/>
        <w:rPr>
          <w:noProof/>
        </w:rPr>
      </w:pPr>
      <w:r>
        <w:rPr>
          <w:noProof/>
        </w:rPr>
        <w:t>По отношение на критериите за определяне на особено вредните условия на труд са били приложими и трите предвидени в съответния регламент категории, за които се полага надбавката, а именно:</w:t>
      </w:r>
    </w:p>
    <w:p>
      <w:pPr>
        <w:pStyle w:val="Text1"/>
        <w:spacing w:before="0" w:after="0"/>
        <w:ind w:left="851"/>
        <w:rPr>
          <w:noProof/>
        </w:rPr>
      </w:pPr>
      <w:r>
        <w:rPr>
          <w:noProof/>
        </w:rPr>
        <w:t>а) лични защитни средства (напр. носене на неудобно специално защитно облекло),</w:t>
      </w:r>
    </w:p>
    <w:p>
      <w:pPr>
        <w:pStyle w:val="Text1"/>
        <w:spacing w:before="0" w:after="0"/>
        <w:ind w:left="851"/>
        <w:rPr>
          <w:noProof/>
        </w:rPr>
      </w:pPr>
      <w:r>
        <w:rPr>
          <w:noProof/>
        </w:rPr>
        <w:t>б) работно място (напр. високи стойности на шума, опасни места) и</w:t>
      </w:r>
    </w:p>
    <w:p>
      <w:pPr>
        <w:pStyle w:val="Text1"/>
        <w:spacing w:before="0" w:after="0"/>
        <w:ind w:left="851"/>
        <w:rPr>
          <w:noProof/>
        </w:rPr>
      </w:pPr>
      <w:r>
        <w:rPr>
          <w:noProof/>
        </w:rPr>
        <w:t>в) естество на труда (напр. работа с корозивни вещества).</w:t>
      </w:r>
    </w:p>
    <w:p>
      <w:pPr>
        <w:spacing w:after="0"/>
        <w:rPr>
          <w:noProof/>
        </w:rPr>
      </w:pPr>
      <w:r>
        <w:rPr>
          <w:noProof/>
        </w:rPr>
        <w:t>През 2013 г. общият броя на отработените часове при тези условия е разпределен по следния начин:</w:t>
      </w:r>
    </w:p>
    <w:p>
      <w:pPr>
        <w:pStyle w:val="Text1"/>
        <w:spacing w:before="0" w:after="0"/>
        <w:ind w:left="851"/>
        <w:rPr>
          <w:noProof/>
        </w:rPr>
      </w:pPr>
      <w:r>
        <w:rPr>
          <w:noProof/>
        </w:rPr>
        <w:t>69 725,48 часа с лични защитни средства,</w:t>
      </w:r>
    </w:p>
    <w:p>
      <w:pPr>
        <w:pStyle w:val="Text1"/>
        <w:spacing w:before="0" w:after="0"/>
        <w:ind w:left="851"/>
        <w:rPr>
          <w:noProof/>
        </w:rPr>
      </w:pPr>
      <w:r>
        <w:rPr>
          <w:noProof/>
        </w:rPr>
        <w:t>126 436,30 часа в категорията за работно място и</w:t>
      </w:r>
    </w:p>
    <w:p>
      <w:pPr>
        <w:pStyle w:val="Text1"/>
        <w:spacing w:before="0"/>
        <w:ind w:left="851"/>
        <w:jc w:val="left"/>
        <w:rPr>
          <w:noProof/>
        </w:rPr>
      </w:pPr>
      <w:r>
        <w:rPr>
          <w:noProof/>
        </w:rPr>
        <w:t>17 064,38 часа в категорията за естество на труда.</w:t>
      </w: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Основания за непрекъсната работа или за работа на смени</w:t>
      </w:r>
    </w:p>
    <w:p>
      <w:pPr>
        <w:rPr>
          <w:noProof/>
        </w:rPr>
      </w:pPr>
      <w:r>
        <w:rPr>
          <w:b/>
          <w:i/>
          <w:noProof/>
        </w:rPr>
        <w:t>Комисия:</w:t>
      </w:r>
      <w:r>
        <w:rPr>
          <w:noProof/>
        </w:rPr>
        <w:t xml:space="preserve"> В рамките на Комисията JRC (по причини, свързани с естеството на задачите) и ГД „Човешки ресурси“ (службата за сигурност и предохранителни мерки) са службите които имат най-голяма нужда от този вид организация на труда (със съответно 50 и 32 служители през 2013 г.). През 2013 г. в останалите генерални дирекции (бюджетни кредити за административни разходи) 21 лица са извършвали работа на смени в следните области: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сигурност и предохранителни мерки: 16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технически инсталации: 3</w:t>
      </w:r>
    </w:p>
    <w:p>
      <w:pPr>
        <w:pStyle w:val="Tiret1"/>
        <w:numPr>
          <w:ilvl w:val="0"/>
          <w:numId w:val="25"/>
        </w:numPr>
        <w:spacing w:before="0" w:after="0"/>
        <w:ind w:left="1418"/>
        <w:rPr>
          <w:noProof/>
        </w:rPr>
      </w:pPr>
      <w:r>
        <w:rPr>
          <w:noProof/>
        </w:rPr>
        <w:t>информационни и комуникационни технологии (ИКТ): 2</w:t>
      </w:r>
    </w:p>
    <w:p>
      <w:pPr>
        <w:rPr>
          <w:noProof/>
        </w:rPr>
      </w:pPr>
      <w:r>
        <w:rPr>
          <w:noProof/>
        </w:rPr>
        <w:t>И четирите ставки (видове надбавки) се прилагат в Комисията, като преобладават ставки 1, 2 и 4. Ставка 4 (за непрекъсната работа) се използва най-вече в службите по сигурността.</w:t>
      </w:r>
    </w:p>
    <w:p>
      <w:pPr>
        <w:rPr>
          <w:noProof/>
        </w:rPr>
      </w:pPr>
      <w:r>
        <w:rPr>
          <w:b/>
          <w:i/>
          <w:noProof/>
        </w:rPr>
        <w:t>Съвет:</w:t>
      </w:r>
      <w:r>
        <w:rPr>
          <w:noProof/>
        </w:rPr>
        <w:t xml:space="preserve"> За 2013 г. броят на надбавките за непрекъсната работа или за работа на смени в Съвета е 61. В най-голяма степен надбавката се начислява във връзка със сигурността и предохранителните мерки (58 служители) и в рамките на ОВППС/ЕПСО (3 служители). Става дума или за работа на две смени (ставка 1), или за непрекъснато 24-часово обслужване (ставка 4). </w:t>
      </w:r>
    </w:p>
    <w:p>
      <w:pPr>
        <w:shd w:val="clear" w:color="auto" w:fill="FFFFFF"/>
        <w:spacing w:after="150" w:line="270" w:lineRule="atLeast"/>
        <w:rPr>
          <w:rFonts w:cs="Arial"/>
          <w:noProof/>
        </w:rPr>
      </w:pPr>
      <w:r>
        <w:rPr>
          <w:b/>
          <w:i/>
          <w:noProof/>
        </w:rPr>
        <w:t xml:space="preserve">Европейски парламент: </w:t>
      </w:r>
      <w:r>
        <w:rPr>
          <w:noProof/>
        </w:rPr>
        <w:t xml:space="preserve">С цел гарантиране на сигурността и защитата на лицата, инфраструктурите, информацията и мероприятията през официалните празници, събота, неделя и през нощта и с цел осигуряване на постоянно присъствие на служители за сигурност в сградите, като същевременно се избягват допълнителните часове работа, които ще доведат до увеличаване на бюджета на Европейския парламент, бе решено да бъде приложен Регламент № 300/76 на Съвета от 9 февруари 1976 г., последно изменен с Регламент № 1873/2006 на Съвета от 11 декември 2006 г., и допълнителните часове работа да бъдат заменени с конкретно работно време. По този начин назначените служители за сигурност и предохранителни мерки могат да ползват надбавката за непрекъсната работа или за работа на смени </w:t>
      </w:r>
    </w:p>
    <w:p>
      <w:pPr>
        <w:shd w:val="clear" w:color="auto" w:fill="FFFFFF"/>
        <w:spacing w:after="150" w:line="270" w:lineRule="atLeast"/>
        <w:rPr>
          <w:rFonts w:cs="Arial"/>
          <w:noProof/>
        </w:rPr>
      </w:pPr>
      <w:r>
        <w:rPr>
          <w:noProof/>
        </w:rPr>
        <w:t xml:space="preserve">За 2013 г. броят на надбавките за непрекъсната работа или за работа на смени в Европейския парламент нарасна и възлиза на 145. Понастоящем тази надбавка се използва в областта на сигурността и на обслужването на телефонни централи/рецепции. Непрекъснатата работа или работата на смени представляват работа на две смени (ставка 1), работа два дни, включително през нощта, събота, неделя и официалните празници (ставка 2), или непрекъснато 24-часово обслужване (ставка 4). </w:t>
      </w:r>
    </w:p>
    <w:p>
      <w:pPr>
        <w:rPr>
          <w:noProof/>
        </w:rPr>
      </w:pPr>
      <w:r>
        <w:rPr>
          <w:b/>
          <w:i/>
          <w:noProof/>
        </w:rPr>
        <w:t>Сметна палата:</w:t>
      </w:r>
      <w:r>
        <w:rPr>
          <w:noProof/>
        </w:rPr>
        <w:t xml:space="preserve"> През 2011 г. Сметната палата въведе непрекъсната работа или работа на смени в областта на сигурността и на обслужването на телефонни централи/рецепции. Става дума или за работа на две смени (ставка 1), или за непрекъснато 24-часово обслужване (ставка 4). През 2013 г. са изплатени 11 надбавки.</w:t>
      </w:r>
    </w:p>
    <w:p>
      <w:pPr>
        <w:rPr>
          <w:noProof/>
        </w:rPr>
      </w:pPr>
      <w:r>
        <w:rPr>
          <w:b/>
          <w:i/>
          <w:noProof/>
        </w:rPr>
        <w:t>ЕСВД:</w:t>
      </w:r>
      <w:r>
        <w:rPr>
          <w:noProof/>
        </w:rPr>
        <w:t xml:space="preserve"> През 2013 г. ЕСВД е изплатила 35 надбавки, използвани в сферата на информационните и комуникационните технологии (ИКТ), на сигурността и на ОВППС/ЕПСО.</w:t>
      </w:r>
    </w:p>
    <w:p>
      <w:pPr>
        <w:pStyle w:val="ManualHeading1"/>
        <w:rPr>
          <w:bCs/>
          <w:noProof/>
        </w:rPr>
      </w:pPr>
      <w:r>
        <w:t>6.</w:t>
      </w:r>
      <w:r>
        <w:tab/>
      </w:r>
      <w:r>
        <w:rPr>
          <w:noProof/>
        </w:rPr>
        <w:t>Бюджетни разходи по институции и по надбавки (в EUR)</w:t>
      </w:r>
    </w:p>
    <w:tbl>
      <w:tblPr>
        <w:tblW w:w="9615" w:type="dxa"/>
        <w:tblInd w:w="93" w:type="dxa"/>
        <w:tblLook w:val="0000" w:firstRow="0" w:lastRow="0" w:firstColumn="0" w:lastColumn="0" w:noHBand="0" w:noVBand="0"/>
      </w:tblPr>
      <w:tblGrid>
        <w:gridCol w:w="2055"/>
        <w:gridCol w:w="1920"/>
        <w:gridCol w:w="1800"/>
        <w:gridCol w:w="2040"/>
        <w:gridCol w:w="1800"/>
      </w:tblGrid>
      <w:tr>
        <w:trPr>
          <w:trHeight w:val="64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Институция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Непрекъсната работа или работа на смени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Дежурства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Особено вредни условия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Комисия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745 008,10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1 343 139,13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572 188,75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2 660 335,98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center"/>
              <w:rPr>
                <w:i/>
                <w:iCs/>
                <w:noProof/>
                <w:color w:val="666699"/>
                <w:sz w:val="22"/>
              </w:rPr>
            </w:pPr>
            <w:r>
              <w:rPr>
                <w:i/>
                <w:noProof/>
                <w:color w:val="666699"/>
                <w:sz w:val="22"/>
              </w:rPr>
              <w:t>- от които JRC: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i/>
                <w:iCs/>
                <w:noProof/>
                <w:color w:val="666699"/>
                <w:sz w:val="22"/>
              </w:rPr>
            </w:pPr>
            <w:r>
              <w:rPr>
                <w:i/>
                <w:noProof/>
                <w:color w:val="666699"/>
                <w:sz w:val="22"/>
              </w:rPr>
              <w:t>266 966,56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i/>
                <w:iCs/>
                <w:noProof/>
                <w:color w:val="666699"/>
                <w:sz w:val="22"/>
              </w:rPr>
            </w:pPr>
            <w:r>
              <w:rPr>
                <w:i/>
                <w:noProof/>
                <w:color w:val="666699"/>
                <w:sz w:val="22"/>
              </w:rPr>
              <w:t>595 962,28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i/>
                <w:iCs/>
                <w:noProof/>
                <w:color w:val="666699"/>
                <w:sz w:val="22"/>
              </w:rPr>
            </w:pPr>
            <w:r>
              <w:rPr>
                <w:i/>
                <w:noProof/>
                <w:color w:val="666699"/>
                <w:sz w:val="22"/>
              </w:rPr>
              <w:t>547 723,37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spacing w:before="0" w:after="0"/>
              <w:jc w:val="left"/>
              <w:rPr>
                <w:b/>
                <w:i/>
                <w:iCs/>
                <w:noProof/>
                <w:color w:val="666699"/>
                <w:sz w:val="22"/>
              </w:rPr>
            </w:pPr>
            <w:r>
              <w:rPr>
                <w:b/>
                <w:i/>
                <w:noProof/>
                <w:color w:val="666699"/>
                <w:sz w:val="22"/>
              </w:rPr>
              <w:t>1 410 652,21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Съвет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430 877,82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161 735,29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592 613,11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Парламент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477 617,97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477 617,97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Съд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Сметна палата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93 293,06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12 725,91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106 018,97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ЕИСК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ЕНОЗД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Омбудсман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ЕСВД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170 540,77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65 317,63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235 858,40</w:t>
            </w:r>
          </w:p>
        </w:tc>
      </w:tr>
      <w:tr>
        <w:trPr>
          <w:trHeight w:val="33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1 917 337,72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1 582 917,96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572 188,75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4 072 444,43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За 2013 г. средствата, изразходени за трите надбавки за всички институции, възлиза на 4 072 444,43 EUR</w:t>
      </w:r>
      <w:bookmarkStart w:id="2" w:name="_CopyToNewDocument_"/>
      <w:bookmarkEnd w:id="2"/>
      <w:r>
        <w:rPr>
          <w:noProof/>
        </w:rPr>
        <w:t xml:space="preserve">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134" w:right="1417" w:bottom="1134" w:left="141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ListParagraph"/>
        <w:ind w:left="0"/>
        <w:rPr>
          <w:lang w:val="fr-BE"/>
        </w:rPr>
      </w:pPr>
      <w:r>
        <w:rPr>
          <w:rStyle w:val="FootnoteReference"/>
        </w:rPr>
        <w:footnoteRef/>
      </w:r>
      <w:r>
        <w:t xml:space="preserve"> Наличието на числа с десетица след запетаята (248,5 и 26,5) се обяснява със следното: две лица си поделят дежурството на OLAF, за да се осигури сигурност 24 часа в денонощието и 7 дни в седмицата в рамките на дежурния екип за сигурност.</w:t>
      </w:r>
    </w:p>
    <w:p>
      <w:pPr>
        <w:pStyle w:val="FootnoteTex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11664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30D8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D807A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FCEA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CA37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82E7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F04D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0EA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8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>
    <w:nsid w:val="6CFA7791"/>
    <w:multiLevelType w:val="hybridMultilevel"/>
    <w:tmpl w:val="159690E8"/>
    <w:lvl w:ilvl="0" w:tplc="2544F1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8"/>
  </w:num>
  <w:num w:numId="5">
    <w:abstractNumId w:val="15"/>
  </w:num>
  <w:num w:numId="6">
    <w:abstractNumId w:val="22"/>
  </w:num>
  <w:num w:numId="7">
    <w:abstractNumId w:val="25"/>
  </w:num>
  <w:num w:numId="8">
    <w:abstractNumId w:val="24"/>
  </w:num>
  <w:num w:numId="9">
    <w:abstractNumId w:val="26"/>
  </w:num>
  <w:num w:numId="10">
    <w:abstractNumId w:val="12"/>
  </w:num>
  <w:num w:numId="11">
    <w:abstractNumId w:val="11"/>
  </w:num>
  <w:num w:numId="12">
    <w:abstractNumId w:val="20"/>
  </w:num>
  <w:num w:numId="13">
    <w:abstractNumId w:val="13"/>
  </w:num>
  <w:num w:numId="14">
    <w:abstractNumId w:val="17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5"/>
  </w:num>
  <w:num w:numId="21">
    <w:abstractNumId w:val="4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2FCA78C28B5841EE995CEE6677D735D9"/>
    <w:docVar w:name="LW_CROSSREFERENCE" w:val="&lt;UNUSED&gt;"/>
    <w:docVar w:name="LW_DocType" w:val="NORMAL"/>
    <w:docVar w:name="LW_EMISSION" w:val="7.12.2015"/>
    <w:docVar w:name="LW_EMISSION_ISODATE" w:val="2015-12-07"/>
    <w:docVar w:name="LW_EMISSION_LOCATION" w:val="BRX"/>
    <w:docVar w:name="LW_EMISSION_PREFIX" w:val="Брюксел, "/>
    <w:docVar w:name="LW_EMISSION_SUFFIX" w:val=" \u1075?."/>
    <w:docVar w:name="LW_ID_DOCTYPE_NONLW" w:val="CP-00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612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0?\u1079?\u1087?\u1086?\u1083?\u1079?\u1074?\u1072?\u1085?\u1077?\u1090?\u1086? \u1086?\u1090? \u1080?\u1085?\u1089?\u1090?\u1080?\u1090?\u1091?\u1094?\u1080?\u1080?\u1090?\u1077? \u1087?\u1088?\u1077?\u1079? 2013 \u1075?. \u1085?\u1072? \u1056?\u1077?\u1075?\u1083?\u1072?\u1084?\u1077?\u1085?\u1090? \u8470? 495/77 \u1085?\u1072? \u1057?\u1098?\u1074?\u1077?\u1090?\u1072?, \u1087?\u1086?\u1089?\u1083?\u1077?\u1076?\u1085?\u1086? \u1080?\u1079?\u1084?\u1077?\u1085?\u1077?\u1085? \u1089? \u1056?\u1077?\u1075?\u1083?\u1072?\u1084?\u1077?\u1085?\u1090? \u8470? 1945/2006 (\u1086?\u1090?\u1085?\u1086?\u1089?\u1085?\u1086? \u1079?\u1072?\u1076?\u1098?\u1083?\u1078?\u1077?\u1085?\u1080?\u1103?\u1090?\u1072? \u1087?\u1086? \u1076?\u1077?\u1078?\u1091?\u1088?\u1089?\u1090?\u1074?\u1086?), \u1085?\u1072? \u1056?\u1077?\u1075?\u1083?\u1072?\u1084?\u1077?\u1085?\u1090? \u8470? 858/2004 \u1085?\u1072? \u1057?\u1098?\u1074?\u1077?\u1090?\u1072? (\u1086?\u1090?\u1085?\u1086?\u1089?\u1085?\u1086? \u1090?\u1088?\u1091?\u1076?\u1072? \u1074? \u1086?\u1089?\u1086?\u1073?\u1077?\u1085?\u1086? \u1074?\u1088?\u1077?\u1076?\u1085?\u1080? \u1091?\u1089?\u1083?\u1086?\u1074?\u1080?\u1103?) \u1080? \u1085?\u1072? \u1056?\u1077?\u1075?\u1083?\u1072?\u1084?\u1077?\u1085?\u1090? \u8470? 300/76 \u1085?\u1072? \u1057?\u1098?\u1074?\u1077?\u1090?\u1072?, \u1087?\u1086?\u1089?\u1083?\u1077?\u1076?\u1085?\u1086? \u1080?\u1079?\u1084?\u1077?\u1085?\u1077?\u1085? \u1089? \u1056?\u1077?\u1075?\u1083?\u1072?\u1084?\u1077?\u1085?\u1090? \u8470? 1873/2006 (\u1086?\u1090?\u1085?\u1086?\u1089?\u1085?\u1086? \u1085?\u1077?\u1087?\u1088?\u1077?\u1082?\u1098?\u1089?\u1085?\u1072?\u1090?\u1072?\u1090?\u1072? \u1088?\u1072?\u1073?\u1086?\u1090?\u1072? \u1080?\u1083?\u1080? \u1088?\u1072?\u1073?\u1086?\u1090?\u1072?\u1090?\u1072? \u1085?\u1072? \u1089?\u1084?\u1077?\u1085?\u1080?)"/>
    <w:docVar w:name="LW_TYPE.DOC.CP" w:val="\u1044?\u1054?\u1050?\u1051?\u1040?\u1044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numPr>
        <w:ilvl w:val="4"/>
        <w:numId w:val="9"/>
      </w:numPr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numPr>
        <w:ilvl w:val="6"/>
        <w:numId w:val="9"/>
      </w:numPr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rPr>
      <w:szCs w:val="22"/>
    </w:rPr>
  </w:style>
  <w:style w:type="character" w:styleId="CommentReference">
    <w:name w:val="annotation reference"/>
    <w:rPr>
      <w:sz w:val="16"/>
      <w:szCs w:val="16"/>
      <w:shd w:val="clear" w:color="auto" w:fill="auto"/>
    </w:rPr>
  </w:style>
  <w:style w:type="paragraph" w:styleId="ListNumber">
    <w:name w:val="List Number"/>
    <w:basedOn w:val="Normal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pPr>
      <w:numPr>
        <w:numId w:val="16"/>
      </w:numPr>
    </w:pPr>
    <w:rPr>
      <w:szCs w:val="22"/>
    </w:rPr>
  </w:style>
  <w:style w:type="paragraph" w:styleId="ListNumber3">
    <w:name w:val="List Number 3"/>
    <w:basedOn w:val="Normal"/>
    <w:pPr>
      <w:numPr>
        <w:numId w:val="17"/>
      </w:numPr>
    </w:pPr>
    <w:rPr>
      <w:szCs w:val="22"/>
    </w:rPr>
  </w:style>
  <w:style w:type="paragraph" w:styleId="ListNumber4">
    <w:name w:val="List Number 4"/>
    <w:basedOn w:val="Normal"/>
    <w:pPr>
      <w:numPr>
        <w:numId w:val="18"/>
      </w:numPr>
    </w:pPr>
    <w:rPr>
      <w:szCs w:val="22"/>
    </w:rPr>
  </w:style>
  <w:style w:type="paragraph" w:styleId="ListBullet">
    <w:name w:val="List Bullet"/>
    <w:basedOn w:val="Normal"/>
    <w:pPr>
      <w:numPr>
        <w:numId w:val="19"/>
      </w:numPr>
    </w:pPr>
    <w:rPr>
      <w:szCs w:val="22"/>
    </w:rPr>
  </w:style>
  <w:style w:type="paragraph" w:styleId="ListBullet2">
    <w:name w:val="List Bullet 2"/>
    <w:basedOn w:val="Normal"/>
    <w:pPr>
      <w:numPr>
        <w:numId w:val="20"/>
      </w:numPr>
    </w:pPr>
    <w:rPr>
      <w:szCs w:val="22"/>
    </w:rPr>
  </w:style>
  <w:style w:type="paragraph" w:styleId="ListBullet3">
    <w:name w:val="List Bullet 3"/>
    <w:basedOn w:val="Normal"/>
    <w:pPr>
      <w:numPr>
        <w:numId w:val="21"/>
      </w:numPr>
    </w:pPr>
    <w:rPr>
      <w:szCs w:val="22"/>
    </w:rPr>
  </w:style>
  <w:style w:type="paragraph" w:styleId="ListBullet4">
    <w:name w:val="List Bullet 4"/>
    <w:basedOn w:val="Normal"/>
    <w:pPr>
      <w:numPr>
        <w:numId w:val="22"/>
      </w:numPr>
    </w:pPr>
    <w:rPr>
      <w:szCs w:val="22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shd w:val="clear" w:color="auto" w:fill="auto"/>
      <w:lang w:val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shd w:val="clear" w:color="auto" w:fill="auto"/>
      <w:lang w:val="bg-BG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shd w:val="clear" w:color="auto" w:fill="auto"/>
      <w:lang w:val="bg-BG"/>
    </w:rPr>
  </w:style>
  <w:style w:type="character" w:styleId="FollowedHyperlink">
    <w:name w:val="FollowedHyperlink"/>
    <w:rPr>
      <w:color w:val="800080"/>
      <w:u w:val="single"/>
      <w:shd w:val="clear" w:color="auto" w:fill="auto"/>
    </w:rPr>
  </w:style>
  <w:style w:type="character" w:styleId="PageNumber">
    <w:name w:val="page number"/>
    <w:rPr>
      <w:shd w:val="clear" w:color="auto" w:fill="auto"/>
    </w:rPr>
  </w:style>
  <w:style w:type="paragraph" w:styleId="Revision">
    <w:name w:val="Revision"/>
    <w:hidden/>
    <w:uiPriority w:val="99"/>
    <w:semiHidden/>
    <w:pPr>
      <w:spacing w:after="200" w:line="276" w:lineRule="auto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Pr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bg-BG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link w:val="Typedudocument"/>
    <w:rPr>
      <w:b/>
      <w:sz w:val="24"/>
      <w:szCs w:val="24"/>
      <w:shd w:val="clear" w:color="auto" w:fill="auto"/>
      <w:lang w:eastAsia="bg-BG"/>
    </w:rPr>
  </w:style>
  <w:style w:type="character" w:customStyle="1" w:styleId="FooterCoverPageChar">
    <w:name w:val="Footer Cover Page Char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link w:val="HeaderCoverPage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741F-D8BE-4CD9-BE91-6153575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2770</Words>
  <Characters>12578</Characters>
  <Application>Microsoft Office Word</Application>
  <DocSecurity>0</DocSecurity>
  <Lines>1048</Lines>
  <Paragraphs>1023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30</cp:revision>
  <cp:lastPrinted>2015-10-02T09:47:00Z</cp:lastPrinted>
  <dcterms:created xsi:type="dcterms:W3CDTF">2015-11-10T10:56:00Z</dcterms:created>
  <dcterms:modified xsi:type="dcterms:W3CDTF">2015-12-04T16:32:00Z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