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ED946FF6A74BB19A25F3219607051A"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Автономните тарифни квоти са необходими за продукти, чието производството в Съюза не е достатъчно, за да отговори на нуждите на промишлеността на Съюза, използваща тези продукти. Следва да бъдат открити тарифни квоти на Съюза с намалени или нулеви ставки на митата за подходящи количества, без това да причинява смущения на пазара на съответните продукти. Исканията за квоти бяха разгледани в съответствие с критериите, посочени в Съобщението на Комисията относно суспендирането на автономни мита и относно автономните тарифни квоти (OВ C 363, 13.12.2011 г., стр. 6). На заседанията на Групата по икономически и тарифни въпроси (ГИТВ) стана ясно, че държавите членки са готови да открият квоти за продуктите, изброени в приложение I към настоящото предложение за регламент, без това да доведе до смущения на пазара на посочените продукти.</w:t>
      </w:r>
    </w:p>
    <w:p>
      <w:pPr>
        <w:pBdr>
          <w:top w:val="nil"/>
          <w:left w:val="nil"/>
          <w:bottom w:val="nil"/>
          <w:right w:val="nil"/>
          <w:between w:val="nil"/>
          <w:bar w:val="nil"/>
        </w:pBdr>
        <w:spacing w:before="0" w:after="240"/>
        <w:rPr>
          <w:noProof/>
        </w:rPr>
      </w:pPr>
      <w:r>
        <w:rPr>
          <w:noProof/>
        </w:rPr>
        <w:t>На 17 декември 2013 г. Съветът прие Регламент (ЕС) № 1388/2013 за откриване и управление на автономни тарифни квоти на Съюза за някои селскостопански и промишлени продукти, за да се отговори на търсенето в Съюза на въпросните продукти при най-благоприятни условия.</w:t>
      </w:r>
    </w:p>
    <w:p>
      <w:pPr>
        <w:pBdr>
          <w:top w:val="nil"/>
          <w:left w:val="nil"/>
          <w:bottom w:val="nil"/>
          <w:right w:val="nil"/>
          <w:between w:val="nil"/>
          <w:bar w:val="nil"/>
        </w:pBdr>
        <w:spacing w:before="0" w:after="240"/>
        <w:rPr>
          <w:noProof/>
        </w:rPr>
      </w:pPr>
      <w:r>
        <w:rPr>
          <w:noProof/>
        </w:rPr>
        <w:t>Регламентът се актуализира на всеки семестър с цел отговаряне на нуждите на промишлеността на ЕС.</w:t>
      </w:r>
    </w:p>
    <w:p>
      <w:pPr>
        <w:pBdr>
          <w:top w:val="nil"/>
          <w:left w:val="nil"/>
          <w:bottom w:val="nil"/>
          <w:right w:val="nil"/>
          <w:between w:val="nil"/>
          <w:bar w:val="nil"/>
        </w:pBdr>
        <w:spacing w:before="0" w:after="240"/>
        <w:rPr>
          <w:rFonts w:eastAsia="Arial Unicode MS"/>
          <w:noProof/>
        </w:rPr>
      </w:pPr>
      <w:r>
        <w:rPr>
          <w:noProof/>
        </w:rPr>
        <w:t>За по-голяма яснота е препоръчително да се публикува консолидирана версия на приложението към настоящия регламент, която напълно ще замени приложението в Регламент (ЕС) № 1388/2013 на Съвета.</w:t>
      </w:r>
    </w:p>
    <w:p>
      <w:pPr>
        <w:pStyle w:val="ManualHeading2"/>
        <w:rPr>
          <w:rFonts w:eastAsia="Arial Unicode MS"/>
          <w:noProof/>
          <w:u w:color="000000"/>
          <w:bdr w:val="nil"/>
        </w:rPr>
      </w:pPr>
      <w:r>
        <w:rPr>
          <w:noProof/>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Настоящото предложение не е в ущърб на държавите, ползващи се с преференциални търговски споразумения с ЕС (напр. Общата система за преференции — ОСП, режима на Споразумението за партньорство със страните от Африка, Карибите и Тихоокеанския басейн — АКТБ, споразуменията за свободна търговия, споразуменията с държавите кандидатки и потенциалните държави кандидатки).</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политиките в областта на селското стопанство, търговията, предприемачеството, развитието и външните отношения.</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Предложението попада в обхвата на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lastRenderedPageBreak/>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С настоящото предложение се спазва принципът на пропорционалност, тъй като наборът от мерки съответства на установените принципи за опростяване на процедурите за икономическите оператори с предмет на дейност във външната търговия, както и на принципите, залегнали в Съобщението на Комисията относно суспендирането на автономните мита и относно автономните тарифни квоти (ОВ C 363, 13.12.2011 г., стр. 6). С настоящия регламент не се надхвърля необходимото за постигането на поставените цели в съответствие с член 5, параграф 4 от Договора за Европейския съюз.</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По силата на член 31 от ДФЕС мерките за суспендиране на автономни мита и автономните тарифни квоти се приемат от Съвета с квалифицирано мнозинство въз основа на предложение на Комисията; следователно подходящият инструмент е регламент.</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Схемата на автономните тарифни квоти е част от проучване за оценка относно мерките за суспендиране на автономни мита, проведено през 2013 г., тъй като автономните тарифни квоти са мерки, подобни на мерките за суспендиране на автономни мита, с изключение на факта, че при квотите има ограничен обем на вноса. В оценката се прави заключението, че основната логика на схемата продължава да е валидна. Икономиите на разходи за предприятията от ЕС, които внасят стоки по схемата, могат да бъдат значителни. Тези икономии от своя страна могат да доведат до по-големи ползи (като например по-голяма конкурентоспособност, по-ефикасни методи на производство, създаване или запазване на работни места в ЕС и др.) в зависимост от продукта, дружеството и сектора, за които става въпрос.</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Оценката на настоящото предложение беше извършена с помощта на ГИТВ, която се състои от делегации от всички държави членки и Турция. Тя заседава три пъти, преди да бъдат договорени промените, посочени в настоящото предложение.</w:t>
      </w:r>
    </w:p>
    <w:p>
      <w:pPr>
        <w:rPr>
          <w:noProof/>
        </w:rPr>
      </w:pPr>
      <w:r>
        <w:rPr>
          <w:noProof/>
        </w:rPr>
        <w:t>Всички искания (нови или изменени) бяха внимателно оценени от групата. По-специално, при разглеждането на отделните случаи бе взето под внимание предотвратяването на всякаква вреда за производителите от ЕС и подобряването и консолидирането на конкурентоспособността на европейското производство. Посочената оценка бе направена посредством обсъждания в рамките на ГИТВ и организирани от държавите членки консултации със засегнатите промишлени отрасли, асоциации, търговски камари и други заинтересовани страни.</w:t>
      </w:r>
    </w:p>
    <w:p>
      <w:pPr>
        <w:rPr>
          <w:noProof/>
        </w:rPr>
      </w:pPr>
      <w:r>
        <w:rPr>
          <w:noProof/>
        </w:rPr>
        <w:t>Всички изброени квоти са съобразени със споразуменията или компромисите, постигнати по време на обсъжданията в ГИТВ. Не бяха посочени потенциално сериозни рискове с необратими последици.</w:t>
      </w:r>
    </w:p>
    <w:p>
      <w:pPr>
        <w:pStyle w:val="ManualHeading2"/>
        <w:rPr>
          <w:rFonts w:eastAsia="Arial Unicode MS"/>
          <w:noProof/>
          <w:u w:color="000000"/>
          <w:bdr w:val="nil"/>
        </w:rPr>
      </w:pPr>
      <w:r>
        <w:rPr>
          <w:noProof/>
        </w:rPr>
        <w:t>•</w:t>
      </w:r>
      <w:r>
        <w:rPr>
          <w:noProof/>
        </w:rPr>
        <w:tab/>
        <w:t>Вземане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Предложеното изменение е от техническо естество, отнасящо се единствено до обхвата на квотите, изброени в приложението. По отношение на всичко останало регламентът продължава да бъде идентичен на съществуващия регламент на Съвета. Следователно, за настоящото предложение не е извършвана оценка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основните права.</w:t>
      </w:r>
    </w:p>
    <w:p>
      <w:pPr>
        <w:pStyle w:val="ManualHeading1"/>
        <w:rPr>
          <w:noProof/>
        </w:rPr>
      </w:pPr>
      <w:r>
        <w:rPr>
          <w:noProof/>
        </w:rPr>
        <w:t>4.</w:t>
      </w:r>
      <w:r>
        <w:rPr>
          <w:noProof/>
        </w:rPr>
        <w:tab/>
        <w:t>ОТРАЖЕНИЕ ВЪРХУ БЮДЖЕТА</w:t>
      </w:r>
    </w:p>
    <w:p>
      <w:pPr>
        <w:rPr>
          <w:noProof/>
        </w:rPr>
      </w:pPr>
      <w:r>
        <w:rPr>
          <w:noProof/>
        </w:rPr>
        <w:t>Предложението няма финансово въздействие върху разходите, но оказва въздействие върху приходите, което води до несъбрани мита на обща стойност приблизително 4,8 милиона евро годишно. Отражението върху традиционните собствени ресурси в бюджета възлиза на 4 789 757 евро годишно (75 % x 6 386 342 евро годишно).</w:t>
      </w:r>
    </w:p>
    <w:p>
      <w:pPr>
        <w:rPr>
          <w:rFonts w:eastAsia="Times New Roman"/>
          <w:noProof/>
          <w:szCs w:val="24"/>
        </w:rPr>
      </w:pPr>
      <w:r>
        <w:rPr>
          <w:noProof/>
        </w:rPr>
        <w:t>Загубата на приходи от традиционните собствени ресурси се компенсира от вноските на държавите членки въз основа на БНД.</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noProof/>
        </w:rPr>
      </w:pPr>
      <w:r>
        <w:rPr>
          <w:noProof/>
        </w:rPr>
        <w:t>Предложените мерки се разглеждат в рамките на ТАРИК (Tarif intégré de l’Union européenne/Интегрирана тарифа на Европейския съюз) и се прилагат от митническите администрации на държавите членки.</w:t>
      </w:r>
    </w:p>
    <w:p>
      <w:pPr>
        <w:pBdr>
          <w:top w:val="nil"/>
          <w:left w:val="nil"/>
          <w:bottom w:val="nil"/>
          <w:right w:val="nil"/>
          <w:between w:val="nil"/>
          <w:bar w:val="nil"/>
        </w:pBdr>
        <w:spacing w:before="0" w:after="240"/>
        <w:rPr>
          <w:rFonts w:eastAsia="Arial Unicode MS"/>
          <w:noProof/>
        </w:rPr>
      </w:pPr>
      <w:r>
        <w:rPr>
          <w:noProof/>
        </w:rPr>
        <w:t>В съответствие с членове 291—300 от Регламент (ЕИО) № 2454/93 на Комисията за определяне на разпоредби за прилагането на Митническия кодекс на Общността ще се извършват проверки на крайната употреба на някои от продуктите — предмет на настоящия регламент.</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rPr>
          <w:noProof/>
        </w:rPr>
      </w:pPr>
      <w:r>
        <w:rPr>
          <w:noProof/>
        </w:rPr>
        <w:t>Не е приложимо</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2015/0262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1388/2013 за откриване и управление на автономни тарифни квоти на Съюза за някои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цел да се осигури достатъчно и непрекъснато снабдяване с някои стоки, чието производство в Съюза е недостатъчно, и да се избегнат смущенията на пазара на някои селскостопански и промишлени продукти, с Регламент (ЕС) № 1388/2013 на Съвета бяха открити автономни тарифни квоти</w:t>
      </w:r>
      <w:bookmarkStart w:id="1" w:name="_Ref384194496"/>
      <w:r>
        <w:rPr>
          <w:rStyle w:val="FootnoteReference"/>
          <w:noProof/>
        </w:rPr>
        <w:footnoteReference w:id="1"/>
      </w:r>
      <w:bookmarkEnd w:id="1"/>
      <w:r>
        <w:rPr>
          <w:noProof/>
        </w:rPr>
        <w:t>. Продуктите, обхванати от тези тарифни квоти, могат да се внасят в Съюза с намалени или нулеви ставки на митата. Поради посочените причини е необходимо, считано от 1 януари 2016 г., да се открият тарифни квоти с нулева ставка на митата за подходящо количество във връзка с десет допълнителни продукта.</w:t>
      </w:r>
    </w:p>
    <w:p>
      <w:pPr>
        <w:pStyle w:val="ManualConsidrant"/>
        <w:rPr>
          <w:noProof/>
        </w:rPr>
      </w:pPr>
      <w:r>
        <w:t>(2)</w:t>
      </w:r>
      <w:r>
        <w:tab/>
      </w:r>
      <w:r>
        <w:rPr>
          <w:noProof/>
        </w:rPr>
        <w:t>В някои случаи се налага адаптиране на съществуващите автономни тарифни квоти на Съюза. При три продукта кодовете по ТАРИК следва да бъдат променени с оглед на промени в класирането в Комбинираната номенклатура. При два продукта е необходимо да се измени описанието на продукта за по-голяма яснота и с цел да се отчетат най-актуалните промени в продукта. В интерес на икономическите оператори от Съюза при пет продукта размерите на квотите трябва да бъдат увеличени, а при един продукт размерът на квотата трябва да бъде намален. От съображения за яснота следва да бъде заличена бележка под линия, свързана с един продукт.</w:t>
      </w:r>
    </w:p>
    <w:p>
      <w:pPr>
        <w:pStyle w:val="ManualConsidrant"/>
        <w:rPr>
          <w:noProof/>
        </w:rPr>
      </w:pPr>
      <w:r>
        <w:t>(3)</w:t>
      </w:r>
      <w:r>
        <w:tab/>
      </w:r>
      <w:r>
        <w:rPr>
          <w:noProof/>
        </w:rPr>
        <w:t>При два продукта автономните тарифни квоти на Съюза следва да бъдат закрити, считано от 1 януари 2016 г., тъй като не е в интерес на Съюза да продължи да ги предоставя от тази дата нататък.</w:t>
      </w:r>
    </w:p>
    <w:p>
      <w:pPr>
        <w:pStyle w:val="ManualConsidrant"/>
        <w:rPr>
          <w:noProof/>
        </w:rPr>
      </w:pPr>
      <w:r>
        <w:t>(4)</w:t>
      </w:r>
      <w:r>
        <w:tab/>
      </w:r>
      <w:r>
        <w:rPr>
          <w:noProof/>
        </w:rPr>
        <w:t>Поради броя на измененията, които трябва да бъдат направени в приложението към Регламент (ЕС) № 1388/2013, за повече яснота и рационалност посоченото приложение следва да бъде заменено.</w:t>
      </w:r>
    </w:p>
    <w:p>
      <w:pPr>
        <w:pStyle w:val="ManualConsidrant"/>
        <w:rPr>
          <w:noProof/>
        </w:rPr>
      </w:pPr>
      <w:r>
        <w:t>(5)</w:t>
      </w:r>
      <w:r>
        <w:tab/>
      </w:r>
      <w:r>
        <w:rPr>
          <w:noProof/>
        </w:rPr>
        <w:t>Поради това Регламент (ЕС) № 1388/2013 следва да бъде съответно изменен.</w:t>
      </w:r>
    </w:p>
    <w:p>
      <w:pPr>
        <w:pStyle w:val="ManualConsidrant"/>
        <w:rPr>
          <w:noProof/>
        </w:rPr>
      </w:pPr>
      <w:r>
        <w:t>(6)</w:t>
      </w:r>
      <w:r>
        <w:tab/>
      </w:r>
      <w:r>
        <w:rPr>
          <w:noProof/>
        </w:rPr>
        <w:t>Тъй като измененията по отношение на въпросните квоти, предвидени в настоящия регламент, трябва да се прилагат от 1 януари 2016 г., настоящият регламент следва да влезе в сила незабавно,</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Приложението към Регламент (ЕС) № 1388/2013 се заменя с текста в приложението към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 xml:space="preserve">. </w:t>
      </w:r>
    </w:p>
    <w:p>
      <w:pPr>
        <w:rPr>
          <w:noProof/>
        </w:rPr>
      </w:pPr>
      <w:r>
        <w:rPr>
          <w:noProof/>
        </w:rPr>
        <w:t>Той се прилага от 1 януари 2016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 xml:space="preserve">ЗАКОНОДАТЕЛНА ФИНАНСОВА ОБОСНОВКА </w:t>
      </w:r>
    </w:p>
    <w:p>
      <w:pPr>
        <w:keepNext/>
        <w:spacing w:before="360"/>
        <w:outlineLvl w:val="0"/>
        <w:rPr>
          <w:b/>
          <w:smallCaps/>
          <w:noProof/>
        </w:rPr>
      </w:pPr>
      <w:r>
        <w:rPr>
          <w:b/>
          <w:smallCaps/>
          <w:noProof/>
        </w:rPr>
        <w:t>1.</w:t>
      </w:r>
      <w:r>
        <w:rPr>
          <w:noProof/>
        </w:rPr>
        <w:tab/>
      </w:r>
      <w:r>
        <w:rPr>
          <w:b/>
          <w:smallCaps/>
          <w:noProof/>
        </w:rPr>
        <w:t>НАИМЕНОВАНИЕ НА ПРЕДЛОЖЕНИЕТО:</w:t>
      </w:r>
    </w:p>
    <w:p>
      <w:pPr>
        <w:rPr>
          <w:noProof/>
        </w:rPr>
      </w:pPr>
      <w:r>
        <w:rPr>
          <w:noProof/>
        </w:rPr>
        <w:t>Регламент на Съвета за изменение на Регламент (ЕС) № 1388/2013 за откриване и управление на автономни тарифни квоти на Съюза за някои селскостопански и промишлени продукти</w:t>
      </w:r>
    </w:p>
    <w:p>
      <w:pPr>
        <w:keepNext/>
        <w:spacing w:before="360"/>
        <w:outlineLvl w:val="0"/>
        <w:rPr>
          <w:b/>
          <w:smallCaps/>
          <w:noProof/>
        </w:rPr>
      </w:pPr>
      <w:r>
        <w:rPr>
          <w:b/>
          <w:smallCaps/>
          <w:noProof/>
        </w:rPr>
        <w:t>2.</w:t>
      </w:r>
      <w:r>
        <w:rPr>
          <w:noProof/>
        </w:rPr>
        <w:tab/>
      </w:r>
      <w:r>
        <w:rPr>
          <w:b/>
          <w:smallCaps/>
          <w:noProof/>
        </w:rPr>
        <w:t>БЮДЖЕТНИ РЕДОВЕ</w:t>
      </w:r>
    </w:p>
    <w:p>
      <w:pPr>
        <w:rPr>
          <w:noProof/>
        </w:rPr>
      </w:pPr>
      <w:r>
        <w:rPr>
          <w:noProof/>
        </w:rPr>
        <w:t>Глава и статия: глава 12, статия 120</w:t>
      </w:r>
    </w:p>
    <w:p>
      <w:pPr>
        <w:keepNext/>
        <w:spacing w:before="360"/>
        <w:outlineLvl w:val="0"/>
        <w:rPr>
          <w:noProof/>
        </w:rPr>
      </w:pPr>
      <w:r>
        <w:rPr>
          <w:noProof/>
        </w:rPr>
        <w:t>Сума, предвидена в бюджета за 2016 г.: 18 465 300 000 евро (Б 2016 г.)</w:t>
      </w:r>
    </w:p>
    <w:p>
      <w:pPr>
        <w:keepNext/>
        <w:spacing w:before="360"/>
        <w:outlineLvl w:val="0"/>
        <w:rPr>
          <w:b/>
          <w:smallCaps/>
          <w:noProof/>
        </w:rPr>
      </w:pPr>
      <w:r>
        <w:rPr>
          <w:b/>
          <w:smallCaps/>
          <w:noProof/>
        </w:rPr>
        <w:t>3.</w:t>
      </w:r>
      <w:r>
        <w:rPr>
          <w:noProof/>
        </w:rPr>
        <w:tab/>
      </w:r>
      <w:r>
        <w:rPr>
          <w:b/>
          <w:smallCaps/>
          <w:noProof/>
        </w:rPr>
        <w:t>ФИНАНСОВО ОТРАЖЕНИЕ</w:t>
      </w:r>
    </w:p>
    <w:p>
      <w:pPr>
        <w:rPr>
          <w:noProof/>
        </w:rPr>
      </w:pPr>
      <w:r>
        <w:rPr>
          <w:noProof/>
        </w:rPr>
        <w:sym w:font="Wingdings" w:char="F0A8"/>
      </w:r>
      <w:r>
        <w:rPr>
          <w:noProof/>
        </w:rPr>
        <w:tab/>
        <w:t>Предложението няма финансово отражение</w:t>
      </w:r>
    </w:p>
    <w:p>
      <w:pPr>
        <w:rPr>
          <w:noProof/>
        </w:rPr>
      </w:pPr>
      <w:r>
        <w:rPr>
          <w:noProof/>
        </w:rPr>
        <w:t>X</w:t>
      </w:r>
      <w:r>
        <w:rPr>
          <w:noProof/>
        </w:rPr>
        <w:tab/>
        <w:t>Предложението няма финансово въздействие върху разходите, но има такова върху приходите. Отражението е следното:</w:t>
      </w:r>
    </w:p>
    <w:p>
      <w:pPr>
        <w:jc w:val="right"/>
        <w:rPr>
          <w:noProof/>
          <w:sz w:val="18"/>
        </w:rPr>
      </w:pPr>
      <w:r>
        <w:rPr>
          <w:noProof/>
        </w:rPr>
        <w:t>(в милиони евро до първия знак след десетичната запетая)</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4200"/>
      </w:tblGrid>
      <w:tr>
        <w:tc>
          <w:tcPr>
            <w:tcW w:w="1321" w:type="dxa"/>
          </w:tcPr>
          <w:p>
            <w:pPr>
              <w:rPr>
                <w:noProof/>
              </w:rPr>
            </w:pPr>
            <w:r>
              <w:rPr>
                <w:noProof/>
                <w:sz w:val="22"/>
              </w:rPr>
              <w:t>Бюджетен ред</w:t>
            </w:r>
          </w:p>
        </w:tc>
        <w:tc>
          <w:tcPr>
            <w:tcW w:w="2879" w:type="dxa"/>
          </w:tcPr>
          <w:p>
            <w:pPr>
              <w:jc w:val="center"/>
              <w:rPr>
                <w:noProof/>
              </w:rPr>
            </w:pPr>
            <w:r>
              <w:rPr>
                <w:noProof/>
                <w:sz w:val="22"/>
              </w:rPr>
              <w:t>Приходи</w:t>
            </w:r>
            <w:r>
              <w:rPr>
                <w:rStyle w:val="FootnoteReference"/>
                <w:noProof/>
                <w:sz w:val="22"/>
              </w:rPr>
              <w:footnoteReference w:id="2"/>
            </w:r>
          </w:p>
        </w:tc>
        <w:tc>
          <w:tcPr>
            <w:tcW w:w="4200" w:type="dxa"/>
          </w:tcPr>
          <w:p>
            <w:pPr>
              <w:jc w:val="center"/>
              <w:rPr>
                <w:noProof/>
              </w:rPr>
            </w:pPr>
            <w:r>
              <w:rPr>
                <w:noProof/>
                <w:sz w:val="22"/>
              </w:rPr>
              <w:t>[Година: 2016]</w:t>
            </w:r>
          </w:p>
        </w:tc>
      </w:tr>
      <w:tr>
        <w:tc>
          <w:tcPr>
            <w:tcW w:w="1321" w:type="dxa"/>
          </w:tcPr>
          <w:p>
            <w:pPr>
              <w:rPr>
                <w:noProof/>
              </w:rPr>
            </w:pPr>
            <w:r>
              <w:rPr>
                <w:noProof/>
                <w:sz w:val="22"/>
              </w:rPr>
              <w:t>Статия 120</w:t>
            </w:r>
          </w:p>
        </w:tc>
        <w:tc>
          <w:tcPr>
            <w:tcW w:w="2879" w:type="dxa"/>
          </w:tcPr>
          <w:p>
            <w:pPr>
              <w:jc w:val="center"/>
              <w:rPr>
                <w:i/>
                <w:noProof/>
              </w:rPr>
            </w:pPr>
            <w:r>
              <w:rPr>
                <w:i/>
                <w:noProof/>
                <w:sz w:val="22"/>
              </w:rPr>
              <w:t>Въздействие върху собствените ресурси</w:t>
            </w:r>
          </w:p>
        </w:tc>
        <w:tc>
          <w:tcPr>
            <w:tcW w:w="4200" w:type="dxa"/>
          </w:tcPr>
          <w:p>
            <w:pPr>
              <w:jc w:val="center"/>
              <w:rPr>
                <w:noProof/>
              </w:rPr>
            </w:pPr>
            <w:r>
              <w:rPr>
                <w:noProof/>
                <w:sz w:val="22"/>
              </w:rPr>
              <w:t>-4,8 годишно</w:t>
            </w:r>
          </w:p>
        </w:tc>
      </w:tr>
    </w:tbl>
    <w:p>
      <w:pPr>
        <w:rPr>
          <w:noProof/>
        </w:rPr>
      </w:pPr>
    </w:p>
    <w:p>
      <w:pPr>
        <w:rPr>
          <w:noProof/>
        </w:rPr>
      </w:pPr>
      <w:r>
        <w:rPr>
          <w:noProof/>
        </w:rPr>
        <w:t xml:space="preserve">Измененията в настоящия регламент ще доведат до годишно увеличение на несъбраните мита, което се оценява на 4 789 757 евро. </w:t>
      </w:r>
    </w:p>
    <w:p>
      <w:pPr>
        <w:rPr>
          <w:rFonts w:eastAsia="Times New Roman"/>
          <w:iCs/>
          <w:noProof/>
          <w:szCs w:val="24"/>
        </w:rPr>
      </w:pPr>
      <w:r>
        <w:rPr>
          <w:noProof/>
        </w:rPr>
        <w:t xml:space="preserve">Въз основа на изложеното по-горе, последиците от загубата на приходи, произтичаща от настоящия регламент, могат да се оценят на 4 789 757 евро годишно за периода от 1.1.2016 г. нататък (брутна сума 6 386 342 евро x 0,75). </w:t>
      </w:r>
    </w:p>
    <w:p>
      <w:pPr>
        <w:rPr>
          <w:rFonts w:eastAsia="Times New Roman"/>
          <w:noProof/>
          <w:szCs w:val="24"/>
        </w:rPr>
      </w:pPr>
      <w:r>
        <w:rPr>
          <w:noProof/>
        </w:rPr>
        <w:t>Загубата на приходи от традиционните собствени ресурси се компенсира от вноските на държавите членки въз основа на БНД.</w:t>
      </w:r>
    </w:p>
    <w:p>
      <w:pPr>
        <w:keepNext/>
        <w:spacing w:before="360"/>
        <w:outlineLvl w:val="0"/>
        <w:rPr>
          <w:b/>
          <w:smallCaps/>
          <w:noProof/>
        </w:rPr>
      </w:pPr>
      <w:r>
        <w:rPr>
          <w:b/>
          <w:smallCaps/>
          <w:noProof/>
        </w:rPr>
        <w:t>4.</w:t>
      </w:r>
      <w:r>
        <w:rPr>
          <w:noProof/>
        </w:rPr>
        <w:tab/>
      </w:r>
      <w:r>
        <w:rPr>
          <w:b/>
          <w:smallCaps/>
          <w:noProof/>
        </w:rPr>
        <w:t>МЕРКИ ЗА БОРБА С ИЗМАМИТЕ</w:t>
      </w:r>
    </w:p>
    <w:p>
      <w:pPr>
        <w:rPr>
          <w:rStyle w:val="CommentReference"/>
          <w:noProof/>
        </w:rPr>
      </w:pPr>
      <w:r>
        <w:rPr>
          <w:noProof/>
        </w:rPr>
        <w:t>В съответствие с членове 291—300 от Регламент (ЕИО) № 2454/93 на Комисията ще се извършват проверки на крайната употреба на някои от продуктите — предмет на настоящия регламент на Съвета.</w:t>
      </w:r>
      <w:r>
        <w:rPr>
          <w:rStyle w:val="CommentReference"/>
          <w:noProof/>
        </w:rPr>
        <w:t xml:space="preserve"> </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1388/2013 на Съвета от 17 декември 2013 г. за откриване и управление на автономни тарифни квоти на Съюза за някои селскостопански и промишлени продукти и за отмяна на Регламент (ЕС) № 7/2010 (ОВ L 354, 28.12.2013 г., стр. 319).</w:t>
      </w:r>
    </w:p>
  </w:footnote>
  <w:footnote w:id="2">
    <w:p>
      <w:pPr>
        <w:pStyle w:val="FootnoteText"/>
      </w:pPr>
      <w:r>
        <w:rPr>
          <w:rStyle w:val="FootnoteReference"/>
        </w:rPr>
        <w:footnoteRef/>
      </w:r>
      <w:r>
        <w:tab/>
        <w:t xml:space="preserve">По отношение на традиционните собствени ресурси (вносно мито върху земеделската продукция, налози върху захарта, мита), посочените суми следва да бъдат нетни, т.е. след отчисление на 25 % от разходите по събирането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4A27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76A6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7CFB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9A59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F1432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C28A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8DD6DA9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lvlOverride w:ilvl="0">
      <w:startOverride w:val="1"/>
    </w:lvlOverride>
  </w:num>
  <w:num w:numId="2">
    <w:abstractNumId w:val="7"/>
  </w:num>
  <w:num w:numId="3">
    <w:abstractNumId w:val="16"/>
  </w:num>
  <w:num w:numId="4">
    <w:abstractNumId w:val="15"/>
  </w:num>
  <w:num w:numId="5">
    <w:abstractNumId w:val="23"/>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4"/>
  </w:num>
  <w:num w:numId="27">
    <w:abstractNumId w:val="20"/>
  </w:num>
  <w:num w:numId="28">
    <w:abstractNumId w:val="12"/>
  </w:num>
  <w:num w:numId="29">
    <w:abstractNumId w:val="22"/>
  </w:num>
  <w:num w:numId="30">
    <w:abstractNumId w:val="11"/>
  </w:num>
  <w:num w:numId="31">
    <w:abstractNumId w:val="13"/>
  </w:num>
  <w:num w:numId="32">
    <w:abstractNumId w:val="9"/>
  </w:num>
  <w:num w:numId="33">
    <w:abstractNumId w:val="21"/>
  </w:num>
  <w:num w:numId="34">
    <w:abstractNumId w:val="8"/>
  </w:num>
  <w:num w:numId="35">
    <w:abstractNumId w:val="14"/>
  </w:num>
  <w:num w:numId="36">
    <w:abstractNumId w:val="18"/>
  </w:num>
  <w:num w:numId="37">
    <w:abstractNumId w:val="19"/>
  </w:num>
  <w:num w:numId="38">
    <w:abstractNumId w:val="10"/>
  </w:num>
  <w:num w:numId="39">
    <w:abstractNumId w:val="17"/>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1-09 19:11: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8ED946FF6A74BB19A25F3219607051A"/>
    <w:docVar w:name="LW_CROSSREFERENCE" w:val="&lt;UNUSED&gt;"/>
    <w:docVar w:name="LW_DocType" w:val="COM"/>
    <w:docVar w:name="LW_EMISSION" w:val="16.11.2015"/>
    <w:docVar w:name="LW_EMISSION_ISODATE" w:val="2015-11-16"/>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2"/>
    <w:docVar w:name="LW_REF.II.NEW.CP_YEAR" w:val="2015"/>
    <w:docVar w:name="LW_REF.INST.NEW" w:val="COM"/>
    <w:docVar w:name="LW_REF.INST.NEW_ADOPTED" w:val="final"/>
    <w:docVar w:name="LW_REF.INST.NEW_TEXT" w:val="(2015) 56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8/2013 \u1079?\u1072? \u1086?\u1090?\u1082?\u1088?\u1080?\u1074?\u1072?\u1085?\u1077? \u1080? \u1091?\u1087?\u1088?\u1072?\u1074?\u1083?\u1077?\u1085?\u1080?\u1077? \u1085?\u1072? \u1072?\u1074?\u1090?\u1086?\u1085?\u1086?\u1084?\u1085?\u1080? \u1090?\u1072?\u1088?\u1080?\u1092?\u1085?\u1080? \u1082?\u1074?\u1086?\u1090?\u1080? \u1085?\u1072? \u1057?\u1098?\u1102?\u1079?\u1072? \u1079?\u1072? \u1085?\u1103?\u1082?\u1086?\u1080? \u1089?\u1077?\u1083?\u1089?\u1082?\u1086?\u1089?\u1090?\u1086?\u1087?\u1072?\u1085?\u1089?\u1082?\u1080? \u1080? \u1087?\u1088?\u1086?\u1084?\u1080?\u1096?\u1083?\u1077?\u1085?\u1080? \u1087?\u1088?\u1086?\u1076?\u1091?\u1082?\u1090?\u108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1611</Words>
  <Characters>9382</Characters>
  <Application>Microsoft Office Word</Application>
  <DocSecurity>0</DocSecurity>
  <Lines>203</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2015-10-07T15:41:00Z</cp:lastPrinted>
  <dcterms:created xsi:type="dcterms:W3CDTF">2015-11-09T16:04:00Z</dcterms:created>
  <dcterms:modified xsi:type="dcterms:W3CDTF">2015-11-09T18:11:00Z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