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902" w:rsidRDefault="00AD2EC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4DC071A031549EC8BF29971763D41A7" style="width:451.15pt;height:307.65pt">
            <v:imagedata r:id="rId10" o:title=""/>
          </v:shape>
        </w:pict>
      </w:r>
    </w:p>
    <w:bookmarkEnd w:id="0"/>
    <w:p w:rsidR="008C2902" w:rsidRDefault="008C2902">
      <w:pPr>
        <w:jc w:val="both"/>
        <w:rPr>
          <w:noProof/>
        </w:rPr>
        <w:sectPr w:rsidR="008C2902">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rsidR="00AD2EC1" w:rsidRDefault="00AD2EC1">
      <w:pPr>
        <w:pStyle w:val="TOCHeading"/>
        <w:rPr>
          <w:rFonts w:ascii="Verdana" w:hAnsi="Verdana"/>
          <w:noProof/>
          <w:szCs w:val="28"/>
        </w:rPr>
      </w:pPr>
      <w:r>
        <w:rPr>
          <w:rFonts w:ascii="Verdana" w:hAnsi="Verdana"/>
          <w:noProof/>
          <w:szCs w:val="28"/>
        </w:rPr>
        <w:lastRenderedPageBreak/>
        <w:t>Table of Contents</w:t>
      </w:r>
    </w:p>
    <w:sdt>
      <w:sdtPr>
        <w:id w:val="-1524467438"/>
        <w:docPartObj>
          <w:docPartGallery w:val="Table of Contents"/>
          <w:docPartUnique/>
        </w:docPartObj>
      </w:sdtPr>
      <w:sdtEndPr>
        <w:rPr>
          <w:rFonts w:ascii="Calibri" w:hAnsi="Calibri"/>
          <w:bCs/>
          <w:noProof/>
          <w:sz w:val="22"/>
          <w:szCs w:val="22"/>
          <w:lang w:eastAsia="en-US"/>
        </w:rPr>
      </w:sdtEndPr>
      <w:sdtContent>
        <w:p w:rsidR="00AD2EC1" w:rsidRDefault="00AD2EC1">
          <w:pPr>
            <w:pStyle w:val="TOCHeading"/>
          </w:pPr>
        </w:p>
        <w:p w:rsidR="00AD2EC1" w:rsidRDefault="00AD2EC1">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2061767" w:history="1">
            <w:r w:rsidRPr="002A3B73">
              <w:rPr>
                <w:rStyle w:val="Hyperlink"/>
                <w:noProof/>
              </w:rPr>
              <w:t>EXECUTIVE SUMMARY AND CONCLUSIONS</w:t>
            </w:r>
            <w:r>
              <w:rPr>
                <w:noProof/>
                <w:webHidden/>
              </w:rPr>
              <w:tab/>
            </w:r>
            <w:r>
              <w:rPr>
                <w:noProof/>
                <w:webHidden/>
              </w:rPr>
              <w:fldChar w:fldCharType="begin"/>
            </w:r>
            <w:r>
              <w:rPr>
                <w:noProof/>
                <w:webHidden/>
              </w:rPr>
              <w:instrText xml:space="preserve"> PAGEREF _Toc432061767 \h </w:instrText>
            </w:r>
            <w:r>
              <w:rPr>
                <w:noProof/>
                <w:webHidden/>
              </w:rPr>
            </w:r>
            <w:r>
              <w:rPr>
                <w:noProof/>
                <w:webHidden/>
              </w:rPr>
              <w:fldChar w:fldCharType="separate"/>
            </w:r>
            <w:r w:rsidR="00DA7078">
              <w:rPr>
                <w:noProof/>
                <w:webHidden/>
              </w:rPr>
              <w:t>3</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68" w:history="1">
            <w:r w:rsidRPr="002A3B73">
              <w:rPr>
                <w:rStyle w:val="Hyperlink"/>
                <w:noProof/>
              </w:rPr>
              <w:t>2.</w:t>
            </w:r>
            <w:r>
              <w:rPr>
                <w:rFonts w:asciiTheme="minorHAnsi" w:eastAsiaTheme="minorEastAsia" w:hAnsiTheme="minorHAnsi" w:cstheme="minorBidi"/>
                <w:noProof/>
                <w:sz w:val="22"/>
                <w:szCs w:val="22"/>
              </w:rPr>
              <w:tab/>
            </w:r>
            <w:r w:rsidRPr="002A3B73">
              <w:rPr>
                <w:rStyle w:val="Hyperlink"/>
                <w:noProof/>
                <w:lang w:val="fr-BE"/>
              </w:rPr>
              <w:t>PROCESSES</w:t>
            </w:r>
            <w:r>
              <w:rPr>
                <w:noProof/>
                <w:webHidden/>
              </w:rPr>
              <w:tab/>
            </w:r>
            <w:r>
              <w:rPr>
                <w:noProof/>
                <w:webHidden/>
              </w:rPr>
              <w:fldChar w:fldCharType="begin"/>
            </w:r>
            <w:r>
              <w:rPr>
                <w:noProof/>
                <w:webHidden/>
              </w:rPr>
              <w:instrText xml:space="preserve"> PAGEREF _Toc432061768 \h </w:instrText>
            </w:r>
            <w:r>
              <w:rPr>
                <w:noProof/>
                <w:webHidden/>
              </w:rPr>
            </w:r>
            <w:r>
              <w:rPr>
                <w:noProof/>
                <w:webHidden/>
              </w:rPr>
              <w:fldChar w:fldCharType="separate"/>
            </w:r>
            <w:r w:rsidR="00DA7078">
              <w:rPr>
                <w:noProof/>
                <w:webHidden/>
              </w:rPr>
              <w:t>7</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69" w:history="1">
            <w:r w:rsidRPr="002A3B73">
              <w:rPr>
                <w:rStyle w:val="Hyperlink"/>
                <w:noProof/>
              </w:rPr>
              <w:t>2.1.</w:t>
            </w:r>
            <w:r>
              <w:rPr>
                <w:rFonts w:asciiTheme="minorHAnsi" w:eastAsiaTheme="minorEastAsia" w:hAnsiTheme="minorHAnsi" w:cstheme="minorBidi"/>
                <w:noProof/>
                <w:sz w:val="22"/>
                <w:szCs w:val="22"/>
              </w:rPr>
              <w:tab/>
            </w:r>
            <w:r w:rsidRPr="002A3B73">
              <w:rPr>
                <w:rStyle w:val="Hyperlink"/>
                <w:noProof/>
              </w:rPr>
              <w:t>Preventive actions</w:t>
            </w:r>
            <w:r>
              <w:rPr>
                <w:noProof/>
                <w:webHidden/>
              </w:rPr>
              <w:tab/>
            </w:r>
            <w:r>
              <w:rPr>
                <w:noProof/>
                <w:webHidden/>
              </w:rPr>
              <w:fldChar w:fldCharType="begin"/>
            </w:r>
            <w:r>
              <w:rPr>
                <w:noProof/>
                <w:webHidden/>
              </w:rPr>
              <w:instrText xml:space="preserve"> PAGEREF _Toc432061769 \h </w:instrText>
            </w:r>
            <w:r>
              <w:rPr>
                <w:noProof/>
                <w:webHidden/>
              </w:rPr>
            </w:r>
            <w:r>
              <w:rPr>
                <w:noProof/>
                <w:webHidden/>
              </w:rPr>
              <w:fldChar w:fldCharType="separate"/>
            </w:r>
            <w:r w:rsidR="00DA7078">
              <w:rPr>
                <w:noProof/>
                <w:webHidden/>
              </w:rPr>
              <w:t>7</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70" w:history="1">
            <w:r w:rsidRPr="002A3B73">
              <w:rPr>
                <w:rStyle w:val="Hyperlink"/>
                <w:noProof/>
              </w:rPr>
              <w:t>2.2.</w:t>
            </w:r>
            <w:r>
              <w:rPr>
                <w:rFonts w:asciiTheme="minorHAnsi" w:eastAsiaTheme="minorEastAsia" w:hAnsiTheme="minorHAnsi" w:cstheme="minorBidi"/>
                <w:noProof/>
                <w:sz w:val="22"/>
                <w:szCs w:val="22"/>
              </w:rPr>
              <w:tab/>
            </w:r>
            <w:r w:rsidRPr="002A3B73">
              <w:rPr>
                <w:rStyle w:val="Hyperlink"/>
                <w:noProof/>
              </w:rPr>
              <w:t>Corrective actions</w:t>
            </w:r>
            <w:r>
              <w:rPr>
                <w:noProof/>
                <w:webHidden/>
              </w:rPr>
              <w:tab/>
            </w:r>
            <w:r>
              <w:rPr>
                <w:noProof/>
                <w:webHidden/>
              </w:rPr>
              <w:fldChar w:fldCharType="begin"/>
            </w:r>
            <w:r>
              <w:rPr>
                <w:noProof/>
                <w:webHidden/>
              </w:rPr>
              <w:instrText xml:space="preserve"> PAGEREF _Toc432061770 \h </w:instrText>
            </w:r>
            <w:r>
              <w:rPr>
                <w:noProof/>
                <w:webHidden/>
              </w:rPr>
            </w:r>
            <w:r>
              <w:rPr>
                <w:noProof/>
                <w:webHidden/>
              </w:rPr>
              <w:fldChar w:fldCharType="separate"/>
            </w:r>
            <w:r w:rsidR="00DA7078">
              <w:rPr>
                <w:noProof/>
                <w:webHidden/>
              </w:rPr>
              <w:t>8</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71" w:history="1">
            <w:r w:rsidRPr="002A3B73">
              <w:rPr>
                <w:rStyle w:val="Hyperlink"/>
                <w:noProof/>
              </w:rPr>
              <w:t>2.3.</w:t>
            </w:r>
            <w:r>
              <w:rPr>
                <w:rFonts w:asciiTheme="minorHAnsi" w:eastAsiaTheme="minorEastAsia" w:hAnsiTheme="minorHAnsi" w:cstheme="minorBidi"/>
                <w:noProof/>
                <w:sz w:val="22"/>
                <w:szCs w:val="22"/>
              </w:rPr>
              <w:tab/>
            </w:r>
            <w:r w:rsidRPr="002A3B73">
              <w:rPr>
                <w:rStyle w:val="Hyperlink"/>
                <w:noProof/>
              </w:rPr>
              <w:t>Agriculture</w:t>
            </w:r>
            <w:r>
              <w:rPr>
                <w:noProof/>
                <w:webHidden/>
              </w:rPr>
              <w:tab/>
            </w:r>
            <w:r>
              <w:rPr>
                <w:noProof/>
                <w:webHidden/>
              </w:rPr>
              <w:fldChar w:fldCharType="begin"/>
            </w:r>
            <w:r>
              <w:rPr>
                <w:noProof/>
                <w:webHidden/>
              </w:rPr>
              <w:instrText xml:space="preserve"> PAGEREF _Toc432061771 \h </w:instrText>
            </w:r>
            <w:r>
              <w:rPr>
                <w:noProof/>
                <w:webHidden/>
              </w:rPr>
            </w:r>
            <w:r>
              <w:rPr>
                <w:noProof/>
                <w:webHidden/>
              </w:rPr>
              <w:fldChar w:fldCharType="separate"/>
            </w:r>
            <w:r w:rsidR="00DA7078">
              <w:rPr>
                <w:noProof/>
                <w:webHidden/>
              </w:rPr>
              <w:t>10</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72" w:history="1">
            <w:r w:rsidRPr="002A3B73">
              <w:rPr>
                <w:rStyle w:val="Hyperlink"/>
                <w:noProof/>
              </w:rPr>
              <w:t>2.4.</w:t>
            </w:r>
            <w:r>
              <w:rPr>
                <w:rFonts w:asciiTheme="minorHAnsi" w:eastAsiaTheme="minorEastAsia" w:hAnsiTheme="minorHAnsi" w:cstheme="minorBidi"/>
                <w:noProof/>
                <w:sz w:val="22"/>
                <w:szCs w:val="22"/>
              </w:rPr>
              <w:tab/>
            </w:r>
            <w:r w:rsidRPr="002A3B73">
              <w:rPr>
                <w:rStyle w:val="Hyperlink"/>
                <w:noProof/>
              </w:rPr>
              <w:t>Cohesion</w:t>
            </w:r>
            <w:r>
              <w:rPr>
                <w:noProof/>
                <w:webHidden/>
              </w:rPr>
              <w:tab/>
            </w:r>
            <w:r>
              <w:rPr>
                <w:noProof/>
                <w:webHidden/>
              </w:rPr>
              <w:fldChar w:fldCharType="begin"/>
            </w:r>
            <w:r>
              <w:rPr>
                <w:noProof/>
                <w:webHidden/>
              </w:rPr>
              <w:instrText xml:space="preserve"> PAGEREF _Toc432061772 \h </w:instrText>
            </w:r>
            <w:r>
              <w:rPr>
                <w:noProof/>
                <w:webHidden/>
              </w:rPr>
            </w:r>
            <w:r>
              <w:rPr>
                <w:noProof/>
                <w:webHidden/>
              </w:rPr>
              <w:fldChar w:fldCharType="separate"/>
            </w:r>
            <w:r w:rsidR="00DA7078">
              <w:rPr>
                <w:noProof/>
                <w:webHidden/>
              </w:rPr>
              <w:t>11</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73" w:history="1">
            <w:r w:rsidRPr="002A3B73">
              <w:rPr>
                <w:rStyle w:val="Hyperlink"/>
                <w:noProof/>
              </w:rPr>
              <w:t>2.5.</w:t>
            </w:r>
            <w:r>
              <w:rPr>
                <w:rFonts w:asciiTheme="minorHAnsi" w:eastAsiaTheme="minorEastAsia" w:hAnsiTheme="minorHAnsi" w:cstheme="minorBidi"/>
                <w:noProof/>
                <w:sz w:val="22"/>
                <w:szCs w:val="22"/>
              </w:rPr>
              <w:tab/>
            </w:r>
            <w:r w:rsidRPr="002A3B73">
              <w:rPr>
                <w:rStyle w:val="Hyperlink"/>
                <w:noProof/>
              </w:rPr>
              <w:t>Direct Management</w:t>
            </w:r>
            <w:r>
              <w:rPr>
                <w:noProof/>
                <w:webHidden/>
              </w:rPr>
              <w:tab/>
            </w:r>
            <w:r>
              <w:rPr>
                <w:noProof/>
                <w:webHidden/>
              </w:rPr>
              <w:fldChar w:fldCharType="begin"/>
            </w:r>
            <w:r>
              <w:rPr>
                <w:noProof/>
                <w:webHidden/>
              </w:rPr>
              <w:instrText xml:space="preserve"> PAGEREF _Toc432061773 \h </w:instrText>
            </w:r>
            <w:r>
              <w:rPr>
                <w:noProof/>
                <w:webHidden/>
              </w:rPr>
            </w:r>
            <w:r>
              <w:rPr>
                <w:noProof/>
                <w:webHidden/>
              </w:rPr>
              <w:fldChar w:fldCharType="separate"/>
            </w:r>
            <w:r w:rsidR="00DA7078">
              <w:rPr>
                <w:noProof/>
                <w:webHidden/>
              </w:rPr>
              <w:t>14</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74" w:history="1">
            <w:r w:rsidRPr="002A3B73">
              <w:rPr>
                <w:rStyle w:val="Hyperlink"/>
                <w:noProof/>
              </w:rPr>
              <w:t>2.6.</w:t>
            </w:r>
            <w:r>
              <w:rPr>
                <w:rFonts w:asciiTheme="minorHAnsi" w:eastAsiaTheme="minorEastAsia" w:hAnsiTheme="minorHAnsi" w:cstheme="minorBidi"/>
                <w:noProof/>
                <w:sz w:val="22"/>
                <w:szCs w:val="22"/>
              </w:rPr>
              <w:tab/>
            </w:r>
            <w:r w:rsidRPr="002A3B73">
              <w:rPr>
                <w:rStyle w:val="Hyperlink"/>
                <w:noProof/>
              </w:rPr>
              <w:t>Cost-effectiveness of management and control systems</w:t>
            </w:r>
            <w:r>
              <w:rPr>
                <w:noProof/>
                <w:webHidden/>
              </w:rPr>
              <w:tab/>
            </w:r>
            <w:r>
              <w:rPr>
                <w:noProof/>
                <w:webHidden/>
              </w:rPr>
              <w:fldChar w:fldCharType="begin"/>
            </w:r>
            <w:r>
              <w:rPr>
                <w:noProof/>
                <w:webHidden/>
              </w:rPr>
              <w:instrText xml:space="preserve"> PAGEREF _Toc432061774 \h </w:instrText>
            </w:r>
            <w:r>
              <w:rPr>
                <w:noProof/>
                <w:webHidden/>
              </w:rPr>
            </w:r>
            <w:r>
              <w:rPr>
                <w:noProof/>
                <w:webHidden/>
              </w:rPr>
              <w:fldChar w:fldCharType="separate"/>
            </w:r>
            <w:r w:rsidR="00DA7078">
              <w:rPr>
                <w:noProof/>
                <w:webHidden/>
              </w:rPr>
              <w:t>15</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75" w:history="1">
            <w:r w:rsidRPr="002A3B73">
              <w:rPr>
                <w:rStyle w:val="Hyperlink"/>
                <w:noProof/>
              </w:rPr>
              <w:t>3.</w:t>
            </w:r>
            <w:r>
              <w:rPr>
                <w:rFonts w:asciiTheme="minorHAnsi" w:eastAsiaTheme="minorEastAsia" w:hAnsiTheme="minorHAnsi" w:cstheme="minorBidi"/>
                <w:noProof/>
                <w:sz w:val="22"/>
                <w:szCs w:val="22"/>
              </w:rPr>
              <w:tab/>
            </w:r>
            <w:r w:rsidRPr="002A3B73">
              <w:rPr>
                <w:rStyle w:val="Hyperlink"/>
                <w:noProof/>
              </w:rPr>
              <w:t>FINANCIAL CORRECTIONS AND RECOVERIES IN 2014</w:t>
            </w:r>
            <w:r>
              <w:rPr>
                <w:noProof/>
                <w:webHidden/>
              </w:rPr>
              <w:tab/>
            </w:r>
            <w:r>
              <w:rPr>
                <w:noProof/>
                <w:webHidden/>
              </w:rPr>
              <w:fldChar w:fldCharType="begin"/>
            </w:r>
            <w:r>
              <w:rPr>
                <w:noProof/>
                <w:webHidden/>
              </w:rPr>
              <w:instrText xml:space="preserve"> PAGEREF _Toc432061775 \h </w:instrText>
            </w:r>
            <w:r>
              <w:rPr>
                <w:noProof/>
                <w:webHidden/>
              </w:rPr>
            </w:r>
            <w:r>
              <w:rPr>
                <w:noProof/>
                <w:webHidden/>
              </w:rPr>
              <w:fldChar w:fldCharType="separate"/>
            </w:r>
            <w:r w:rsidR="00DA7078">
              <w:rPr>
                <w:noProof/>
                <w:webHidden/>
              </w:rPr>
              <w:t>15</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76" w:history="1">
            <w:r w:rsidRPr="002A3B73">
              <w:rPr>
                <w:rStyle w:val="Hyperlink"/>
                <w:noProof/>
              </w:rPr>
              <w:t>3.1.</w:t>
            </w:r>
            <w:r>
              <w:rPr>
                <w:rFonts w:asciiTheme="minorHAnsi" w:eastAsiaTheme="minorEastAsia" w:hAnsiTheme="minorHAnsi" w:cstheme="minorBidi"/>
                <w:noProof/>
                <w:sz w:val="22"/>
                <w:szCs w:val="22"/>
              </w:rPr>
              <w:tab/>
            </w:r>
            <w:r w:rsidRPr="002A3B73">
              <w:rPr>
                <w:rStyle w:val="Hyperlink"/>
                <w:noProof/>
              </w:rPr>
              <w:t>Overview</w:t>
            </w:r>
            <w:r>
              <w:rPr>
                <w:noProof/>
                <w:webHidden/>
              </w:rPr>
              <w:tab/>
            </w:r>
            <w:r>
              <w:rPr>
                <w:noProof/>
                <w:webHidden/>
              </w:rPr>
              <w:fldChar w:fldCharType="begin"/>
            </w:r>
            <w:r>
              <w:rPr>
                <w:noProof/>
                <w:webHidden/>
              </w:rPr>
              <w:instrText xml:space="preserve"> PAGEREF _Toc432061776 \h </w:instrText>
            </w:r>
            <w:r>
              <w:rPr>
                <w:noProof/>
                <w:webHidden/>
              </w:rPr>
            </w:r>
            <w:r>
              <w:rPr>
                <w:noProof/>
                <w:webHidden/>
              </w:rPr>
              <w:fldChar w:fldCharType="separate"/>
            </w:r>
            <w:r w:rsidR="00DA7078">
              <w:rPr>
                <w:noProof/>
                <w:webHidden/>
              </w:rPr>
              <w:t>15</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77" w:history="1">
            <w:r w:rsidRPr="002A3B73">
              <w:rPr>
                <w:rStyle w:val="Hyperlink"/>
                <w:noProof/>
              </w:rPr>
              <w:t>3.2.</w:t>
            </w:r>
            <w:r>
              <w:rPr>
                <w:rFonts w:asciiTheme="minorHAnsi" w:eastAsiaTheme="minorEastAsia" w:hAnsiTheme="minorHAnsi" w:cstheme="minorBidi"/>
                <w:noProof/>
                <w:sz w:val="22"/>
                <w:szCs w:val="22"/>
              </w:rPr>
              <w:tab/>
            </w:r>
            <w:r w:rsidRPr="002A3B73">
              <w:rPr>
                <w:rStyle w:val="Hyperlink"/>
                <w:noProof/>
              </w:rPr>
              <w:t>Financial corrections in progress at 31 December 2014</w:t>
            </w:r>
            <w:r>
              <w:rPr>
                <w:noProof/>
                <w:webHidden/>
              </w:rPr>
              <w:tab/>
            </w:r>
            <w:r>
              <w:rPr>
                <w:noProof/>
                <w:webHidden/>
              </w:rPr>
              <w:fldChar w:fldCharType="begin"/>
            </w:r>
            <w:r>
              <w:rPr>
                <w:noProof/>
                <w:webHidden/>
              </w:rPr>
              <w:instrText xml:space="preserve"> PAGEREF _Toc432061777 \h </w:instrText>
            </w:r>
            <w:r>
              <w:rPr>
                <w:noProof/>
                <w:webHidden/>
              </w:rPr>
            </w:r>
            <w:r>
              <w:rPr>
                <w:noProof/>
                <w:webHidden/>
              </w:rPr>
              <w:fldChar w:fldCharType="separate"/>
            </w:r>
            <w:r w:rsidR="00DA7078">
              <w:rPr>
                <w:noProof/>
                <w:webHidden/>
              </w:rPr>
              <w:t>17</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78" w:history="1">
            <w:r w:rsidRPr="002A3B73">
              <w:rPr>
                <w:rStyle w:val="Hyperlink"/>
                <w:noProof/>
              </w:rPr>
              <w:t>3.3.</w:t>
            </w:r>
            <w:r>
              <w:rPr>
                <w:rFonts w:asciiTheme="minorHAnsi" w:eastAsiaTheme="minorEastAsia" w:hAnsiTheme="minorHAnsi" w:cstheme="minorBidi"/>
                <w:noProof/>
                <w:sz w:val="22"/>
                <w:szCs w:val="22"/>
              </w:rPr>
              <w:tab/>
            </w:r>
            <w:r w:rsidRPr="002A3B73">
              <w:rPr>
                <w:rStyle w:val="Hyperlink"/>
                <w:noProof/>
              </w:rPr>
              <w:t>Financial corrections confirmed in 2014</w:t>
            </w:r>
            <w:r>
              <w:rPr>
                <w:noProof/>
                <w:webHidden/>
              </w:rPr>
              <w:tab/>
            </w:r>
            <w:r>
              <w:rPr>
                <w:noProof/>
                <w:webHidden/>
              </w:rPr>
              <w:fldChar w:fldCharType="begin"/>
            </w:r>
            <w:r>
              <w:rPr>
                <w:noProof/>
                <w:webHidden/>
              </w:rPr>
              <w:instrText xml:space="preserve"> PAGEREF _Toc432061778 \h </w:instrText>
            </w:r>
            <w:r>
              <w:rPr>
                <w:noProof/>
                <w:webHidden/>
              </w:rPr>
            </w:r>
            <w:r>
              <w:rPr>
                <w:noProof/>
                <w:webHidden/>
              </w:rPr>
              <w:fldChar w:fldCharType="separate"/>
            </w:r>
            <w:r w:rsidR="00DA7078">
              <w:rPr>
                <w:noProof/>
                <w:webHidden/>
              </w:rPr>
              <w:t>17</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79" w:history="1">
            <w:r w:rsidRPr="002A3B73">
              <w:rPr>
                <w:rStyle w:val="Hyperlink"/>
                <w:noProof/>
              </w:rPr>
              <w:t>3.4.</w:t>
            </w:r>
            <w:r>
              <w:rPr>
                <w:rFonts w:asciiTheme="minorHAnsi" w:eastAsiaTheme="minorEastAsia" w:hAnsiTheme="minorHAnsi" w:cstheme="minorBidi"/>
                <w:noProof/>
                <w:sz w:val="22"/>
                <w:szCs w:val="22"/>
              </w:rPr>
              <w:tab/>
            </w:r>
            <w:r w:rsidRPr="002A3B73">
              <w:rPr>
                <w:rStyle w:val="Hyperlink"/>
                <w:noProof/>
              </w:rPr>
              <w:t>Financial corrections implemented in 2014</w:t>
            </w:r>
            <w:r>
              <w:rPr>
                <w:noProof/>
                <w:webHidden/>
              </w:rPr>
              <w:tab/>
            </w:r>
            <w:r>
              <w:rPr>
                <w:noProof/>
                <w:webHidden/>
              </w:rPr>
              <w:fldChar w:fldCharType="begin"/>
            </w:r>
            <w:r>
              <w:rPr>
                <w:noProof/>
                <w:webHidden/>
              </w:rPr>
              <w:instrText xml:space="preserve"> PAGEREF _Toc432061779 \h </w:instrText>
            </w:r>
            <w:r>
              <w:rPr>
                <w:noProof/>
                <w:webHidden/>
              </w:rPr>
            </w:r>
            <w:r>
              <w:rPr>
                <w:noProof/>
                <w:webHidden/>
              </w:rPr>
              <w:fldChar w:fldCharType="separate"/>
            </w:r>
            <w:r w:rsidR="00DA7078">
              <w:rPr>
                <w:noProof/>
                <w:webHidden/>
              </w:rPr>
              <w:t>20</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80" w:history="1">
            <w:r w:rsidRPr="002A3B73">
              <w:rPr>
                <w:rStyle w:val="Hyperlink"/>
                <w:noProof/>
              </w:rPr>
              <w:t>3.5.</w:t>
            </w:r>
            <w:r>
              <w:rPr>
                <w:rFonts w:asciiTheme="minorHAnsi" w:eastAsiaTheme="minorEastAsia" w:hAnsiTheme="minorHAnsi" w:cstheme="minorBidi"/>
                <w:noProof/>
                <w:sz w:val="22"/>
                <w:szCs w:val="22"/>
              </w:rPr>
              <w:tab/>
            </w:r>
            <w:r w:rsidRPr="002A3B73">
              <w:rPr>
                <w:rStyle w:val="Hyperlink"/>
                <w:noProof/>
              </w:rPr>
              <w:t>Recoveries</w:t>
            </w:r>
            <w:r>
              <w:rPr>
                <w:noProof/>
                <w:webHidden/>
              </w:rPr>
              <w:tab/>
            </w:r>
            <w:r>
              <w:rPr>
                <w:noProof/>
                <w:webHidden/>
              </w:rPr>
              <w:fldChar w:fldCharType="begin"/>
            </w:r>
            <w:r>
              <w:rPr>
                <w:noProof/>
                <w:webHidden/>
              </w:rPr>
              <w:instrText xml:space="preserve"> PAGEREF _Toc432061780 \h </w:instrText>
            </w:r>
            <w:r>
              <w:rPr>
                <w:noProof/>
                <w:webHidden/>
              </w:rPr>
            </w:r>
            <w:r>
              <w:rPr>
                <w:noProof/>
                <w:webHidden/>
              </w:rPr>
              <w:fldChar w:fldCharType="separate"/>
            </w:r>
            <w:r w:rsidR="00DA7078">
              <w:rPr>
                <w:noProof/>
                <w:webHidden/>
              </w:rPr>
              <w:t>22</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81" w:history="1">
            <w:r w:rsidRPr="002A3B73">
              <w:rPr>
                <w:rStyle w:val="Hyperlink"/>
                <w:noProof/>
              </w:rPr>
              <w:t>3.6.</w:t>
            </w:r>
            <w:r>
              <w:rPr>
                <w:rFonts w:asciiTheme="minorHAnsi" w:eastAsiaTheme="minorEastAsia" w:hAnsiTheme="minorHAnsi" w:cstheme="minorBidi"/>
                <w:noProof/>
                <w:sz w:val="22"/>
                <w:szCs w:val="22"/>
              </w:rPr>
              <w:tab/>
            </w:r>
            <w:r w:rsidRPr="002A3B73">
              <w:rPr>
                <w:rStyle w:val="Hyperlink"/>
                <w:noProof/>
              </w:rPr>
              <w:t>Deficiencies in Member States' management and control identified in 2014 and measures undertaken</w:t>
            </w:r>
            <w:r>
              <w:rPr>
                <w:noProof/>
                <w:webHidden/>
              </w:rPr>
              <w:tab/>
            </w:r>
            <w:r>
              <w:rPr>
                <w:noProof/>
                <w:webHidden/>
              </w:rPr>
              <w:fldChar w:fldCharType="begin"/>
            </w:r>
            <w:r>
              <w:rPr>
                <w:noProof/>
                <w:webHidden/>
              </w:rPr>
              <w:instrText xml:space="preserve"> PAGEREF _Toc432061781 \h </w:instrText>
            </w:r>
            <w:r>
              <w:rPr>
                <w:noProof/>
                <w:webHidden/>
              </w:rPr>
            </w:r>
            <w:r>
              <w:rPr>
                <w:noProof/>
                <w:webHidden/>
              </w:rPr>
              <w:fldChar w:fldCharType="separate"/>
            </w:r>
            <w:r w:rsidR="00DA7078">
              <w:rPr>
                <w:noProof/>
                <w:webHidden/>
              </w:rPr>
              <w:t>23</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82" w:history="1">
            <w:r w:rsidRPr="002A3B73">
              <w:rPr>
                <w:rStyle w:val="Hyperlink"/>
                <w:noProof/>
              </w:rPr>
              <w:t>4.</w:t>
            </w:r>
            <w:r>
              <w:rPr>
                <w:rFonts w:asciiTheme="minorHAnsi" w:eastAsiaTheme="minorEastAsia" w:hAnsiTheme="minorHAnsi" w:cstheme="minorBidi"/>
                <w:noProof/>
                <w:sz w:val="22"/>
                <w:szCs w:val="22"/>
              </w:rPr>
              <w:tab/>
            </w:r>
            <w:r w:rsidRPr="002A3B73">
              <w:rPr>
                <w:rStyle w:val="Hyperlink"/>
                <w:noProof/>
              </w:rPr>
              <w:t>CUMULATIVE FINANCIAL CORRECTIONS &amp; RECOVERIES TO END 2014</w:t>
            </w:r>
            <w:r>
              <w:rPr>
                <w:noProof/>
                <w:webHidden/>
              </w:rPr>
              <w:tab/>
            </w:r>
            <w:r>
              <w:rPr>
                <w:noProof/>
                <w:webHidden/>
              </w:rPr>
              <w:fldChar w:fldCharType="begin"/>
            </w:r>
            <w:r>
              <w:rPr>
                <w:noProof/>
                <w:webHidden/>
              </w:rPr>
              <w:instrText xml:space="preserve"> PAGEREF _Toc432061782 \h </w:instrText>
            </w:r>
            <w:r>
              <w:rPr>
                <w:noProof/>
                <w:webHidden/>
              </w:rPr>
            </w:r>
            <w:r>
              <w:rPr>
                <w:noProof/>
                <w:webHidden/>
              </w:rPr>
              <w:fldChar w:fldCharType="separate"/>
            </w:r>
            <w:r w:rsidR="00DA7078">
              <w:rPr>
                <w:noProof/>
                <w:webHidden/>
              </w:rPr>
              <w:t>25</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83" w:history="1">
            <w:r w:rsidRPr="002A3B73">
              <w:rPr>
                <w:rStyle w:val="Hyperlink"/>
                <w:noProof/>
              </w:rPr>
              <w:t>4.1.</w:t>
            </w:r>
            <w:r>
              <w:rPr>
                <w:rFonts w:asciiTheme="minorHAnsi" w:eastAsiaTheme="minorEastAsia" w:hAnsiTheme="minorHAnsi" w:cstheme="minorBidi"/>
                <w:noProof/>
                <w:sz w:val="22"/>
                <w:szCs w:val="22"/>
              </w:rPr>
              <w:tab/>
            </w:r>
            <w:r w:rsidRPr="002A3B73">
              <w:rPr>
                <w:rStyle w:val="Hyperlink"/>
                <w:noProof/>
              </w:rPr>
              <w:t>Overview</w:t>
            </w:r>
            <w:r>
              <w:rPr>
                <w:noProof/>
                <w:webHidden/>
              </w:rPr>
              <w:tab/>
            </w:r>
            <w:r>
              <w:rPr>
                <w:noProof/>
                <w:webHidden/>
              </w:rPr>
              <w:fldChar w:fldCharType="begin"/>
            </w:r>
            <w:r>
              <w:rPr>
                <w:noProof/>
                <w:webHidden/>
              </w:rPr>
              <w:instrText xml:space="preserve"> PAGEREF _Toc432061783 \h </w:instrText>
            </w:r>
            <w:r>
              <w:rPr>
                <w:noProof/>
                <w:webHidden/>
              </w:rPr>
            </w:r>
            <w:r>
              <w:rPr>
                <w:noProof/>
                <w:webHidden/>
              </w:rPr>
              <w:fldChar w:fldCharType="separate"/>
            </w:r>
            <w:r w:rsidR="00DA7078">
              <w:rPr>
                <w:noProof/>
                <w:webHidden/>
              </w:rPr>
              <w:t>25</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84" w:history="1">
            <w:r w:rsidRPr="002A3B73">
              <w:rPr>
                <w:rStyle w:val="Hyperlink"/>
                <w:noProof/>
              </w:rPr>
              <w:t>4.2.</w:t>
            </w:r>
            <w:r>
              <w:rPr>
                <w:rFonts w:asciiTheme="minorHAnsi" w:eastAsiaTheme="minorEastAsia" w:hAnsiTheme="minorHAnsi" w:cstheme="minorBidi"/>
                <w:noProof/>
                <w:sz w:val="22"/>
                <w:szCs w:val="22"/>
              </w:rPr>
              <w:tab/>
            </w:r>
            <w:r w:rsidRPr="002A3B73">
              <w:rPr>
                <w:rStyle w:val="Hyperlink"/>
                <w:noProof/>
              </w:rPr>
              <w:t>Financial corrections</w:t>
            </w:r>
            <w:r>
              <w:rPr>
                <w:noProof/>
                <w:webHidden/>
              </w:rPr>
              <w:tab/>
            </w:r>
            <w:r>
              <w:rPr>
                <w:noProof/>
                <w:webHidden/>
              </w:rPr>
              <w:fldChar w:fldCharType="begin"/>
            </w:r>
            <w:r>
              <w:rPr>
                <w:noProof/>
                <w:webHidden/>
              </w:rPr>
              <w:instrText xml:space="preserve"> PAGEREF _Toc432061784 \h </w:instrText>
            </w:r>
            <w:r>
              <w:rPr>
                <w:noProof/>
                <w:webHidden/>
              </w:rPr>
            </w:r>
            <w:r>
              <w:rPr>
                <w:noProof/>
                <w:webHidden/>
              </w:rPr>
              <w:fldChar w:fldCharType="separate"/>
            </w:r>
            <w:r w:rsidR="00DA7078">
              <w:rPr>
                <w:noProof/>
                <w:webHidden/>
              </w:rPr>
              <w:t>27</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85" w:history="1">
            <w:r w:rsidRPr="002A3B73">
              <w:rPr>
                <w:rStyle w:val="Hyperlink"/>
                <w:noProof/>
              </w:rPr>
              <w:t>4.3.</w:t>
            </w:r>
            <w:r>
              <w:rPr>
                <w:rFonts w:asciiTheme="minorHAnsi" w:eastAsiaTheme="minorEastAsia" w:hAnsiTheme="minorHAnsi" w:cstheme="minorBidi"/>
                <w:noProof/>
                <w:sz w:val="22"/>
                <w:szCs w:val="22"/>
              </w:rPr>
              <w:tab/>
            </w:r>
            <w:r w:rsidRPr="002A3B73">
              <w:rPr>
                <w:rStyle w:val="Hyperlink"/>
                <w:noProof/>
              </w:rPr>
              <w:t>Recoveries</w:t>
            </w:r>
            <w:r>
              <w:rPr>
                <w:noProof/>
                <w:webHidden/>
              </w:rPr>
              <w:tab/>
            </w:r>
            <w:r>
              <w:rPr>
                <w:noProof/>
                <w:webHidden/>
              </w:rPr>
              <w:fldChar w:fldCharType="begin"/>
            </w:r>
            <w:r>
              <w:rPr>
                <w:noProof/>
                <w:webHidden/>
              </w:rPr>
              <w:instrText xml:space="preserve"> PAGEREF _Toc432061785 \h </w:instrText>
            </w:r>
            <w:r>
              <w:rPr>
                <w:noProof/>
                <w:webHidden/>
              </w:rPr>
            </w:r>
            <w:r>
              <w:rPr>
                <w:noProof/>
                <w:webHidden/>
              </w:rPr>
              <w:fldChar w:fldCharType="separate"/>
            </w:r>
            <w:r w:rsidR="00DA7078">
              <w:rPr>
                <w:noProof/>
                <w:webHidden/>
              </w:rPr>
              <w:t>35</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86" w:history="1">
            <w:r w:rsidRPr="002A3B73">
              <w:rPr>
                <w:rStyle w:val="Hyperlink"/>
                <w:noProof/>
              </w:rPr>
              <w:t>5.</w:t>
            </w:r>
            <w:r>
              <w:rPr>
                <w:rFonts w:asciiTheme="minorHAnsi" w:eastAsiaTheme="minorEastAsia" w:hAnsiTheme="minorHAnsi" w:cstheme="minorBidi"/>
                <w:noProof/>
                <w:sz w:val="22"/>
                <w:szCs w:val="22"/>
              </w:rPr>
              <w:tab/>
            </w:r>
            <w:r w:rsidRPr="002A3B73">
              <w:rPr>
                <w:rStyle w:val="Hyperlink"/>
                <w:noProof/>
              </w:rPr>
              <w:t>NET CORRECTIONS</w:t>
            </w:r>
            <w:r>
              <w:rPr>
                <w:noProof/>
                <w:webHidden/>
              </w:rPr>
              <w:tab/>
            </w:r>
            <w:r>
              <w:rPr>
                <w:noProof/>
                <w:webHidden/>
              </w:rPr>
              <w:fldChar w:fldCharType="begin"/>
            </w:r>
            <w:r>
              <w:rPr>
                <w:noProof/>
                <w:webHidden/>
              </w:rPr>
              <w:instrText xml:space="preserve"> PAGEREF _Toc432061786 \h </w:instrText>
            </w:r>
            <w:r>
              <w:rPr>
                <w:noProof/>
                <w:webHidden/>
              </w:rPr>
            </w:r>
            <w:r>
              <w:rPr>
                <w:noProof/>
                <w:webHidden/>
              </w:rPr>
              <w:fldChar w:fldCharType="separate"/>
            </w:r>
            <w:r w:rsidR="00DA7078">
              <w:rPr>
                <w:noProof/>
                <w:webHidden/>
              </w:rPr>
              <w:t>36</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87" w:history="1">
            <w:r w:rsidRPr="002A3B73">
              <w:rPr>
                <w:rStyle w:val="Hyperlink"/>
                <w:noProof/>
              </w:rPr>
              <w:t>5.1.</w:t>
            </w:r>
            <w:r>
              <w:rPr>
                <w:rFonts w:asciiTheme="minorHAnsi" w:eastAsiaTheme="minorEastAsia" w:hAnsiTheme="minorHAnsi" w:cstheme="minorBidi"/>
                <w:noProof/>
                <w:sz w:val="22"/>
                <w:szCs w:val="22"/>
              </w:rPr>
              <w:tab/>
            </w:r>
            <w:r w:rsidRPr="002A3B73">
              <w:rPr>
                <w:rStyle w:val="Hyperlink"/>
                <w:noProof/>
              </w:rPr>
              <w:t>Net financial corrections 2014</w:t>
            </w:r>
            <w:r>
              <w:rPr>
                <w:noProof/>
                <w:webHidden/>
              </w:rPr>
              <w:tab/>
            </w:r>
            <w:r>
              <w:rPr>
                <w:noProof/>
                <w:webHidden/>
              </w:rPr>
              <w:fldChar w:fldCharType="begin"/>
            </w:r>
            <w:r>
              <w:rPr>
                <w:noProof/>
                <w:webHidden/>
              </w:rPr>
              <w:instrText xml:space="preserve"> PAGEREF _Toc432061787 \h </w:instrText>
            </w:r>
            <w:r>
              <w:rPr>
                <w:noProof/>
                <w:webHidden/>
              </w:rPr>
            </w:r>
            <w:r>
              <w:rPr>
                <w:noProof/>
                <w:webHidden/>
              </w:rPr>
              <w:fldChar w:fldCharType="separate"/>
            </w:r>
            <w:r w:rsidR="00DA7078">
              <w:rPr>
                <w:noProof/>
                <w:webHidden/>
              </w:rPr>
              <w:t>36</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88" w:history="1">
            <w:r w:rsidRPr="002A3B73">
              <w:rPr>
                <w:rStyle w:val="Hyperlink"/>
                <w:noProof/>
              </w:rPr>
              <w:t>5.2.</w:t>
            </w:r>
            <w:r>
              <w:rPr>
                <w:rFonts w:asciiTheme="minorHAnsi" w:eastAsiaTheme="minorEastAsia" w:hAnsiTheme="minorHAnsi" w:cstheme="minorBidi"/>
                <w:noProof/>
                <w:sz w:val="22"/>
                <w:szCs w:val="22"/>
              </w:rPr>
              <w:tab/>
            </w:r>
            <w:r w:rsidRPr="002A3B73">
              <w:rPr>
                <w:rStyle w:val="Hyperlink"/>
                <w:noProof/>
              </w:rPr>
              <w:t>Impact on the EU budget</w:t>
            </w:r>
            <w:r>
              <w:rPr>
                <w:noProof/>
                <w:webHidden/>
              </w:rPr>
              <w:tab/>
            </w:r>
            <w:r>
              <w:rPr>
                <w:noProof/>
                <w:webHidden/>
              </w:rPr>
              <w:fldChar w:fldCharType="begin"/>
            </w:r>
            <w:r>
              <w:rPr>
                <w:noProof/>
                <w:webHidden/>
              </w:rPr>
              <w:instrText xml:space="preserve"> PAGEREF _Toc432061788 \h </w:instrText>
            </w:r>
            <w:r>
              <w:rPr>
                <w:noProof/>
                <w:webHidden/>
              </w:rPr>
            </w:r>
            <w:r>
              <w:rPr>
                <w:noProof/>
                <w:webHidden/>
              </w:rPr>
              <w:fldChar w:fldCharType="separate"/>
            </w:r>
            <w:r w:rsidR="00DA7078">
              <w:rPr>
                <w:noProof/>
                <w:webHidden/>
              </w:rPr>
              <w:t>37</w:t>
            </w:r>
            <w:r>
              <w:rPr>
                <w:noProof/>
                <w:webHidden/>
              </w:rPr>
              <w:fldChar w:fldCharType="end"/>
            </w:r>
          </w:hyperlink>
          <w:bookmarkStart w:id="1" w:name="_GoBack"/>
          <w:bookmarkEnd w:id="1"/>
        </w:p>
        <w:p w:rsidR="00AD2EC1" w:rsidRDefault="00AD2EC1">
          <w:pPr>
            <w:pStyle w:val="TOC2"/>
            <w:rPr>
              <w:rFonts w:asciiTheme="minorHAnsi" w:eastAsiaTheme="minorEastAsia" w:hAnsiTheme="minorHAnsi" w:cstheme="minorBidi"/>
              <w:noProof/>
              <w:sz w:val="22"/>
              <w:szCs w:val="22"/>
            </w:rPr>
          </w:pPr>
          <w:hyperlink w:anchor="_Toc432061789" w:history="1">
            <w:r w:rsidRPr="002A3B73">
              <w:rPr>
                <w:rStyle w:val="Hyperlink"/>
                <w:noProof/>
              </w:rPr>
              <w:t>5.3.</w:t>
            </w:r>
            <w:r>
              <w:rPr>
                <w:rFonts w:asciiTheme="minorHAnsi" w:eastAsiaTheme="minorEastAsia" w:hAnsiTheme="minorHAnsi" w:cstheme="minorBidi"/>
                <w:noProof/>
                <w:sz w:val="22"/>
                <w:szCs w:val="22"/>
              </w:rPr>
              <w:tab/>
            </w:r>
            <w:r w:rsidRPr="002A3B73">
              <w:rPr>
                <w:rStyle w:val="Hyperlink"/>
                <w:noProof/>
              </w:rPr>
              <w:t>Impact on national budgets</w:t>
            </w:r>
            <w:r>
              <w:rPr>
                <w:noProof/>
                <w:webHidden/>
              </w:rPr>
              <w:tab/>
            </w:r>
            <w:r>
              <w:rPr>
                <w:noProof/>
                <w:webHidden/>
              </w:rPr>
              <w:fldChar w:fldCharType="begin"/>
            </w:r>
            <w:r>
              <w:rPr>
                <w:noProof/>
                <w:webHidden/>
              </w:rPr>
              <w:instrText xml:space="preserve"> PAGEREF _Toc432061789 \h </w:instrText>
            </w:r>
            <w:r>
              <w:rPr>
                <w:noProof/>
                <w:webHidden/>
              </w:rPr>
            </w:r>
            <w:r>
              <w:rPr>
                <w:noProof/>
                <w:webHidden/>
              </w:rPr>
              <w:fldChar w:fldCharType="separate"/>
            </w:r>
            <w:r w:rsidR="00DA7078">
              <w:rPr>
                <w:noProof/>
                <w:webHidden/>
              </w:rPr>
              <w:t>38</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90" w:history="1">
            <w:r w:rsidRPr="002A3B73">
              <w:rPr>
                <w:rStyle w:val="Hyperlink"/>
                <w:noProof/>
              </w:rPr>
              <w:t>6.</w:t>
            </w:r>
            <w:r>
              <w:rPr>
                <w:rFonts w:asciiTheme="minorHAnsi" w:eastAsiaTheme="minorEastAsia" w:hAnsiTheme="minorHAnsi" w:cstheme="minorBidi"/>
                <w:noProof/>
                <w:sz w:val="22"/>
                <w:szCs w:val="22"/>
              </w:rPr>
              <w:tab/>
            </w:r>
            <w:r w:rsidRPr="002A3B73">
              <w:rPr>
                <w:rStyle w:val="Hyperlink"/>
                <w:noProof/>
              </w:rPr>
              <w:t>PREVENTIVE MEASURES</w:t>
            </w:r>
            <w:r>
              <w:rPr>
                <w:noProof/>
                <w:webHidden/>
              </w:rPr>
              <w:tab/>
            </w:r>
            <w:r>
              <w:rPr>
                <w:noProof/>
                <w:webHidden/>
              </w:rPr>
              <w:fldChar w:fldCharType="begin"/>
            </w:r>
            <w:r>
              <w:rPr>
                <w:noProof/>
                <w:webHidden/>
              </w:rPr>
              <w:instrText xml:space="preserve"> PAGEREF _Toc432061790 \h </w:instrText>
            </w:r>
            <w:r>
              <w:rPr>
                <w:noProof/>
                <w:webHidden/>
              </w:rPr>
            </w:r>
            <w:r>
              <w:rPr>
                <w:noProof/>
                <w:webHidden/>
              </w:rPr>
              <w:fldChar w:fldCharType="separate"/>
            </w:r>
            <w:r w:rsidR="00DA7078">
              <w:rPr>
                <w:noProof/>
                <w:webHidden/>
              </w:rPr>
              <w:t>38</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91" w:history="1">
            <w:r w:rsidRPr="002A3B73">
              <w:rPr>
                <w:rStyle w:val="Hyperlink"/>
                <w:noProof/>
              </w:rPr>
              <w:t>6.1.</w:t>
            </w:r>
            <w:r>
              <w:rPr>
                <w:rFonts w:asciiTheme="minorHAnsi" w:eastAsiaTheme="minorEastAsia" w:hAnsiTheme="minorHAnsi" w:cstheme="minorBidi"/>
                <w:noProof/>
                <w:sz w:val="22"/>
                <w:szCs w:val="22"/>
              </w:rPr>
              <w:tab/>
            </w:r>
            <w:r w:rsidRPr="002A3B73">
              <w:rPr>
                <w:rStyle w:val="Hyperlink"/>
                <w:noProof/>
              </w:rPr>
              <w:t>Agriculture</w:t>
            </w:r>
            <w:r>
              <w:rPr>
                <w:noProof/>
                <w:webHidden/>
              </w:rPr>
              <w:tab/>
            </w:r>
            <w:r>
              <w:rPr>
                <w:noProof/>
                <w:webHidden/>
              </w:rPr>
              <w:fldChar w:fldCharType="begin"/>
            </w:r>
            <w:r>
              <w:rPr>
                <w:noProof/>
                <w:webHidden/>
              </w:rPr>
              <w:instrText xml:space="preserve"> PAGEREF _Toc432061791 \h </w:instrText>
            </w:r>
            <w:r>
              <w:rPr>
                <w:noProof/>
                <w:webHidden/>
              </w:rPr>
            </w:r>
            <w:r>
              <w:rPr>
                <w:noProof/>
                <w:webHidden/>
              </w:rPr>
              <w:fldChar w:fldCharType="separate"/>
            </w:r>
            <w:r w:rsidR="00DA7078">
              <w:rPr>
                <w:noProof/>
                <w:webHidden/>
              </w:rPr>
              <w:t>38</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92" w:history="1">
            <w:r w:rsidRPr="002A3B73">
              <w:rPr>
                <w:rStyle w:val="Hyperlink"/>
                <w:noProof/>
              </w:rPr>
              <w:t>6.2.</w:t>
            </w:r>
            <w:r>
              <w:rPr>
                <w:rFonts w:asciiTheme="minorHAnsi" w:eastAsiaTheme="minorEastAsia" w:hAnsiTheme="minorHAnsi" w:cstheme="minorBidi"/>
                <w:noProof/>
                <w:sz w:val="22"/>
                <w:szCs w:val="22"/>
              </w:rPr>
              <w:tab/>
            </w:r>
            <w:r w:rsidRPr="002A3B73">
              <w:rPr>
                <w:rStyle w:val="Hyperlink"/>
                <w:noProof/>
              </w:rPr>
              <w:t>Cohesion</w:t>
            </w:r>
            <w:r>
              <w:rPr>
                <w:noProof/>
                <w:webHidden/>
              </w:rPr>
              <w:tab/>
            </w:r>
            <w:r>
              <w:rPr>
                <w:noProof/>
                <w:webHidden/>
              </w:rPr>
              <w:fldChar w:fldCharType="begin"/>
            </w:r>
            <w:r>
              <w:rPr>
                <w:noProof/>
                <w:webHidden/>
              </w:rPr>
              <w:instrText xml:space="preserve"> PAGEREF _Toc432061792 \h </w:instrText>
            </w:r>
            <w:r>
              <w:rPr>
                <w:noProof/>
                <w:webHidden/>
              </w:rPr>
            </w:r>
            <w:r>
              <w:rPr>
                <w:noProof/>
                <w:webHidden/>
              </w:rPr>
              <w:fldChar w:fldCharType="separate"/>
            </w:r>
            <w:r w:rsidR="00DA7078">
              <w:rPr>
                <w:noProof/>
                <w:webHidden/>
              </w:rPr>
              <w:t>39</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93" w:history="1">
            <w:r w:rsidRPr="002A3B73">
              <w:rPr>
                <w:rStyle w:val="Hyperlink"/>
                <w:noProof/>
              </w:rPr>
              <w:t>7.</w:t>
            </w:r>
            <w:r>
              <w:rPr>
                <w:rFonts w:asciiTheme="minorHAnsi" w:eastAsiaTheme="minorEastAsia" w:hAnsiTheme="minorHAnsi" w:cstheme="minorBidi"/>
                <w:noProof/>
                <w:sz w:val="22"/>
                <w:szCs w:val="22"/>
              </w:rPr>
              <w:tab/>
            </w:r>
            <w:r w:rsidRPr="002A3B73">
              <w:rPr>
                <w:rStyle w:val="Hyperlink"/>
                <w:noProof/>
              </w:rPr>
              <w:t>CORRECTIVE ACTIONS MADE BY MEMBER STATES ON THEIR OWN INITIATIVE</w:t>
            </w:r>
            <w:r>
              <w:rPr>
                <w:noProof/>
                <w:webHidden/>
              </w:rPr>
              <w:tab/>
            </w:r>
            <w:r>
              <w:rPr>
                <w:noProof/>
                <w:webHidden/>
              </w:rPr>
              <w:fldChar w:fldCharType="begin"/>
            </w:r>
            <w:r>
              <w:rPr>
                <w:noProof/>
                <w:webHidden/>
              </w:rPr>
              <w:instrText xml:space="preserve"> PAGEREF _Toc432061793 \h </w:instrText>
            </w:r>
            <w:r>
              <w:rPr>
                <w:noProof/>
                <w:webHidden/>
              </w:rPr>
            </w:r>
            <w:r>
              <w:rPr>
                <w:noProof/>
                <w:webHidden/>
              </w:rPr>
              <w:fldChar w:fldCharType="separate"/>
            </w:r>
            <w:r w:rsidR="00DA7078">
              <w:rPr>
                <w:noProof/>
                <w:webHidden/>
              </w:rPr>
              <w:t>41</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94" w:history="1">
            <w:r w:rsidRPr="002A3B73">
              <w:rPr>
                <w:rStyle w:val="Hyperlink"/>
                <w:noProof/>
              </w:rPr>
              <w:t>7.1.</w:t>
            </w:r>
            <w:r>
              <w:rPr>
                <w:rFonts w:asciiTheme="minorHAnsi" w:eastAsiaTheme="minorEastAsia" w:hAnsiTheme="minorHAnsi" w:cstheme="minorBidi"/>
                <w:noProof/>
                <w:sz w:val="22"/>
                <w:szCs w:val="22"/>
              </w:rPr>
              <w:tab/>
            </w:r>
            <w:r w:rsidRPr="002A3B73">
              <w:rPr>
                <w:rStyle w:val="Hyperlink"/>
                <w:noProof/>
              </w:rPr>
              <w:t>Agriculture</w:t>
            </w:r>
            <w:r>
              <w:rPr>
                <w:noProof/>
                <w:webHidden/>
              </w:rPr>
              <w:tab/>
            </w:r>
            <w:r>
              <w:rPr>
                <w:noProof/>
                <w:webHidden/>
              </w:rPr>
              <w:fldChar w:fldCharType="begin"/>
            </w:r>
            <w:r>
              <w:rPr>
                <w:noProof/>
                <w:webHidden/>
              </w:rPr>
              <w:instrText xml:space="preserve"> PAGEREF _Toc432061794 \h </w:instrText>
            </w:r>
            <w:r>
              <w:rPr>
                <w:noProof/>
                <w:webHidden/>
              </w:rPr>
            </w:r>
            <w:r>
              <w:rPr>
                <w:noProof/>
                <w:webHidden/>
              </w:rPr>
              <w:fldChar w:fldCharType="separate"/>
            </w:r>
            <w:r w:rsidR="00DA7078">
              <w:rPr>
                <w:noProof/>
                <w:webHidden/>
              </w:rPr>
              <w:t>41</w:t>
            </w:r>
            <w:r>
              <w:rPr>
                <w:noProof/>
                <w:webHidden/>
              </w:rPr>
              <w:fldChar w:fldCharType="end"/>
            </w:r>
          </w:hyperlink>
        </w:p>
        <w:p w:rsidR="00AD2EC1" w:rsidRDefault="00AD2EC1">
          <w:pPr>
            <w:pStyle w:val="TOC2"/>
            <w:rPr>
              <w:rFonts w:asciiTheme="minorHAnsi" w:eastAsiaTheme="minorEastAsia" w:hAnsiTheme="minorHAnsi" w:cstheme="minorBidi"/>
              <w:noProof/>
              <w:sz w:val="22"/>
              <w:szCs w:val="22"/>
            </w:rPr>
          </w:pPr>
          <w:hyperlink w:anchor="_Toc432061795" w:history="1">
            <w:r w:rsidRPr="002A3B73">
              <w:rPr>
                <w:rStyle w:val="Hyperlink"/>
                <w:noProof/>
              </w:rPr>
              <w:t>7.2.</w:t>
            </w:r>
            <w:r>
              <w:rPr>
                <w:rFonts w:asciiTheme="minorHAnsi" w:eastAsiaTheme="minorEastAsia" w:hAnsiTheme="minorHAnsi" w:cstheme="minorBidi"/>
                <w:noProof/>
                <w:sz w:val="22"/>
                <w:szCs w:val="22"/>
              </w:rPr>
              <w:tab/>
            </w:r>
            <w:r w:rsidRPr="002A3B73">
              <w:rPr>
                <w:rStyle w:val="Hyperlink"/>
                <w:noProof/>
                <w:lang w:val="fr-BE"/>
              </w:rPr>
              <w:t>Cohesion</w:t>
            </w:r>
            <w:r>
              <w:rPr>
                <w:noProof/>
                <w:webHidden/>
              </w:rPr>
              <w:tab/>
            </w:r>
            <w:r>
              <w:rPr>
                <w:noProof/>
                <w:webHidden/>
              </w:rPr>
              <w:fldChar w:fldCharType="begin"/>
            </w:r>
            <w:r>
              <w:rPr>
                <w:noProof/>
                <w:webHidden/>
              </w:rPr>
              <w:instrText xml:space="preserve"> PAGEREF _Toc432061795 \h </w:instrText>
            </w:r>
            <w:r>
              <w:rPr>
                <w:noProof/>
                <w:webHidden/>
              </w:rPr>
            </w:r>
            <w:r>
              <w:rPr>
                <w:noProof/>
                <w:webHidden/>
              </w:rPr>
              <w:fldChar w:fldCharType="separate"/>
            </w:r>
            <w:r w:rsidR="00DA7078">
              <w:rPr>
                <w:noProof/>
                <w:webHidden/>
              </w:rPr>
              <w:t>42</w:t>
            </w:r>
            <w:r>
              <w:rPr>
                <w:noProof/>
                <w:webHidden/>
              </w:rPr>
              <w:fldChar w:fldCharType="end"/>
            </w:r>
          </w:hyperlink>
        </w:p>
        <w:p w:rsidR="00AD2EC1" w:rsidRDefault="00AD2EC1">
          <w:pPr>
            <w:pStyle w:val="TOC1"/>
            <w:rPr>
              <w:rFonts w:asciiTheme="minorHAnsi" w:eastAsiaTheme="minorEastAsia" w:hAnsiTheme="minorHAnsi" w:cstheme="minorBidi"/>
              <w:noProof/>
              <w:sz w:val="22"/>
              <w:szCs w:val="22"/>
            </w:rPr>
          </w:pPr>
          <w:hyperlink w:anchor="_Toc432061796" w:history="1">
            <w:r w:rsidRPr="002A3B73">
              <w:rPr>
                <w:rStyle w:val="Hyperlink"/>
                <w:noProof/>
              </w:rPr>
              <w:t>8.</w:t>
            </w:r>
            <w:r>
              <w:rPr>
                <w:rFonts w:asciiTheme="minorHAnsi" w:eastAsiaTheme="minorEastAsia" w:hAnsiTheme="minorHAnsi" w:cstheme="minorBidi"/>
                <w:noProof/>
                <w:sz w:val="22"/>
                <w:szCs w:val="22"/>
              </w:rPr>
              <w:tab/>
            </w:r>
            <w:r w:rsidRPr="002A3B73">
              <w:rPr>
                <w:rStyle w:val="Hyperlink"/>
                <w:noProof/>
              </w:rPr>
              <w:t>RECOVERY OF PRE-FINANCING AMOUNTS</w:t>
            </w:r>
            <w:r>
              <w:rPr>
                <w:noProof/>
                <w:webHidden/>
              </w:rPr>
              <w:tab/>
            </w:r>
            <w:r>
              <w:rPr>
                <w:noProof/>
                <w:webHidden/>
              </w:rPr>
              <w:fldChar w:fldCharType="begin"/>
            </w:r>
            <w:r>
              <w:rPr>
                <w:noProof/>
                <w:webHidden/>
              </w:rPr>
              <w:instrText xml:space="preserve"> PAGEREF _Toc432061796 \h </w:instrText>
            </w:r>
            <w:r>
              <w:rPr>
                <w:noProof/>
                <w:webHidden/>
              </w:rPr>
            </w:r>
            <w:r>
              <w:rPr>
                <w:noProof/>
                <w:webHidden/>
              </w:rPr>
              <w:fldChar w:fldCharType="separate"/>
            </w:r>
            <w:r w:rsidR="00DA7078">
              <w:rPr>
                <w:noProof/>
                <w:webHidden/>
              </w:rPr>
              <w:t>44</w:t>
            </w:r>
            <w:r>
              <w:rPr>
                <w:noProof/>
                <w:webHidden/>
              </w:rPr>
              <w:fldChar w:fldCharType="end"/>
            </w:r>
          </w:hyperlink>
        </w:p>
        <w:p w:rsidR="00AD2EC1" w:rsidRPr="00AD2EC1" w:rsidRDefault="00AD2EC1" w:rsidP="00AD2EC1">
          <w:r>
            <w:rPr>
              <w:b/>
              <w:bCs/>
              <w:noProof/>
            </w:rPr>
            <w:lastRenderedPageBreak/>
            <w:fldChar w:fldCharType="end"/>
          </w:r>
        </w:p>
      </w:sdtContent>
    </w:sdt>
    <w:p w:rsidR="008C2902" w:rsidRDefault="00AD2EC1">
      <w:pPr>
        <w:pStyle w:val="ManualHeading1"/>
        <w:rPr>
          <w:noProof/>
          <w:szCs w:val="22"/>
        </w:rPr>
      </w:pPr>
      <w:bookmarkStart w:id="2" w:name="_Toc397954288"/>
      <w:bookmarkStart w:id="3" w:name="_Toc397954289"/>
      <w:bookmarkStart w:id="4" w:name="_Toc431383849"/>
      <w:bookmarkStart w:id="5" w:name="_Toc432061767"/>
      <w:bookmarkEnd w:id="2"/>
      <w:bookmarkEnd w:id="3"/>
      <w:r>
        <w:rPr>
          <w:noProof/>
          <w:szCs w:val="22"/>
        </w:rPr>
        <w:t>EXECUTIVE SUMMARY AND CONCLUSIONS</w:t>
      </w:r>
      <w:bookmarkEnd w:id="4"/>
      <w:bookmarkEnd w:id="5"/>
    </w:p>
    <w:p w:rsidR="008C2902" w:rsidRDefault="00AD2EC1">
      <w:pPr>
        <w:spacing w:after="120" w:line="240" w:lineRule="auto"/>
        <w:jc w:val="both"/>
        <w:rPr>
          <w:rFonts w:ascii="Verdana" w:hAnsi="Verdana"/>
          <w:noProof/>
          <w:sz w:val="20"/>
        </w:rPr>
      </w:pPr>
      <w:r>
        <w:rPr>
          <w:rFonts w:ascii="Verdana" w:hAnsi="Verdana"/>
          <w:noProof/>
          <w:sz w:val="20"/>
        </w:rPr>
        <w:t>President Juncker has strongly stressed the need to ensure the sound financial management of European Union (EU) programmes and insisted that all necessary measures be put in place to protect the EU budget. This Communication describes the functioning of the preventive and corrective mechanisms foreseen in the legislation and the actions taken by the Commission services to protect the EU budget from illegal or irregular expenditure. It also provides a best estimate of the figures resulting from their use and indicates how Member States are involved and impacted.</w:t>
      </w:r>
    </w:p>
    <w:p w:rsidR="008C2902" w:rsidRDefault="00AD2EC1">
      <w:pPr>
        <w:spacing w:after="120" w:line="240" w:lineRule="auto"/>
        <w:jc w:val="both"/>
        <w:rPr>
          <w:rFonts w:ascii="Verdana" w:hAnsi="Verdana"/>
          <w:noProof/>
          <w:sz w:val="20"/>
        </w:rPr>
      </w:pPr>
      <w:r>
        <w:rPr>
          <w:rFonts w:ascii="Verdana" w:hAnsi="Verdana"/>
          <w:noProof/>
          <w:sz w:val="20"/>
        </w:rPr>
        <w:t>This Communication is prepared annually following a specific request by the European Parliament in the context of the 2011 discharge procedure and is therefore addressed to this institution, as well as to the Council and to the European Court of Auditors (ECA). It complements the information included in the 2014 EU annual accounts, the 2014 Commission’s Synthesis Report, and the relevant parts of the Annual Activity Reports of the Directorates General concerned.</w:t>
      </w:r>
    </w:p>
    <w:p w:rsidR="008C2902" w:rsidRDefault="00AD2EC1">
      <w:pPr>
        <w:spacing w:after="120" w:line="240" w:lineRule="auto"/>
        <w:jc w:val="both"/>
        <w:rPr>
          <w:rFonts w:ascii="Verdana" w:hAnsi="Verdana"/>
          <w:noProof/>
          <w:sz w:val="20"/>
        </w:rPr>
      </w:pPr>
      <w:r>
        <w:rPr>
          <w:rFonts w:ascii="Verdana" w:hAnsi="Verdana"/>
          <w:noProof/>
          <w:sz w:val="20"/>
        </w:rPr>
        <w:t>The ECA provides in its annual report a statement of assurance on the legality and regularity of transactions underlying the EU annual accounts, as well as observations and statistics on the material level of error in the payments underlying the accounts. The importance of financial corrections and recoveries is particularly highlighted when considering their multi-annual character. This is duly reflected in the Annual Activity Reports which provide detailed information on both error rates and financial corrections and recoveries. A complementary assessment of both gives an indication of the final impact on the EU financial interests as regards irregular payments to beneficiaries and represents a key indicator for assessing how supervisory and control systems manage the risks relating to the legality and regularity of operations financed by the EU budget (see the 2014 Commission’s Synthesis Report).</w:t>
      </w:r>
    </w:p>
    <w:p w:rsidR="008C2902" w:rsidRDefault="00AD2EC1">
      <w:pPr>
        <w:spacing w:line="240" w:lineRule="auto"/>
        <w:jc w:val="both"/>
        <w:rPr>
          <w:rFonts w:ascii="Verdana" w:hAnsi="Verdana"/>
          <w:noProof/>
          <w:sz w:val="20"/>
        </w:rPr>
      </w:pPr>
      <w:r>
        <w:rPr>
          <w:rFonts w:ascii="Verdana" w:hAnsi="Verdana"/>
          <w:noProof/>
          <w:sz w:val="20"/>
        </w:rPr>
        <w:t>The significant work of both the Commission and the Member States to manage the risks relating to the legality and regularity of operations financed by the EU budget is performed in accordance with the Treaty on the Functioning of the European Union (TFEU)</w:t>
      </w:r>
      <w:r>
        <w:rPr>
          <w:rStyle w:val="FootnoteReference"/>
          <w:rFonts w:ascii="Verdana" w:hAnsi="Verdana"/>
          <w:noProof/>
          <w:sz w:val="20"/>
        </w:rPr>
        <w:footnoteReference w:id="1"/>
      </w:r>
      <w:r>
        <w:rPr>
          <w:rFonts w:ascii="Verdana" w:hAnsi="Verdana"/>
          <w:noProof/>
          <w:sz w:val="20"/>
        </w:rPr>
        <w:t>, the Financial Regulation</w:t>
      </w:r>
      <w:r>
        <w:rPr>
          <w:rStyle w:val="FootnoteReference"/>
          <w:rFonts w:ascii="Verdana" w:hAnsi="Verdana"/>
          <w:noProof/>
          <w:sz w:val="20"/>
        </w:rPr>
        <w:footnoteReference w:id="2"/>
      </w:r>
      <w:r>
        <w:rPr>
          <w:rFonts w:ascii="Verdana" w:hAnsi="Verdana"/>
          <w:noProof/>
          <w:sz w:val="20"/>
        </w:rPr>
        <w:t>, its Rules of Application</w:t>
      </w:r>
      <w:r>
        <w:rPr>
          <w:rStyle w:val="FootnoteReference"/>
          <w:rFonts w:ascii="Verdana" w:hAnsi="Verdana"/>
          <w:noProof/>
          <w:sz w:val="20"/>
        </w:rPr>
        <w:footnoteReference w:id="3"/>
      </w:r>
      <w:r>
        <w:rPr>
          <w:rFonts w:ascii="Verdana" w:hAnsi="Verdana"/>
          <w:noProof/>
          <w:sz w:val="20"/>
        </w:rPr>
        <w:t xml:space="preserve"> and the various sector-specific legal texts. The Commission protects the EU budget, i.e. EU spending, from undue or irregular expenditure via two main methods:</w:t>
      </w:r>
    </w:p>
    <w:p w:rsidR="008C2902" w:rsidRDefault="00AD2EC1">
      <w:pPr>
        <w:pStyle w:val="Text2"/>
        <w:numPr>
          <w:ilvl w:val="0"/>
          <w:numId w:val="34"/>
        </w:numPr>
        <w:tabs>
          <w:tab w:val="clear" w:pos="2160"/>
          <w:tab w:val="left" w:pos="851"/>
        </w:tabs>
        <w:spacing w:after="0"/>
        <w:ind w:left="851" w:hanging="494"/>
        <w:rPr>
          <w:rFonts w:ascii="Verdana" w:hAnsi="Verdana"/>
          <w:noProof/>
          <w:sz w:val="20"/>
        </w:rPr>
      </w:pPr>
      <w:r>
        <w:rPr>
          <w:rFonts w:ascii="Verdana" w:hAnsi="Verdana"/>
          <w:noProof/>
          <w:sz w:val="20"/>
        </w:rPr>
        <w:t xml:space="preserve">Preventive actions; and </w:t>
      </w:r>
    </w:p>
    <w:p w:rsidR="008C2902" w:rsidRDefault="00AD2EC1">
      <w:pPr>
        <w:pStyle w:val="Text2"/>
        <w:numPr>
          <w:ilvl w:val="0"/>
          <w:numId w:val="34"/>
        </w:numPr>
        <w:tabs>
          <w:tab w:val="clear" w:pos="2160"/>
          <w:tab w:val="left" w:pos="851"/>
        </w:tabs>
        <w:ind w:left="851" w:hanging="491"/>
        <w:rPr>
          <w:rFonts w:ascii="Verdana" w:hAnsi="Verdana"/>
          <w:noProof/>
          <w:sz w:val="20"/>
        </w:rPr>
      </w:pPr>
      <w:r>
        <w:rPr>
          <w:rFonts w:ascii="Verdana" w:hAnsi="Verdana"/>
          <w:noProof/>
          <w:sz w:val="20"/>
        </w:rPr>
        <w:t xml:space="preserve">Corrective mechanisms (primarily financial corrections imposed on Member States but also recoveries from recipients of EU payments). </w:t>
      </w:r>
    </w:p>
    <w:p w:rsidR="008C2902" w:rsidRDefault="00AD2EC1">
      <w:pPr>
        <w:pStyle w:val="Text2"/>
        <w:ind w:left="0"/>
        <w:rPr>
          <w:rFonts w:ascii="Verdana" w:hAnsi="Verdana"/>
          <w:noProof/>
          <w:sz w:val="20"/>
        </w:rPr>
      </w:pPr>
      <w:r>
        <w:rPr>
          <w:rFonts w:ascii="Verdana" w:hAnsi="Verdana"/>
          <w:noProof/>
          <w:sz w:val="20"/>
        </w:rPr>
        <w:t xml:space="preserve">The primary objective of financial corrections and recoveries is to ensure that EU funds are used in accordance with the legal framework i.e. they exclude from Union financing expenditure in breach of applicable law. Under shared management, Member States (and not the Commission) are primarily responsible for identifying and recovering from beneficiaries amounts unduly paid. Given the control framework, the complexity of the corrective mechanisms and procedures, as well as the multi-annual character of programmes, the results (i.e. financial corrections and recoveries) are generally </w:t>
      </w:r>
      <w:r>
        <w:rPr>
          <w:rFonts w:ascii="Verdana" w:hAnsi="Verdana"/>
          <w:noProof/>
          <w:sz w:val="20"/>
        </w:rPr>
        <w:lastRenderedPageBreak/>
        <w:t>implemented after the related weaknesses or irregularities are identified and payments are made.</w:t>
      </w:r>
    </w:p>
    <w:p w:rsidR="008C2902" w:rsidRDefault="00AD2EC1">
      <w:pPr>
        <w:pStyle w:val="Text2"/>
        <w:ind w:left="0"/>
        <w:rPr>
          <w:rFonts w:ascii="Verdana" w:hAnsi="Verdana"/>
          <w:noProof/>
          <w:sz w:val="20"/>
        </w:rPr>
      </w:pPr>
      <w:r>
        <w:rPr>
          <w:rFonts w:ascii="Verdana" w:hAnsi="Verdana"/>
          <w:noProof/>
          <w:sz w:val="20"/>
        </w:rPr>
        <w:t>In order to ensure the cost-effectiveness of control systems, one of the main work streams on which the services of the Commission will work during the mandate of the College is to rationalise and streamline controls and reallocate resources to controls deemed most appropriate for managing legality and regularity risks within the regulatory framework. For shared management, the main objective is to improve the effectiveness of Member States' control systems.</w:t>
      </w:r>
    </w:p>
    <w:p w:rsidR="008C2902" w:rsidRDefault="00AD2EC1">
      <w:pPr>
        <w:pStyle w:val="Text2"/>
        <w:ind w:left="0"/>
        <w:rPr>
          <w:rFonts w:ascii="Verdana" w:hAnsi="Verdana"/>
          <w:noProof/>
          <w:sz w:val="20"/>
        </w:rPr>
      </w:pPr>
      <w:r>
        <w:rPr>
          <w:rFonts w:ascii="Verdana" w:hAnsi="Verdana"/>
          <w:noProof/>
          <w:sz w:val="20"/>
        </w:rPr>
        <w:t>This Communication focuses primarily on the results of the Commission's supervisory role, but also provides information on Member States' controls.</w:t>
      </w:r>
    </w:p>
    <w:p w:rsidR="008C2902" w:rsidRDefault="008C2902">
      <w:pPr>
        <w:pStyle w:val="Text2"/>
        <w:ind w:left="0"/>
        <w:rPr>
          <w:rFonts w:ascii="Verdana" w:hAnsi="Verdana"/>
          <w:noProof/>
          <w:sz w:val="20"/>
        </w:rPr>
      </w:pPr>
    </w:p>
    <w:p w:rsidR="008C2902" w:rsidRDefault="00AD2EC1">
      <w:pPr>
        <w:spacing w:after="120" w:line="240" w:lineRule="auto"/>
        <w:jc w:val="both"/>
        <w:rPr>
          <w:rFonts w:ascii="Verdana" w:hAnsi="Verdana"/>
          <w:b/>
          <w:noProof/>
          <w:sz w:val="20"/>
        </w:rPr>
      </w:pPr>
      <w:r>
        <w:rPr>
          <w:rFonts w:ascii="Verdana" w:hAnsi="Verdana"/>
          <w:b/>
          <w:noProof/>
          <w:sz w:val="20"/>
        </w:rPr>
        <w:t>Financial corrections &amp; Recoveries: 2014 Results</w:t>
      </w:r>
    </w:p>
    <w:p w:rsidR="008C2902" w:rsidRDefault="00AD2EC1">
      <w:pPr>
        <w:spacing w:after="120" w:line="240" w:lineRule="auto"/>
        <w:jc w:val="both"/>
        <w:rPr>
          <w:rFonts w:ascii="Verdana" w:hAnsi="Verdana"/>
          <w:noProof/>
          <w:sz w:val="20"/>
        </w:rPr>
      </w:pPr>
      <w:r>
        <w:rPr>
          <w:rFonts w:ascii="Verdana" w:hAnsi="Verdana"/>
          <w:noProof/>
          <w:sz w:val="20"/>
        </w:rPr>
        <w:t>Regarding the impact of corrective measures taken by the Commission, the key figures for the financial year 2014 are as follows:</w:t>
      </w:r>
    </w:p>
    <w:p w:rsidR="008C2902" w:rsidRDefault="008C2902">
      <w:pPr>
        <w:spacing w:after="120" w:line="240" w:lineRule="auto"/>
        <w:jc w:val="both"/>
        <w:rPr>
          <w:rFonts w:ascii="Verdana" w:hAnsi="Verdana"/>
          <w:noProof/>
          <w:sz w:val="20"/>
        </w:rPr>
      </w:pPr>
    </w:p>
    <w:tbl>
      <w:tblPr>
        <w:tblW w:w="2506" w:type="pct"/>
        <w:jc w:val="center"/>
        <w:tblInd w:w="575" w:type="dxa"/>
        <w:tblLayout w:type="fixed"/>
        <w:tblLook w:val="04A0" w:firstRow="1" w:lastRow="0" w:firstColumn="1" w:lastColumn="0" w:noHBand="0" w:noVBand="1"/>
      </w:tblPr>
      <w:tblGrid>
        <w:gridCol w:w="999"/>
        <w:gridCol w:w="911"/>
        <w:gridCol w:w="212"/>
        <w:gridCol w:w="241"/>
        <w:gridCol w:w="911"/>
        <w:gridCol w:w="241"/>
        <w:gridCol w:w="1003"/>
        <w:gridCol w:w="208"/>
      </w:tblGrid>
      <w:tr w:rsidR="008C2902">
        <w:trPr>
          <w:trHeight w:val="135"/>
          <w:jc w:val="center"/>
        </w:trPr>
        <w:tc>
          <w:tcPr>
            <w:tcW w:w="1057" w:type="pct"/>
          </w:tcPr>
          <w:p w:rsidR="008C2902" w:rsidRDefault="008C2902">
            <w:pPr>
              <w:spacing w:after="0" w:line="240" w:lineRule="auto"/>
              <w:ind w:left="-227" w:right="84"/>
              <w:contextualSpacing/>
              <w:jc w:val="right"/>
              <w:rPr>
                <w:rFonts w:ascii="Verdana" w:eastAsia="Times New Roman" w:hAnsi="Verdana"/>
                <w:i/>
                <w:iCs/>
                <w:noProof/>
                <w:color w:val="000000"/>
                <w:sz w:val="12"/>
                <w:szCs w:val="12"/>
                <w:lang w:eastAsia="en-GB"/>
              </w:rPr>
            </w:pPr>
          </w:p>
        </w:tc>
        <w:tc>
          <w:tcPr>
            <w:tcW w:w="964" w:type="pct"/>
          </w:tcPr>
          <w:p w:rsidR="008C2902" w:rsidRDefault="008C2902">
            <w:pPr>
              <w:spacing w:after="0" w:line="240" w:lineRule="auto"/>
              <w:ind w:left="-227" w:right="84"/>
              <w:contextualSpacing/>
              <w:jc w:val="right"/>
              <w:rPr>
                <w:rFonts w:ascii="Verdana" w:eastAsia="Times New Roman" w:hAnsi="Verdana"/>
                <w:i/>
                <w:iCs/>
                <w:noProof/>
                <w:color w:val="000000"/>
                <w:sz w:val="12"/>
                <w:szCs w:val="12"/>
                <w:lang w:eastAsia="en-GB"/>
              </w:rPr>
            </w:pPr>
          </w:p>
        </w:tc>
        <w:tc>
          <w:tcPr>
            <w:tcW w:w="2979" w:type="pct"/>
            <w:gridSpan w:val="6"/>
            <w:shd w:val="clear" w:color="auto" w:fill="auto"/>
            <w:noWrap/>
            <w:vAlign w:val="bottom"/>
            <w:hideMark/>
          </w:tcPr>
          <w:p w:rsidR="008C2902" w:rsidRDefault="00AD2EC1">
            <w:pPr>
              <w:spacing w:after="0" w:line="240" w:lineRule="auto"/>
              <w:ind w:left="-227" w:right="84"/>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EUR millions</w:t>
            </w:r>
          </w:p>
        </w:tc>
      </w:tr>
      <w:tr w:rsidR="008C2902">
        <w:trPr>
          <w:gridAfter w:val="1"/>
          <w:wAfter w:w="220" w:type="pct"/>
          <w:trHeight w:val="1172"/>
          <w:jc w:val="center"/>
        </w:trPr>
        <w:tc>
          <w:tcPr>
            <w:tcW w:w="2245" w:type="pct"/>
            <w:gridSpan w:val="3"/>
            <w:shd w:val="clear" w:color="000000" w:fill="C6D9F1" w:themeFill="text2" w:themeFillTint="33"/>
            <w:noWrap/>
            <w:vAlign w:val="center"/>
            <w:hideMark/>
          </w:tcPr>
          <w:p w:rsidR="008C2902" w:rsidRDefault="00AD2EC1">
            <w:pPr>
              <w:spacing w:after="0" w:line="240" w:lineRule="auto"/>
              <w:contextualSpacing/>
              <w:rPr>
                <w:rFonts w:ascii="Verdana" w:eastAsia="Times New Roman" w:hAnsi="Verdana"/>
                <w:b/>
                <w:bCs/>
                <w:noProof/>
                <w:color w:val="000000"/>
                <w:sz w:val="16"/>
                <w:szCs w:val="16"/>
                <w:lang w:eastAsia="en-GB"/>
              </w:rPr>
            </w:pPr>
            <w:r>
              <w:rPr>
                <w:rFonts w:ascii="Verdana" w:eastAsia="Times New Roman" w:hAnsi="Verdana"/>
                <w:b/>
                <w:bCs/>
                <w:noProof/>
                <w:color w:val="000000"/>
                <w:sz w:val="12"/>
                <w:szCs w:val="16"/>
                <w:lang w:eastAsia="en-GB"/>
              </w:rPr>
              <w:t>Policy Areas</w:t>
            </w:r>
          </w:p>
        </w:tc>
        <w:tc>
          <w:tcPr>
            <w:tcW w:w="255" w:type="pct"/>
            <w:shd w:val="clear" w:color="auto" w:fill="auto"/>
          </w:tcPr>
          <w:p w:rsidR="008C2902" w:rsidRDefault="008C2902">
            <w:pPr>
              <w:spacing w:after="0" w:line="240" w:lineRule="auto"/>
              <w:contextualSpacing/>
              <w:jc w:val="center"/>
              <w:rPr>
                <w:rFonts w:ascii="Verdana" w:eastAsia="Times New Roman" w:hAnsi="Verdana"/>
                <w:b/>
                <w:bCs/>
                <w:noProof/>
                <w:color w:val="000000"/>
                <w:sz w:val="10"/>
                <w:szCs w:val="10"/>
                <w:lang w:eastAsia="en-GB"/>
              </w:rPr>
            </w:pPr>
          </w:p>
        </w:tc>
        <w:tc>
          <w:tcPr>
            <w:tcW w:w="964" w:type="pct"/>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 xml:space="preserve">Total financial corrections and recoveries </w:t>
            </w:r>
            <w:r>
              <w:rPr>
                <w:rFonts w:ascii="Verdana" w:eastAsia="Times New Roman" w:hAnsi="Verdana"/>
                <w:b/>
                <w:bCs/>
                <w:noProof/>
                <w:color w:val="000000"/>
                <w:sz w:val="10"/>
                <w:szCs w:val="10"/>
                <w:u w:val="single"/>
                <w:lang w:eastAsia="en-GB"/>
              </w:rPr>
              <w:t>confirmed</w:t>
            </w:r>
            <w:r>
              <w:rPr>
                <w:rFonts w:ascii="Verdana" w:eastAsia="Times New Roman" w:hAnsi="Verdana"/>
                <w:b/>
                <w:bCs/>
                <w:noProof/>
                <w:color w:val="000000"/>
                <w:sz w:val="10"/>
                <w:szCs w:val="10"/>
                <w:lang w:eastAsia="en-GB"/>
              </w:rPr>
              <w:t xml:space="preserve"> in 2014</w:t>
            </w:r>
          </w:p>
        </w:tc>
        <w:tc>
          <w:tcPr>
            <w:tcW w:w="255" w:type="pct"/>
            <w:shd w:val="clear" w:color="auto" w:fill="auto"/>
          </w:tcPr>
          <w:p w:rsidR="008C2902" w:rsidRDefault="008C2902">
            <w:pPr>
              <w:spacing w:after="0" w:line="240" w:lineRule="auto"/>
              <w:contextualSpacing/>
              <w:jc w:val="center"/>
              <w:rPr>
                <w:rFonts w:ascii="Verdana" w:eastAsia="Times New Roman" w:hAnsi="Verdana"/>
                <w:b/>
                <w:bCs/>
                <w:noProof/>
                <w:color w:val="000000"/>
                <w:sz w:val="10"/>
                <w:szCs w:val="10"/>
                <w:lang w:eastAsia="en-GB"/>
              </w:rPr>
            </w:pPr>
          </w:p>
        </w:tc>
        <w:tc>
          <w:tcPr>
            <w:tcW w:w="1061" w:type="pct"/>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Total financial corrections and recoveries i</w:t>
            </w:r>
            <w:r>
              <w:rPr>
                <w:rFonts w:ascii="Verdana" w:eastAsia="Times New Roman" w:hAnsi="Verdana"/>
                <w:b/>
                <w:bCs/>
                <w:noProof/>
                <w:color w:val="000000"/>
                <w:sz w:val="10"/>
                <w:szCs w:val="10"/>
                <w:u w:val="single"/>
                <w:lang w:eastAsia="en-GB"/>
              </w:rPr>
              <w:t>mplemented</w:t>
            </w:r>
            <w:r>
              <w:rPr>
                <w:rFonts w:ascii="Verdana" w:eastAsia="Times New Roman" w:hAnsi="Verdana"/>
                <w:b/>
                <w:bCs/>
                <w:noProof/>
                <w:color w:val="000000"/>
                <w:sz w:val="10"/>
                <w:szCs w:val="10"/>
                <w:lang w:eastAsia="en-GB"/>
              </w:rPr>
              <w:t xml:space="preserve"> in 2014</w:t>
            </w:r>
          </w:p>
        </w:tc>
      </w:tr>
      <w:tr w:rsidR="008C2902">
        <w:trPr>
          <w:gridAfter w:val="1"/>
          <w:wAfter w:w="220" w:type="pct"/>
          <w:trHeight w:hRule="exact" w:val="227"/>
          <w:jc w:val="center"/>
        </w:trPr>
        <w:tc>
          <w:tcPr>
            <w:tcW w:w="2245" w:type="pct"/>
            <w:gridSpan w:val="3"/>
            <w:shd w:val="clear" w:color="000000" w:fill="DBE5F1" w:themeFill="accent1" w:themeFillTint="33"/>
            <w:noWrap/>
            <w:vAlign w:val="center"/>
            <w:hideMark/>
          </w:tcPr>
          <w:p w:rsidR="008C2902" w:rsidRDefault="00AD2EC1">
            <w:pPr>
              <w:spacing w:after="0" w:line="240" w:lineRule="auto"/>
              <w:contextualSpacing/>
              <w:jc w:val="both"/>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Agriculture</w:t>
            </w:r>
          </w:p>
        </w:tc>
        <w:tc>
          <w:tcPr>
            <w:tcW w:w="255" w:type="pct"/>
            <w:shd w:val="clear" w:color="auto" w:fill="auto"/>
          </w:tcPr>
          <w:p w:rsidR="008C2902" w:rsidRDefault="008C2902">
            <w:pPr>
              <w:spacing w:after="0" w:line="240" w:lineRule="auto"/>
              <w:contextualSpacing/>
              <w:jc w:val="right"/>
              <w:rPr>
                <w:rFonts w:ascii="Verdana" w:eastAsia="Times New Roman" w:hAnsi="Verdana"/>
                <w:b/>
                <w:i/>
                <w:iCs/>
                <w:noProof/>
                <w:color w:val="000000"/>
                <w:sz w:val="12"/>
                <w:szCs w:val="12"/>
                <w:lang w:eastAsia="en-GB"/>
              </w:rPr>
            </w:pPr>
          </w:p>
        </w:tc>
        <w:tc>
          <w:tcPr>
            <w:tcW w:w="964" w:type="pct"/>
            <w:shd w:val="clear" w:color="000000" w:fill="DBE5F1" w:themeFill="accent1" w:themeFillTint="33"/>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2 247</w:t>
            </w:r>
          </w:p>
        </w:tc>
        <w:tc>
          <w:tcPr>
            <w:tcW w:w="255" w:type="pct"/>
            <w:shd w:val="clear" w:color="auto" w:fill="auto"/>
          </w:tcPr>
          <w:p w:rsidR="008C2902" w:rsidRDefault="008C2902">
            <w:pPr>
              <w:spacing w:after="0" w:line="240" w:lineRule="auto"/>
              <w:contextualSpacing/>
              <w:jc w:val="right"/>
              <w:rPr>
                <w:rFonts w:ascii="Verdana" w:eastAsia="Times New Roman" w:hAnsi="Verdana"/>
                <w:b/>
                <w:i/>
                <w:iCs/>
                <w:noProof/>
                <w:color w:val="000000"/>
                <w:sz w:val="12"/>
                <w:szCs w:val="12"/>
                <w:lang w:eastAsia="en-GB"/>
              </w:rPr>
            </w:pPr>
          </w:p>
        </w:tc>
        <w:tc>
          <w:tcPr>
            <w:tcW w:w="1061" w:type="pct"/>
            <w:shd w:val="clear" w:color="000000" w:fill="DBE5F1" w:themeFill="accent1" w:themeFillTint="33"/>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1 198</w:t>
            </w:r>
          </w:p>
        </w:tc>
      </w:tr>
      <w:tr w:rsidR="008C2902">
        <w:trPr>
          <w:gridAfter w:val="1"/>
          <w:wAfter w:w="220" w:type="pct"/>
          <w:trHeight w:hRule="exact" w:val="227"/>
          <w:jc w:val="center"/>
        </w:trPr>
        <w:tc>
          <w:tcPr>
            <w:tcW w:w="2245" w:type="pct"/>
            <w:gridSpan w:val="3"/>
            <w:shd w:val="clear" w:color="auto" w:fill="DBE5F1" w:themeFill="accent1" w:themeFillTint="33"/>
            <w:noWrap/>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EAGF</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DBE5F1" w:themeFill="accent1" w:themeFillTint="33"/>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1 862</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DBE5F1" w:themeFill="accent1" w:themeFillTint="33"/>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946</w:t>
            </w:r>
          </w:p>
        </w:tc>
      </w:tr>
      <w:tr w:rsidR="008C2902">
        <w:trPr>
          <w:gridAfter w:val="1"/>
          <w:wAfter w:w="220" w:type="pct"/>
          <w:trHeight w:hRule="exact" w:val="227"/>
          <w:jc w:val="center"/>
        </w:trPr>
        <w:tc>
          <w:tcPr>
            <w:tcW w:w="2245" w:type="pct"/>
            <w:gridSpan w:val="3"/>
            <w:shd w:val="clear" w:color="auto" w:fill="DBE5F1" w:themeFill="accent1" w:themeFillTint="33"/>
            <w:noWrap/>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Rural development</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DBE5F1" w:themeFill="accent1" w:themeFillTint="33"/>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385</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DBE5F1" w:themeFill="accent1" w:themeFillTint="33"/>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252</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hideMark/>
          </w:tcPr>
          <w:p w:rsidR="008C2902" w:rsidRDefault="00AD2EC1">
            <w:pPr>
              <w:spacing w:after="0" w:line="240" w:lineRule="auto"/>
              <w:contextualSpacing/>
              <w:jc w:val="both"/>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Cohesion Policy</w:t>
            </w:r>
          </w:p>
        </w:tc>
        <w:tc>
          <w:tcPr>
            <w:tcW w:w="255" w:type="pct"/>
            <w:shd w:val="clear" w:color="auto" w:fill="auto"/>
          </w:tcPr>
          <w:p w:rsidR="008C2902" w:rsidRDefault="008C2902">
            <w:pPr>
              <w:spacing w:after="0" w:line="240" w:lineRule="auto"/>
              <w:contextualSpacing/>
              <w:jc w:val="right"/>
              <w:rPr>
                <w:rFonts w:ascii="Verdana" w:eastAsia="Times New Roman" w:hAnsi="Verdana"/>
                <w:b/>
                <w:bCs/>
                <w:i/>
                <w:i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2 050</w:t>
            </w:r>
          </w:p>
        </w:tc>
        <w:tc>
          <w:tcPr>
            <w:tcW w:w="255" w:type="pct"/>
            <w:shd w:val="clear" w:color="auto" w:fill="auto"/>
          </w:tcPr>
          <w:p w:rsidR="008C2902" w:rsidRDefault="008C2902">
            <w:pPr>
              <w:spacing w:after="0" w:line="240" w:lineRule="auto"/>
              <w:contextualSpacing/>
              <w:jc w:val="right"/>
              <w:rPr>
                <w:rFonts w:ascii="Verdana" w:eastAsia="Times New Roman" w:hAnsi="Verdana"/>
                <w:b/>
                <w:bCs/>
                <w:i/>
                <w:i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1 694</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hideMark/>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ERDF</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1 330</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1 083</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hideMark/>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Cohesion Fund</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292</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236</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ESF</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343</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290</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FIFG/EFF</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67</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66</w:t>
            </w:r>
          </w:p>
        </w:tc>
      </w:tr>
      <w:tr w:rsidR="008C2902">
        <w:trPr>
          <w:gridAfter w:val="1"/>
          <w:wAfter w:w="220" w:type="pct"/>
          <w:trHeight w:hRule="exact" w:val="227"/>
          <w:jc w:val="center"/>
        </w:trPr>
        <w:tc>
          <w:tcPr>
            <w:tcW w:w="2245" w:type="pct"/>
            <w:gridSpan w:val="3"/>
            <w:shd w:val="clear" w:color="auto" w:fill="B8CCE4" w:themeFill="accent1" w:themeFillTint="66"/>
            <w:noWrap/>
            <w:vAlign w:val="center"/>
            <w:hideMark/>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EAGGF Guidance</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18</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B8CCE4" w:themeFill="accent1" w:themeFillTint="66"/>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19</w:t>
            </w:r>
          </w:p>
        </w:tc>
      </w:tr>
      <w:tr w:rsidR="008C2902">
        <w:trPr>
          <w:gridAfter w:val="1"/>
          <w:wAfter w:w="220" w:type="pct"/>
          <w:trHeight w:hRule="exact" w:val="227"/>
          <w:jc w:val="center"/>
        </w:trPr>
        <w:tc>
          <w:tcPr>
            <w:tcW w:w="2245" w:type="pct"/>
            <w:gridSpan w:val="3"/>
            <w:shd w:val="clear" w:color="000000" w:fill="95B3D7" w:themeFill="accent1" w:themeFillTint="99"/>
            <w:noWrap/>
            <w:vAlign w:val="center"/>
            <w:hideMark/>
          </w:tcPr>
          <w:p w:rsidR="008C2902" w:rsidRDefault="00AD2EC1">
            <w:pPr>
              <w:spacing w:after="0" w:line="240" w:lineRule="auto"/>
              <w:contextualSpacing/>
              <w:rPr>
                <w:rFonts w:ascii="Verdana" w:eastAsia="Times New Roman" w:hAnsi="Verdana"/>
                <w:b/>
                <w:bCs/>
                <w:iCs/>
                <w:noProof/>
                <w:color w:val="000000"/>
                <w:sz w:val="12"/>
                <w:szCs w:val="12"/>
                <w:lang w:eastAsia="en-GB"/>
              </w:rPr>
            </w:pPr>
            <w:r>
              <w:rPr>
                <w:rFonts w:ascii="Verdana" w:eastAsia="Times New Roman" w:hAnsi="Verdana"/>
                <w:b/>
                <w:bCs/>
                <w:iCs/>
                <w:noProof/>
                <w:color w:val="000000"/>
                <w:sz w:val="12"/>
                <w:szCs w:val="12"/>
                <w:lang w:eastAsia="en-GB"/>
              </w:rPr>
              <w:t>Shared management</w:t>
            </w:r>
          </w:p>
        </w:tc>
        <w:tc>
          <w:tcPr>
            <w:tcW w:w="255" w:type="pct"/>
            <w:shd w:val="clear" w:color="auto" w:fill="auto"/>
          </w:tcPr>
          <w:p w:rsidR="008C2902" w:rsidRDefault="008C2902">
            <w:pPr>
              <w:spacing w:after="0" w:line="240" w:lineRule="auto"/>
              <w:contextualSpacing/>
              <w:jc w:val="right"/>
              <w:rPr>
                <w:rFonts w:ascii="Verdana" w:eastAsia="Times New Roman" w:hAnsi="Verdana"/>
                <w:b/>
                <w:bCs/>
                <w:iCs/>
                <w:noProof/>
                <w:color w:val="000000"/>
                <w:sz w:val="12"/>
                <w:szCs w:val="12"/>
                <w:lang w:eastAsia="en-GB"/>
              </w:rPr>
            </w:pPr>
          </w:p>
        </w:tc>
        <w:tc>
          <w:tcPr>
            <w:tcW w:w="964" w:type="pct"/>
            <w:shd w:val="clear" w:color="000000" w:fill="95B3D7" w:themeFill="accent1" w:themeFillTint="99"/>
            <w:vAlign w:val="center"/>
          </w:tcPr>
          <w:p w:rsidR="008C2902" w:rsidRDefault="00AD2EC1">
            <w:pPr>
              <w:spacing w:after="0" w:line="240" w:lineRule="auto"/>
              <w:contextualSpacing/>
              <w:jc w:val="right"/>
              <w:rPr>
                <w:rFonts w:ascii="Verdana" w:eastAsia="Times New Roman" w:hAnsi="Verdana"/>
                <w:b/>
                <w:bCs/>
                <w:iCs/>
                <w:noProof/>
                <w:color w:val="000000"/>
                <w:sz w:val="12"/>
                <w:szCs w:val="12"/>
                <w:lang w:eastAsia="en-GB"/>
              </w:rPr>
            </w:pPr>
            <w:r>
              <w:rPr>
                <w:rFonts w:ascii="Verdana" w:eastAsia="Times New Roman" w:hAnsi="Verdana"/>
                <w:b/>
                <w:bCs/>
                <w:iCs/>
                <w:noProof/>
                <w:color w:val="000000"/>
                <w:sz w:val="12"/>
                <w:szCs w:val="12"/>
                <w:lang w:eastAsia="en-GB"/>
              </w:rPr>
              <w:t>4 297</w:t>
            </w:r>
          </w:p>
        </w:tc>
        <w:tc>
          <w:tcPr>
            <w:tcW w:w="255" w:type="pct"/>
            <w:shd w:val="clear" w:color="auto" w:fill="auto"/>
          </w:tcPr>
          <w:p w:rsidR="008C2902" w:rsidRDefault="008C2902">
            <w:pPr>
              <w:spacing w:after="0" w:line="240" w:lineRule="auto"/>
              <w:contextualSpacing/>
              <w:jc w:val="right"/>
              <w:rPr>
                <w:rFonts w:ascii="Verdana" w:eastAsia="Times New Roman" w:hAnsi="Verdana"/>
                <w:b/>
                <w:bCs/>
                <w:iCs/>
                <w:noProof/>
                <w:color w:val="000000"/>
                <w:sz w:val="12"/>
                <w:szCs w:val="12"/>
                <w:lang w:eastAsia="en-GB"/>
              </w:rPr>
            </w:pPr>
          </w:p>
        </w:tc>
        <w:tc>
          <w:tcPr>
            <w:tcW w:w="1061" w:type="pct"/>
            <w:shd w:val="clear" w:color="000000" w:fill="95B3D7" w:themeFill="accent1" w:themeFillTint="99"/>
            <w:vAlign w:val="center"/>
          </w:tcPr>
          <w:p w:rsidR="008C2902" w:rsidRDefault="00AD2EC1">
            <w:pPr>
              <w:spacing w:after="0" w:line="240" w:lineRule="auto"/>
              <w:contextualSpacing/>
              <w:jc w:val="right"/>
              <w:rPr>
                <w:rFonts w:ascii="Verdana" w:eastAsia="Times New Roman" w:hAnsi="Verdana"/>
                <w:b/>
                <w:bCs/>
                <w:iCs/>
                <w:noProof/>
                <w:color w:val="000000"/>
                <w:sz w:val="12"/>
                <w:szCs w:val="12"/>
                <w:lang w:eastAsia="en-GB"/>
              </w:rPr>
            </w:pPr>
            <w:r>
              <w:rPr>
                <w:rFonts w:ascii="Verdana" w:eastAsia="Times New Roman" w:hAnsi="Verdana"/>
                <w:b/>
                <w:bCs/>
                <w:iCs/>
                <w:noProof/>
                <w:color w:val="000000"/>
                <w:sz w:val="12"/>
                <w:szCs w:val="12"/>
                <w:lang w:eastAsia="en-GB"/>
              </w:rPr>
              <w:t>2 892</w:t>
            </w:r>
          </w:p>
        </w:tc>
      </w:tr>
      <w:tr w:rsidR="008C2902">
        <w:trPr>
          <w:gridAfter w:val="1"/>
          <w:wAfter w:w="220" w:type="pct"/>
          <w:trHeight w:hRule="exact" w:val="227"/>
          <w:jc w:val="center"/>
        </w:trPr>
        <w:tc>
          <w:tcPr>
            <w:tcW w:w="2245" w:type="pct"/>
            <w:gridSpan w:val="3"/>
            <w:shd w:val="clear" w:color="auto" w:fill="95B3D7" w:themeFill="accent1" w:themeFillTint="99"/>
            <w:noWrap/>
            <w:vAlign w:val="center"/>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Internal policies</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297</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279</w:t>
            </w:r>
          </w:p>
        </w:tc>
      </w:tr>
      <w:tr w:rsidR="008C2902">
        <w:trPr>
          <w:gridAfter w:val="1"/>
          <w:wAfter w:w="220" w:type="pct"/>
          <w:trHeight w:hRule="exact" w:val="227"/>
          <w:jc w:val="center"/>
        </w:trPr>
        <w:tc>
          <w:tcPr>
            <w:tcW w:w="2245" w:type="pct"/>
            <w:gridSpan w:val="3"/>
            <w:shd w:val="clear" w:color="auto" w:fill="95B3D7" w:themeFill="accent1" w:themeFillTint="99"/>
            <w:noWrap/>
            <w:vAlign w:val="center"/>
            <w:hideMark/>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External policies</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127</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108</w:t>
            </w:r>
          </w:p>
        </w:tc>
      </w:tr>
      <w:tr w:rsidR="008C2902">
        <w:trPr>
          <w:gridAfter w:val="1"/>
          <w:wAfter w:w="220" w:type="pct"/>
          <w:trHeight w:hRule="exact" w:val="227"/>
          <w:jc w:val="center"/>
        </w:trPr>
        <w:tc>
          <w:tcPr>
            <w:tcW w:w="2245" w:type="pct"/>
            <w:gridSpan w:val="3"/>
            <w:shd w:val="clear" w:color="auto" w:fill="95B3D7" w:themeFill="accent1" w:themeFillTint="99"/>
            <w:noWrap/>
            <w:vAlign w:val="center"/>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Administration</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964"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c>
          <w:tcPr>
            <w:tcW w:w="255" w:type="pct"/>
            <w:shd w:val="clear" w:color="auto" w:fill="auto"/>
          </w:tcPr>
          <w:p w:rsidR="008C2902" w:rsidRDefault="008C2902">
            <w:pPr>
              <w:spacing w:after="0" w:line="240" w:lineRule="auto"/>
              <w:contextualSpacing/>
              <w:jc w:val="right"/>
              <w:rPr>
                <w:rFonts w:ascii="Verdana" w:eastAsia="Times New Roman" w:hAnsi="Verdana"/>
                <w:bCs/>
                <w:noProof/>
                <w:color w:val="000000"/>
                <w:sz w:val="12"/>
                <w:szCs w:val="12"/>
                <w:lang w:eastAsia="en-GB"/>
              </w:rPr>
            </w:pPr>
          </w:p>
        </w:tc>
        <w:tc>
          <w:tcPr>
            <w:tcW w:w="1061" w:type="pct"/>
            <w:shd w:val="clear" w:color="auto" w:fill="95B3D7" w:themeFill="accent1" w:themeFillTint="99"/>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r>
      <w:tr w:rsidR="008C2902">
        <w:trPr>
          <w:gridAfter w:val="1"/>
          <w:wAfter w:w="220" w:type="pct"/>
          <w:trHeight w:val="336"/>
          <w:jc w:val="center"/>
        </w:trPr>
        <w:tc>
          <w:tcPr>
            <w:tcW w:w="2245" w:type="pct"/>
            <w:gridSpan w:val="3"/>
            <w:shd w:val="clear" w:color="000000" w:fill="D9D9D9"/>
            <w:noWrap/>
            <w:vAlign w:val="center"/>
            <w:hideMark/>
          </w:tcPr>
          <w:p w:rsidR="008C2902" w:rsidRDefault="00AD2EC1">
            <w:pPr>
              <w:spacing w:after="0" w:line="240" w:lineRule="auto"/>
              <w:contextualSpacing/>
              <w:jc w:val="both"/>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TOTAL</w:t>
            </w:r>
          </w:p>
        </w:tc>
        <w:tc>
          <w:tcPr>
            <w:tcW w:w="255" w:type="pct"/>
            <w:shd w:val="clear" w:color="auto" w:fill="auto"/>
          </w:tcPr>
          <w:p w:rsidR="008C2902" w:rsidRDefault="008C2902">
            <w:pPr>
              <w:spacing w:after="0" w:line="240" w:lineRule="auto"/>
              <w:contextualSpacing/>
              <w:jc w:val="right"/>
              <w:rPr>
                <w:rFonts w:ascii="Verdana" w:eastAsia="Times New Roman" w:hAnsi="Verdana"/>
                <w:b/>
                <w:bCs/>
                <w:noProof/>
                <w:color w:val="000000"/>
                <w:sz w:val="12"/>
                <w:szCs w:val="12"/>
                <w:lang w:eastAsia="en-GB"/>
              </w:rPr>
            </w:pPr>
          </w:p>
        </w:tc>
        <w:tc>
          <w:tcPr>
            <w:tcW w:w="964" w:type="pct"/>
            <w:shd w:val="clear" w:color="000000" w:fill="D9D9D9"/>
            <w:noWrap/>
            <w:vAlign w:val="center"/>
          </w:tcPr>
          <w:p w:rsidR="008C2902" w:rsidRDefault="00AD2EC1">
            <w:pPr>
              <w:spacing w:after="0" w:line="240" w:lineRule="auto"/>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4 728</w:t>
            </w:r>
          </w:p>
        </w:tc>
        <w:tc>
          <w:tcPr>
            <w:tcW w:w="255" w:type="pct"/>
            <w:shd w:val="clear" w:color="auto" w:fill="auto"/>
          </w:tcPr>
          <w:p w:rsidR="008C2902" w:rsidRDefault="008C2902">
            <w:pPr>
              <w:spacing w:after="0" w:line="240" w:lineRule="auto"/>
              <w:contextualSpacing/>
              <w:jc w:val="right"/>
              <w:rPr>
                <w:rFonts w:ascii="Verdana" w:eastAsia="Times New Roman" w:hAnsi="Verdana"/>
                <w:b/>
                <w:bCs/>
                <w:noProof/>
                <w:color w:val="000000"/>
                <w:sz w:val="12"/>
                <w:szCs w:val="12"/>
                <w:lang w:eastAsia="en-GB"/>
              </w:rPr>
            </w:pPr>
          </w:p>
        </w:tc>
        <w:tc>
          <w:tcPr>
            <w:tcW w:w="1061" w:type="pct"/>
            <w:shd w:val="clear" w:color="000000" w:fill="D9D9D9"/>
            <w:noWrap/>
            <w:vAlign w:val="center"/>
          </w:tcPr>
          <w:p w:rsidR="008C2902" w:rsidRDefault="00AD2EC1">
            <w:pPr>
              <w:spacing w:after="0" w:line="240" w:lineRule="auto"/>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3 285</w:t>
            </w:r>
          </w:p>
        </w:tc>
      </w:tr>
    </w:tbl>
    <w:p w:rsidR="008C2902" w:rsidRDefault="008C2902">
      <w:pPr>
        <w:spacing w:after="120" w:line="240" w:lineRule="auto"/>
        <w:jc w:val="both"/>
        <w:rPr>
          <w:rFonts w:ascii="Verdana" w:hAnsi="Verdana"/>
          <w:noProof/>
          <w:sz w:val="20"/>
        </w:rPr>
      </w:pPr>
    </w:p>
    <w:p w:rsidR="008C2902" w:rsidRDefault="00AD2EC1">
      <w:pPr>
        <w:spacing w:after="120" w:line="240" w:lineRule="auto"/>
        <w:jc w:val="both"/>
        <w:rPr>
          <w:rFonts w:ascii="Verdana" w:hAnsi="Verdana"/>
          <w:noProof/>
          <w:sz w:val="20"/>
        </w:rPr>
      </w:pPr>
      <w:r>
        <w:rPr>
          <w:rFonts w:ascii="Verdana" w:hAnsi="Verdana"/>
          <w:noProof/>
          <w:sz w:val="20"/>
        </w:rPr>
        <w:t xml:space="preserve">Financial corrections confirmed and implemented represent </w:t>
      </w:r>
      <w:r>
        <w:rPr>
          <w:rFonts w:ascii="Verdana" w:hAnsi="Verdana"/>
          <w:b/>
          <w:noProof/>
          <w:sz w:val="20"/>
        </w:rPr>
        <w:t>3.3 % (confirmed)</w:t>
      </w:r>
      <w:r>
        <w:rPr>
          <w:rFonts w:ascii="Verdana" w:hAnsi="Verdana"/>
          <w:noProof/>
          <w:sz w:val="20"/>
        </w:rPr>
        <w:t xml:space="preserve"> and </w:t>
      </w:r>
      <w:r>
        <w:rPr>
          <w:rFonts w:ascii="Verdana" w:hAnsi="Verdana"/>
          <w:b/>
          <w:noProof/>
          <w:sz w:val="20"/>
        </w:rPr>
        <w:t>2.3 % (implemented) of budgetary payments in 2014</w:t>
      </w:r>
      <w:r>
        <w:rPr>
          <w:rFonts w:ascii="Verdana" w:hAnsi="Verdana"/>
          <w:noProof/>
          <w:sz w:val="20"/>
        </w:rPr>
        <w:t>.</w:t>
      </w:r>
    </w:p>
    <w:p w:rsidR="008C2902" w:rsidRDefault="008C2902">
      <w:pPr>
        <w:spacing w:after="120" w:line="240" w:lineRule="auto"/>
        <w:jc w:val="both"/>
        <w:rPr>
          <w:rFonts w:ascii="Verdana" w:hAnsi="Verdana"/>
          <w:noProof/>
          <w:sz w:val="20"/>
        </w:rPr>
      </w:pPr>
    </w:p>
    <w:p w:rsidR="008C2902" w:rsidRDefault="00AD2EC1">
      <w:pPr>
        <w:spacing w:after="0" w:line="240" w:lineRule="auto"/>
        <w:rPr>
          <w:rFonts w:ascii="Verdana" w:hAnsi="Verdana"/>
          <w:b/>
          <w:noProof/>
          <w:sz w:val="20"/>
        </w:rPr>
      </w:pPr>
      <w:r>
        <w:rPr>
          <w:rFonts w:ascii="Verdana" w:hAnsi="Verdana"/>
          <w:b/>
          <w:noProof/>
          <w:sz w:val="20"/>
        </w:rPr>
        <w:br w:type="page"/>
      </w:r>
    </w:p>
    <w:p w:rsidR="008C2902" w:rsidRDefault="008C2902">
      <w:pPr>
        <w:spacing w:after="0" w:line="240" w:lineRule="auto"/>
        <w:jc w:val="both"/>
        <w:rPr>
          <w:rFonts w:ascii="Verdana" w:hAnsi="Verdana"/>
          <w:b/>
          <w:noProof/>
          <w:sz w:val="20"/>
        </w:rPr>
      </w:pPr>
    </w:p>
    <w:p w:rsidR="008C2902" w:rsidRDefault="00AD2EC1">
      <w:pPr>
        <w:spacing w:after="120" w:line="240" w:lineRule="auto"/>
        <w:jc w:val="both"/>
        <w:rPr>
          <w:rFonts w:ascii="Verdana" w:hAnsi="Verdana"/>
          <w:b/>
          <w:noProof/>
          <w:sz w:val="20"/>
        </w:rPr>
      </w:pPr>
      <w:r>
        <w:rPr>
          <w:rFonts w:ascii="Verdana" w:hAnsi="Verdana"/>
          <w:b/>
          <w:noProof/>
          <w:sz w:val="20"/>
        </w:rPr>
        <w:t>Financial corrections &amp; Recoveries: Cumulative Results</w:t>
      </w:r>
    </w:p>
    <w:p w:rsidR="008C2902" w:rsidRDefault="00AD2EC1">
      <w:pPr>
        <w:spacing w:after="120" w:line="240" w:lineRule="auto"/>
        <w:jc w:val="both"/>
        <w:rPr>
          <w:rFonts w:ascii="Verdana" w:hAnsi="Verdana"/>
          <w:noProof/>
          <w:sz w:val="20"/>
        </w:rPr>
      </w:pPr>
      <w:r>
        <w:rPr>
          <w:rFonts w:ascii="Verdana" w:hAnsi="Verdana"/>
          <w:noProof/>
          <w:sz w:val="20"/>
        </w:rPr>
        <w:t>Cumulative figures provide more useful information on the significance of corrective mechanisms used by the Commission because they take into account the multi-annual character of most EU spending and neutralise the impact of one-off events.</w:t>
      </w:r>
    </w:p>
    <w:p w:rsidR="008C2902" w:rsidRDefault="00AD2EC1">
      <w:pPr>
        <w:spacing w:after="120" w:line="240" w:lineRule="auto"/>
        <w:jc w:val="both"/>
        <w:rPr>
          <w:rFonts w:ascii="Verdana" w:hAnsi="Verdana"/>
          <w:i/>
          <w:noProof/>
          <w:sz w:val="20"/>
        </w:rPr>
      </w:pPr>
      <w:r>
        <w:rPr>
          <w:rFonts w:ascii="Verdana" w:hAnsi="Verdana"/>
          <w:i/>
          <w:noProof/>
          <w:sz w:val="20"/>
        </w:rPr>
        <w:t>Financial corrections and recoveries confirmed 2009-2014 (EUR millions):</w:t>
      </w:r>
    </w:p>
    <w:p w:rsidR="008C2902" w:rsidRDefault="00AD2EC1">
      <w:pPr>
        <w:spacing w:after="120" w:line="240" w:lineRule="auto"/>
        <w:jc w:val="center"/>
        <w:rPr>
          <w:rFonts w:ascii="Verdana" w:hAnsi="Verdana"/>
          <w:noProof/>
          <w:sz w:val="20"/>
        </w:rPr>
      </w:pPr>
      <w:r>
        <w:rPr>
          <w:noProof/>
          <w:lang w:eastAsia="en-GB"/>
        </w:rPr>
        <w:drawing>
          <wp:inline distT="0" distB="0" distL="0" distR="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2902" w:rsidRDefault="008C2902">
      <w:pPr>
        <w:spacing w:after="120" w:line="240" w:lineRule="auto"/>
        <w:jc w:val="both"/>
        <w:rPr>
          <w:rFonts w:ascii="Verdana" w:hAnsi="Verdana"/>
          <w:noProof/>
          <w:sz w:val="20"/>
        </w:rPr>
      </w:pPr>
    </w:p>
    <w:p w:rsidR="008C2902" w:rsidRDefault="00AD2EC1">
      <w:pPr>
        <w:numPr>
          <w:ilvl w:val="0"/>
          <w:numId w:val="38"/>
        </w:numPr>
        <w:spacing w:after="60" w:line="240" w:lineRule="auto"/>
        <w:ind w:left="426" w:hanging="426"/>
        <w:jc w:val="both"/>
        <w:rPr>
          <w:rFonts w:ascii="Verdana" w:hAnsi="Verdana"/>
          <w:noProof/>
          <w:sz w:val="20"/>
        </w:rPr>
      </w:pPr>
      <w:r>
        <w:rPr>
          <w:rFonts w:ascii="Verdana" w:hAnsi="Verdana"/>
          <w:noProof/>
          <w:sz w:val="20"/>
        </w:rPr>
        <w:t>During the</w:t>
      </w:r>
      <w:r>
        <w:rPr>
          <w:rFonts w:ascii="Verdana" w:hAnsi="Verdana"/>
          <w:b/>
          <w:noProof/>
          <w:sz w:val="20"/>
        </w:rPr>
        <w:t xml:space="preserve"> period 2009-2014</w:t>
      </w:r>
      <w:r>
        <w:rPr>
          <w:rFonts w:ascii="Verdana" w:hAnsi="Verdana"/>
          <w:noProof/>
          <w:sz w:val="20"/>
        </w:rPr>
        <w:t xml:space="preserve"> the amounts confirmed show an </w:t>
      </w:r>
      <w:r>
        <w:rPr>
          <w:rFonts w:ascii="Verdana" w:hAnsi="Verdana"/>
          <w:b/>
          <w:noProof/>
          <w:sz w:val="20"/>
        </w:rPr>
        <w:t>increasing trend</w:t>
      </w:r>
      <w:r>
        <w:rPr>
          <w:rFonts w:ascii="Verdana" w:hAnsi="Verdana"/>
          <w:noProof/>
          <w:sz w:val="20"/>
        </w:rPr>
        <w:t xml:space="preserve">. The </w:t>
      </w:r>
      <w:r>
        <w:rPr>
          <w:rFonts w:ascii="Verdana" w:hAnsi="Verdana"/>
          <w:b/>
          <w:noProof/>
          <w:sz w:val="20"/>
        </w:rPr>
        <w:t xml:space="preserve">average amount confirmed </w:t>
      </w:r>
      <w:r>
        <w:rPr>
          <w:rFonts w:ascii="Verdana" w:hAnsi="Verdana"/>
          <w:noProof/>
          <w:sz w:val="20"/>
        </w:rPr>
        <w:t>was EUR 3.2 billion or</w:t>
      </w:r>
      <w:r>
        <w:rPr>
          <w:rFonts w:ascii="Verdana" w:hAnsi="Verdana"/>
          <w:b/>
          <w:noProof/>
          <w:sz w:val="20"/>
        </w:rPr>
        <w:t xml:space="preserve"> 2.4 % of the average amount of payments </w:t>
      </w:r>
      <w:r>
        <w:rPr>
          <w:rFonts w:ascii="Verdana" w:hAnsi="Verdana"/>
          <w:noProof/>
          <w:sz w:val="20"/>
        </w:rPr>
        <w:t xml:space="preserve">made from the EU budget, while the </w:t>
      </w:r>
      <w:r>
        <w:rPr>
          <w:rFonts w:ascii="Verdana" w:hAnsi="Verdana"/>
          <w:b/>
          <w:noProof/>
          <w:sz w:val="20"/>
        </w:rPr>
        <w:t>average amount implemented</w:t>
      </w:r>
      <w:r>
        <w:rPr>
          <w:rFonts w:ascii="Verdana" w:hAnsi="Verdana"/>
          <w:noProof/>
          <w:sz w:val="20"/>
        </w:rPr>
        <w:t xml:space="preserve"> in this period was EUR 2.8 billion or </w:t>
      </w:r>
      <w:r>
        <w:rPr>
          <w:rFonts w:ascii="Verdana" w:hAnsi="Verdana"/>
          <w:b/>
          <w:noProof/>
          <w:sz w:val="20"/>
        </w:rPr>
        <w:t>2.1 % of payments</w:t>
      </w:r>
      <w:r>
        <w:rPr>
          <w:rFonts w:ascii="Verdana" w:hAnsi="Verdana"/>
          <w:noProof/>
          <w:sz w:val="20"/>
        </w:rPr>
        <w:t xml:space="preserve"> - see graph 4.1;</w:t>
      </w:r>
    </w:p>
    <w:p w:rsidR="008C2902" w:rsidRDefault="00AD2EC1">
      <w:pPr>
        <w:numPr>
          <w:ilvl w:val="0"/>
          <w:numId w:val="38"/>
        </w:numPr>
        <w:spacing w:after="60" w:line="240" w:lineRule="auto"/>
        <w:ind w:left="426" w:hanging="426"/>
        <w:jc w:val="both"/>
        <w:rPr>
          <w:rFonts w:ascii="Verdana" w:hAnsi="Verdana"/>
          <w:noProof/>
          <w:sz w:val="20"/>
        </w:rPr>
      </w:pPr>
      <w:r>
        <w:rPr>
          <w:rFonts w:ascii="Verdana" w:hAnsi="Verdana"/>
          <w:noProof/>
          <w:sz w:val="20"/>
        </w:rPr>
        <w:t xml:space="preserve">For </w:t>
      </w:r>
      <w:r>
        <w:rPr>
          <w:rFonts w:ascii="Verdana" w:hAnsi="Verdana"/>
          <w:b/>
          <w:noProof/>
          <w:sz w:val="20"/>
        </w:rPr>
        <w:t xml:space="preserve">EAGF, </w:t>
      </w:r>
      <w:r>
        <w:rPr>
          <w:rFonts w:ascii="Verdana" w:hAnsi="Verdana"/>
          <w:noProof/>
          <w:sz w:val="20"/>
        </w:rPr>
        <w:t xml:space="preserve">the average correction rate for Commission financial corrections for the </w:t>
      </w:r>
      <w:r>
        <w:rPr>
          <w:rFonts w:ascii="Verdana" w:hAnsi="Verdana"/>
          <w:b/>
          <w:noProof/>
          <w:sz w:val="20"/>
        </w:rPr>
        <w:t>period 1999 to end 2014</w:t>
      </w:r>
      <w:r>
        <w:rPr>
          <w:rFonts w:ascii="Verdana" w:hAnsi="Verdana"/>
          <w:noProof/>
          <w:sz w:val="20"/>
        </w:rPr>
        <w:t xml:space="preserve"> was </w:t>
      </w:r>
      <w:r>
        <w:rPr>
          <w:rFonts w:ascii="Verdana" w:hAnsi="Verdana"/>
          <w:b/>
          <w:noProof/>
          <w:sz w:val="20"/>
        </w:rPr>
        <w:t>1.7 % of expenditure</w:t>
      </w:r>
      <w:r>
        <w:rPr>
          <w:rFonts w:ascii="Verdana" w:hAnsi="Verdana"/>
          <w:noProof/>
          <w:sz w:val="20"/>
        </w:rPr>
        <w:t xml:space="preserve"> (all of which are net financial corrections) - see section 4.2.2;</w:t>
      </w:r>
    </w:p>
    <w:p w:rsidR="008C2902" w:rsidRDefault="00AD2EC1">
      <w:pPr>
        <w:numPr>
          <w:ilvl w:val="0"/>
          <w:numId w:val="38"/>
        </w:numPr>
        <w:spacing w:after="120" w:line="240" w:lineRule="auto"/>
        <w:ind w:left="426" w:hanging="426"/>
        <w:jc w:val="both"/>
        <w:rPr>
          <w:rFonts w:ascii="Verdana" w:hAnsi="Verdana"/>
          <w:noProof/>
          <w:sz w:val="20"/>
        </w:rPr>
      </w:pPr>
      <w:r>
        <w:rPr>
          <w:rFonts w:ascii="Verdana" w:hAnsi="Verdana"/>
          <w:noProof/>
          <w:sz w:val="20"/>
        </w:rPr>
        <w:t xml:space="preserve">For </w:t>
      </w:r>
      <w:r>
        <w:rPr>
          <w:rFonts w:ascii="Verdana" w:hAnsi="Verdana"/>
          <w:b/>
          <w:noProof/>
          <w:sz w:val="20"/>
        </w:rPr>
        <w:t>ERDF and ESF 2000-2006 funds</w:t>
      </w:r>
      <w:r>
        <w:rPr>
          <w:rFonts w:ascii="Verdana" w:hAnsi="Verdana"/>
          <w:noProof/>
          <w:sz w:val="20"/>
        </w:rPr>
        <w:t xml:space="preserve"> (where the closure is almost complete), </w:t>
      </w:r>
      <w:r>
        <w:rPr>
          <w:rFonts w:ascii="Verdana" w:hAnsi="Verdana" w:cs="Calibri,Bold"/>
          <w:bCs/>
          <w:noProof/>
          <w:sz w:val="20"/>
          <w:lang w:eastAsia="en-GB"/>
        </w:rPr>
        <w:t>at the end of 2014 the combined rate of financial corrections, based on Commission supervision work only, was</w:t>
      </w:r>
      <w:r>
        <w:rPr>
          <w:rFonts w:ascii="Verdana" w:hAnsi="Verdana" w:cs="Calibri,Bold"/>
          <w:b/>
          <w:bCs/>
          <w:noProof/>
          <w:sz w:val="20"/>
          <w:lang w:eastAsia="en-GB"/>
        </w:rPr>
        <w:t xml:space="preserve"> </w:t>
      </w:r>
      <w:r>
        <w:rPr>
          <w:rFonts w:ascii="Verdana" w:hAnsi="Verdana"/>
          <w:b/>
          <w:noProof/>
          <w:sz w:val="20"/>
        </w:rPr>
        <w:t>4.1 </w:t>
      </w:r>
      <w:r>
        <w:rPr>
          <w:rFonts w:ascii="Verdana" w:hAnsi="Verdana" w:cs="Calibri,Bold"/>
          <w:b/>
          <w:bCs/>
          <w:noProof/>
          <w:sz w:val="20"/>
          <w:lang w:eastAsia="en-GB"/>
        </w:rPr>
        <w:t>% of the allocations made</w:t>
      </w:r>
      <w:r>
        <w:rPr>
          <w:rFonts w:ascii="Verdana" w:hAnsi="Verdana" w:cs="Calibri,Bold"/>
          <w:bCs/>
          <w:noProof/>
          <w:sz w:val="20"/>
          <w:lang w:eastAsia="en-GB"/>
        </w:rPr>
        <w:t xml:space="preserve"> - see section 4.2.3;</w:t>
      </w:r>
    </w:p>
    <w:p w:rsidR="008C2902" w:rsidRDefault="00AD2EC1">
      <w:pPr>
        <w:numPr>
          <w:ilvl w:val="0"/>
          <w:numId w:val="38"/>
        </w:numPr>
        <w:spacing w:after="120" w:line="240" w:lineRule="auto"/>
        <w:ind w:left="426" w:hanging="426"/>
        <w:jc w:val="both"/>
        <w:rPr>
          <w:rFonts w:ascii="Verdana" w:hAnsi="Verdana"/>
          <w:noProof/>
          <w:sz w:val="20"/>
        </w:rPr>
      </w:pPr>
      <w:r>
        <w:rPr>
          <w:rFonts w:ascii="Verdana" w:hAnsi="Verdana" w:cs="Calibri,Bold"/>
          <w:bCs/>
          <w:noProof/>
          <w:sz w:val="20"/>
          <w:lang w:eastAsia="en-GB"/>
        </w:rPr>
        <w:t xml:space="preserve">The average amount confirmed of under direct and indirect management for the </w:t>
      </w:r>
      <w:r>
        <w:rPr>
          <w:rFonts w:ascii="Verdana" w:hAnsi="Verdana" w:cs="Calibri,Bold"/>
          <w:b/>
          <w:bCs/>
          <w:noProof/>
          <w:sz w:val="20"/>
          <w:lang w:eastAsia="en-GB"/>
        </w:rPr>
        <w:t>period 2009-2014</w:t>
      </w:r>
      <w:r>
        <w:rPr>
          <w:rFonts w:ascii="Verdana" w:hAnsi="Verdana" w:cs="Calibri,Bold"/>
          <w:bCs/>
          <w:noProof/>
          <w:sz w:val="20"/>
          <w:lang w:eastAsia="en-GB"/>
        </w:rPr>
        <w:t xml:space="preserve"> was EUR 366 million or </w:t>
      </w:r>
      <w:r>
        <w:rPr>
          <w:rFonts w:ascii="Verdana" w:hAnsi="Verdana" w:cs="Calibri,Bold"/>
          <w:b/>
          <w:bCs/>
          <w:noProof/>
          <w:sz w:val="20"/>
          <w:lang w:eastAsia="en-GB"/>
        </w:rPr>
        <w:t>1.2 % of the average amount of payments</w:t>
      </w:r>
      <w:r>
        <w:rPr>
          <w:rFonts w:ascii="Verdana" w:hAnsi="Verdana" w:cs="Calibri,Bold"/>
          <w:bCs/>
          <w:noProof/>
          <w:sz w:val="20"/>
          <w:lang w:eastAsia="en-GB"/>
        </w:rPr>
        <w:t>.</w:t>
      </w:r>
    </w:p>
    <w:p w:rsidR="008C2902" w:rsidRDefault="00AD2EC1">
      <w:pPr>
        <w:numPr>
          <w:ilvl w:val="0"/>
          <w:numId w:val="38"/>
        </w:numPr>
        <w:spacing w:after="120" w:line="240" w:lineRule="auto"/>
        <w:ind w:left="426" w:hanging="426"/>
        <w:jc w:val="both"/>
        <w:rPr>
          <w:rFonts w:ascii="Verdana" w:hAnsi="Verdana"/>
          <w:noProof/>
          <w:sz w:val="20"/>
        </w:rPr>
      </w:pPr>
      <w:r>
        <w:rPr>
          <w:rFonts w:ascii="Verdana" w:hAnsi="Verdana" w:cs="Calibri,Bold"/>
          <w:bCs/>
          <w:noProof/>
          <w:sz w:val="20"/>
          <w:lang w:eastAsia="en-GB"/>
        </w:rPr>
        <w:t xml:space="preserve">During 2015, the </w:t>
      </w:r>
      <w:r>
        <w:rPr>
          <w:rFonts w:ascii="Verdana" w:hAnsi="Verdana" w:cs="Calibri,Bold"/>
          <w:b/>
          <w:bCs/>
          <w:noProof/>
          <w:sz w:val="20"/>
          <w:lang w:eastAsia="en-GB"/>
        </w:rPr>
        <w:t>Court of Justice</w:t>
      </w:r>
      <w:r>
        <w:rPr>
          <w:rFonts w:ascii="Verdana" w:hAnsi="Verdana" w:cs="Calibri,Bold"/>
          <w:bCs/>
          <w:noProof/>
          <w:sz w:val="20"/>
          <w:lang w:eastAsia="en-GB"/>
        </w:rPr>
        <w:t xml:space="preserve"> ruled against the Commission for a number of financial corrections relating to regional policy spending in 1994-1999, totalling almost EUR 500 million. This concerned procedural issues and the Commission is currently </w:t>
      </w:r>
      <w:r>
        <w:rPr>
          <w:rFonts w:ascii="Verdana" w:hAnsi="Verdana"/>
          <w:noProof/>
          <w:sz w:val="20"/>
        </w:rPr>
        <w:t>analysing the impact – see section 4.1.2.</w:t>
      </w:r>
    </w:p>
    <w:p w:rsidR="008C2902" w:rsidRDefault="008C2902">
      <w:pPr>
        <w:autoSpaceDE w:val="0"/>
        <w:autoSpaceDN w:val="0"/>
        <w:adjustRightInd w:val="0"/>
        <w:spacing w:after="0" w:line="240" w:lineRule="auto"/>
        <w:jc w:val="both"/>
        <w:rPr>
          <w:rFonts w:ascii="Verdana" w:hAnsi="Verdana"/>
          <w:b/>
          <w:noProof/>
          <w:sz w:val="20"/>
        </w:rPr>
      </w:pPr>
    </w:p>
    <w:p w:rsidR="008C2902" w:rsidRDefault="00AD2EC1">
      <w:pPr>
        <w:autoSpaceDE w:val="0"/>
        <w:autoSpaceDN w:val="0"/>
        <w:adjustRightInd w:val="0"/>
        <w:spacing w:after="0" w:line="240" w:lineRule="auto"/>
        <w:jc w:val="both"/>
        <w:rPr>
          <w:rFonts w:ascii="Verdana" w:hAnsi="Verdana"/>
          <w:b/>
          <w:noProof/>
          <w:sz w:val="20"/>
        </w:rPr>
      </w:pPr>
      <w:r>
        <w:rPr>
          <w:rFonts w:ascii="Verdana" w:hAnsi="Verdana"/>
          <w:b/>
          <w:noProof/>
          <w:sz w:val="20"/>
        </w:rPr>
        <w:t>Protection of the EU budget: Main Conclusions</w:t>
      </w:r>
    </w:p>
    <w:p w:rsidR="008C2902" w:rsidRDefault="008C2902">
      <w:pPr>
        <w:autoSpaceDE w:val="0"/>
        <w:autoSpaceDN w:val="0"/>
        <w:adjustRightInd w:val="0"/>
        <w:spacing w:after="0" w:line="240" w:lineRule="auto"/>
        <w:jc w:val="both"/>
        <w:rPr>
          <w:rFonts w:ascii="Verdana" w:hAnsi="Verdana"/>
          <w:noProof/>
          <w:sz w:val="20"/>
        </w:rPr>
      </w:pPr>
    </w:p>
    <w:p w:rsidR="008C2902" w:rsidRDefault="00AD2EC1">
      <w:pPr>
        <w:autoSpaceDE w:val="0"/>
        <w:autoSpaceDN w:val="0"/>
        <w:adjustRightInd w:val="0"/>
        <w:spacing w:after="120" w:line="240" w:lineRule="auto"/>
        <w:ind w:left="426" w:hanging="426"/>
        <w:jc w:val="both"/>
        <w:rPr>
          <w:rFonts w:ascii="Verdana" w:hAnsi="Verdana"/>
          <w:noProof/>
          <w:sz w:val="20"/>
        </w:rPr>
      </w:pPr>
      <w:r>
        <w:rPr>
          <w:rFonts w:ascii="Verdana" w:hAnsi="Verdana"/>
          <w:noProof/>
          <w:sz w:val="20"/>
        </w:rPr>
        <w:t>•</w:t>
      </w:r>
      <w:r>
        <w:rPr>
          <w:rFonts w:ascii="Verdana" w:hAnsi="Verdana"/>
          <w:noProof/>
          <w:sz w:val="20"/>
        </w:rPr>
        <w:tab/>
        <w:t xml:space="preserve">The figures demonstrate the </w:t>
      </w:r>
      <w:r>
        <w:rPr>
          <w:rFonts w:ascii="Verdana" w:hAnsi="Verdana"/>
          <w:b/>
          <w:noProof/>
          <w:sz w:val="20"/>
        </w:rPr>
        <w:t>positive results of the multiannual preventive and corrective activities</w:t>
      </w:r>
      <w:r>
        <w:rPr>
          <w:rFonts w:ascii="Verdana" w:hAnsi="Verdana"/>
          <w:noProof/>
          <w:sz w:val="20"/>
        </w:rPr>
        <w:t xml:space="preserve"> undertaken by both the Commission and Member States;</w:t>
      </w:r>
    </w:p>
    <w:p w:rsidR="008C2902" w:rsidRDefault="00AD2EC1">
      <w:pPr>
        <w:autoSpaceDE w:val="0"/>
        <w:autoSpaceDN w:val="0"/>
        <w:adjustRightInd w:val="0"/>
        <w:spacing w:after="120" w:line="240" w:lineRule="auto"/>
        <w:ind w:left="426" w:hanging="426"/>
        <w:jc w:val="both"/>
        <w:rPr>
          <w:rFonts w:ascii="Verdana" w:hAnsi="Verdana"/>
          <w:noProof/>
          <w:sz w:val="20"/>
        </w:rPr>
      </w:pPr>
      <w:r>
        <w:rPr>
          <w:rFonts w:ascii="Verdana" w:hAnsi="Verdana"/>
          <w:noProof/>
          <w:sz w:val="20"/>
        </w:rPr>
        <w:t>•</w:t>
      </w:r>
      <w:r>
        <w:rPr>
          <w:rFonts w:ascii="Verdana" w:hAnsi="Verdana"/>
          <w:noProof/>
          <w:sz w:val="20"/>
        </w:rPr>
        <w:tab/>
        <w:t xml:space="preserve">The significance of the amounts reported should be viewed as an </w:t>
      </w:r>
      <w:r>
        <w:rPr>
          <w:rFonts w:ascii="Verdana" w:hAnsi="Verdana"/>
          <w:b/>
          <w:noProof/>
          <w:sz w:val="20"/>
        </w:rPr>
        <w:t xml:space="preserve">affirmation of the commitment </w:t>
      </w:r>
      <w:r>
        <w:rPr>
          <w:rFonts w:ascii="Verdana" w:hAnsi="Verdana"/>
          <w:noProof/>
          <w:sz w:val="20"/>
        </w:rPr>
        <w:t>of the Commission and the Member States to ensuring that European taxpayers' money is being used in accordance with legal requirements;</w:t>
      </w:r>
    </w:p>
    <w:p w:rsidR="008C2902" w:rsidRDefault="00AD2EC1">
      <w:pPr>
        <w:pStyle w:val="Text2"/>
        <w:numPr>
          <w:ilvl w:val="0"/>
          <w:numId w:val="42"/>
        </w:numPr>
        <w:ind w:left="426" w:hanging="426"/>
        <w:rPr>
          <w:rFonts w:ascii="Verdana" w:hAnsi="Verdana"/>
          <w:noProof/>
          <w:sz w:val="20"/>
        </w:rPr>
      </w:pPr>
      <w:r>
        <w:rPr>
          <w:rFonts w:ascii="Verdana" w:hAnsi="Verdana"/>
          <w:noProof/>
          <w:sz w:val="20"/>
        </w:rPr>
        <w:lastRenderedPageBreak/>
        <w:t xml:space="preserve">The Commission is striving to </w:t>
      </w:r>
      <w:r>
        <w:rPr>
          <w:rFonts w:ascii="Verdana" w:hAnsi="Verdana"/>
          <w:b/>
          <w:noProof/>
          <w:sz w:val="20"/>
        </w:rPr>
        <w:t xml:space="preserve">further improve the management and control systems at Member States level </w:t>
      </w:r>
      <w:r>
        <w:rPr>
          <w:rFonts w:ascii="Verdana" w:hAnsi="Verdana"/>
          <w:noProof/>
          <w:sz w:val="20"/>
        </w:rPr>
        <w:t>by proposing appropriate Member States specific action plans, by organising seminars on error rates, by sharing good practices and guidance, by organising training courses for Managing Authorities and by holding annual and ad-hoc meetings;</w:t>
      </w:r>
    </w:p>
    <w:p w:rsidR="008C2902" w:rsidRDefault="00AD2EC1">
      <w:pPr>
        <w:pStyle w:val="Text2"/>
        <w:numPr>
          <w:ilvl w:val="0"/>
          <w:numId w:val="42"/>
        </w:numPr>
        <w:ind w:left="426" w:hanging="426"/>
        <w:rPr>
          <w:rFonts w:ascii="Verdana" w:hAnsi="Verdana"/>
          <w:noProof/>
          <w:sz w:val="20"/>
        </w:rPr>
      </w:pPr>
      <w:r>
        <w:rPr>
          <w:rFonts w:ascii="Verdana" w:hAnsi="Verdana"/>
          <w:b/>
          <w:noProof/>
          <w:sz w:val="20"/>
        </w:rPr>
        <w:t>Corrective measures</w:t>
      </w:r>
      <w:r>
        <w:rPr>
          <w:rFonts w:ascii="Verdana" w:hAnsi="Verdana"/>
          <w:noProof/>
          <w:sz w:val="20"/>
        </w:rPr>
        <w:t xml:space="preserve"> are intended to correct the past, </w:t>
      </w:r>
      <w:r>
        <w:rPr>
          <w:rFonts w:ascii="Verdana" w:hAnsi="Verdana"/>
          <w:b/>
          <w:noProof/>
          <w:sz w:val="20"/>
        </w:rPr>
        <w:t>preventive measures</w:t>
      </w:r>
      <w:r>
        <w:rPr>
          <w:rFonts w:ascii="Verdana" w:hAnsi="Verdana"/>
          <w:noProof/>
          <w:sz w:val="20"/>
        </w:rPr>
        <w:t xml:space="preserve"> are intended to avoid that such irregularities reoccur in the future;</w:t>
      </w:r>
    </w:p>
    <w:p w:rsidR="008C2902" w:rsidRDefault="00AD2EC1">
      <w:pPr>
        <w:pStyle w:val="Text2"/>
        <w:numPr>
          <w:ilvl w:val="0"/>
          <w:numId w:val="42"/>
        </w:numPr>
        <w:ind w:left="426" w:hanging="426"/>
        <w:rPr>
          <w:rFonts w:ascii="Verdana" w:hAnsi="Verdana"/>
          <w:noProof/>
          <w:sz w:val="20"/>
        </w:rPr>
      </w:pPr>
      <w:r>
        <w:rPr>
          <w:rFonts w:ascii="Verdana" w:hAnsi="Verdana"/>
          <w:noProof/>
          <w:sz w:val="20"/>
        </w:rPr>
        <w:t xml:space="preserve">Financial corrections can be net (e.g. under Agricultural Policy), which implies that the amounts concerned are actually reimbursed to the EU budget, or may be compensated against additional new eligible expenditure (in Cohesion Policy). In both cases, there is a </w:t>
      </w:r>
      <w:r>
        <w:rPr>
          <w:rFonts w:ascii="Verdana" w:hAnsi="Verdana"/>
          <w:b/>
          <w:noProof/>
          <w:sz w:val="20"/>
        </w:rPr>
        <w:t>real impact</w:t>
      </w:r>
      <w:r>
        <w:rPr>
          <w:rFonts w:ascii="Verdana" w:hAnsi="Verdana"/>
          <w:noProof/>
          <w:sz w:val="20"/>
        </w:rPr>
        <w:t xml:space="preserve"> since, even in the case of compensation, the Member State concerned bears with its own resources (from the national budget) the financial consequences of ineligible expenditure; </w:t>
      </w:r>
    </w:p>
    <w:p w:rsidR="008C2902" w:rsidRDefault="00AD2EC1">
      <w:pPr>
        <w:pStyle w:val="Text2"/>
        <w:numPr>
          <w:ilvl w:val="0"/>
          <w:numId w:val="42"/>
        </w:numPr>
        <w:ind w:left="426" w:hanging="426"/>
        <w:rPr>
          <w:rFonts w:ascii="Verdana" w:hAnsi="Verdana"/>
          <w:noProof/>
          <w:sz w:val="20"/>
        </w:rPr>
      </w:pPr>
      <w:r>
        <w:rPr>
          <w:rFonts w:ascii="Verdana" w:hAnsi="Verdana"/>
          <w:noProof/>
          <w:sz w:val="20"/>
        </w:rPr>
        <w:t xml:space="preserve">When precise quantification of the irregularities is either not possible or not cost effective, or concern serious management and control deficiencies, the Commission applies the so called </w:t>
      </w:r>
      <w:r>
        <w:rPr>
          <w:rFonts w:ascii="Verdana" w:hAnsi="Verdana"/>
          <w:b/>
          <w:noProof/>
          <w:sz w:val="20"/>
        </w:rPr>
        <w:t>flat rate corrections</w:t>
      </w:r>
      <w:r>
        <w:rPr>
          <w:rFonts w:ascii="Verdana" w:hAnsi="Verdana"/>
          <w:noProof/>
          <w:sz w:val="20"/>
        </w:rPr>
        <w:t>, for example at the overall operational programme level, as set out in the relevant regulations. Both project and programme level financial corrections have a deterrent effect for the future.</w:t>
      </w:r>
    </w:p>
    <w:p w:rsidR="008C2902" w:rsidRDefault="008C2902">
      <w:pPr>
        <w:pStyle w:val="Text2"/>
        <w:ind w:left="426"/>
        <w:rPr>
          <w:rFonts w:ascii="Verdana" w:hAnsi="Verdana"/>
          <w:noProof/>
          <w:sz w:val="20"/>
        </w:rPr>
      </w:pPr>
    </w:p>
    <w:p w:rsidR="008C2902" w:rsidRDefault="00AD2EC1">
      <w:pPr>
        <w:autoSpaceDE w:val="0"/>
        <w:autoSpaceDN w:val="0"/>
        <w:adjustRightInd w:val="0"/>
        <w:spacing w:after="120" w:line="240" w:lineRule="auto"/>
        <w:ind w:left="426" w:hanging="426"/>
        <w:jc w:val="both"/>
        <w:rPr>
          <w:rFonts w:ascii="Verdana" w:hAnsi="Verdana"/>
          <w:b/>
          <w:noProof/>
          <w:sz w:val="20"/>
        </w:rPr>
      </w:pPr>
      <w:r>
        <w:rPr>
          <w:rFonts w:ascii="Verdana" w:hAnsi="Verdana"/>
          <w:b/>
          <w:noProof/>
          <w:sz w:val="20"/>
        </w:rPr>
        <w:t>Protection of the EU budget: ongoing improvements for the period 2014-2020</w:t>
      </w:r>
    </w:p>
    <w:p w:rsidR="008C2902" w:rsidRDefault="008C2902">
      <w:pPr>
        <w:autoSpaceDE w:val="0"/>
        <w:autoSpaceDN w:val="0"/>
        <w:adjustRightInd w:val="0"/>
        <w:spacing w:after="0" w:line="240" w:lineRule="auto"/>
        <w:ind w:left="425" w:hanging="425"/>
        <w:jc w:val="both"/>
        <w:rPr>
          <w:rFonts w:ascii="Verdana" w:hAnsi="Verdana"/>
          <w:noProof/>
          <w:sz w:val="20"/>
        </w:rPr>
      </w:pPr>
    </w:p>
    <w:p w:rsidR="008C2902" w:rsidRDefault="00AD2EC1">
      <w:pPr>
        <w:pStyle w:val="Text2"/>
        <w:numPr>
          <w:ilvl w:val="0"/>
          <w:numId w:val="42"/>
        </w:numPr>
        <w:ind w:left="426" w:hanging="426"/>
        <w:rPr>
          <w:rFonts w:ascii="Verdana" w:hAnsi="Verdana"/>
          <w:noProof/>
          <w:sz w:val="20"/>
        </w:rPr>
      </w:pPr>
      <w:r>
        <w:rPr>
          <w:rFonts w:ascii="Verdana" w:hAnsi="Verdana"/>
          <w:b/>
          <w:noProof/>
          <w:sz w:val="20"/>
        </w:rPr>
        <w:t>Agriculture:</w:t>
      </w:r>
      <w:r>
        <w:rPr>
          <w:rFonts w:ascii="Verdana" w:hAnsi="Verdana"/>
          <w:noProof/>
          <w:sz w:val="20"/>
        </w:rPr>
        <w:t xml:space="preserve"> this includes an increased focus on more risky expenditure, a shorter conformity procedure, better definition of the criteria and methodology for applying net financial corrections, simplified payment schemes, a new opinion by national Certification Bodies on the legality and regularity of declared expenditure and a reinforcement of interruptions and suspensions in line with the successful practices in Cohesion.</w:t>
      </w:r>
    </w:p>
    <w:p w:rsidR="008C2902" w:rsidRDefault="00AD2EC1">
      <w:pPr>
        <w:pStyle w:val="Text2"/>
        <w:numPr>
          <w:ilvl w:val="0"/>
          <w:numId w:val="42"/>
        </w:numPr>
        <w:ind w:left="426" w:hanging="426"/>
        <w:rPr>
          <w:rFonts w:ascii="Verdana" w:hAnsi="Verdana"/>
          <w:noProof/>
          <w:sz w:val="20"/>
        </w:rPr>
      </w:pPr>
      <w:r>
        <w:rPr>
          <w:rFonts w:ascii="Verdana" w:hAnsi="Verdana"/>
          <w:b/>
          <w:noProof/>
          <w:sz w:val="20"/>
        </w:rPr>
        <w:t>Cohesion:</w:t>
      </w:r>
      <w:r>
        <w:rPr>
          <w:rFonts w:ascii="Verdana" w:hAnsi="Verdana"/>
          <w:noProof/>
          <w:sz w:val="20"/>
        </w:rPr>
        <w:t xml:space="preserve"> this includes the application of net financial corrections, which introduces an additional incentive for Member States to improve their controls risk based audits taking into consideration strengthened assurance packages encompassing audit opinions on the functioning of systems and legality and regularity and Annual Control Reports (ACRs) reporting residual error rates, reinforced legal basis for flat rate corrections and an increased level of correction for repeated deficiencies.</w:t>
      </w:r>
    </w:p>
    <w:p w:rsidR="008C2902" w:rsidRDefault="008C2902">
      <w:pPr>
        <w:pStyle w:val="Text2"/>
        <w:ind w:left="426"/>
        <w:rPr>
          <w:rFonts w:ascii="Verdana" w:hAnsi="Verdana"/>
          <w:noProof/>
          <w:sz w:val="20"/>
        </w:rPr>
      </w:pPr>
    </w:p>
    <w:p w:rsidR="008C2902" w:rsidRDefault="00AD2EC1">
      <w:pPr>
        <w:pStyle w:val="ManualHeading1"/>
        <w:rPr>
          <w:noProof/>
        </w:rPr>
      </w:pPr>
      <w:r>
        <w:rPr>
          <w:noProof/>
          <w:sz w:val="20"/>
        </w:rPr>
        <w:br w:type="page"/>
      </w:r>
      <w:bookmarkStart w:id="6" w:name="_Toc431383850"/>
      <w:bookmarkStart w:id="7" w:name="_Toc432061768"/>
      <w:r>
        <w:lastRenderedPageBreak/>
        <w:t>2.</w:t>
      </w:r>
      <w:r>
        <w:tab/>
      </w:r>
      <w:r>
        <w:rPr>
          <w:noProof/>
          <w:lang w:val="fr-BE"/>
        </w:rPr>
        <w:t>PROCESSES</w:t>
      </w:r>
      <w:bookmarkEnd w:id="6"/>
      <w:bookmarkEnd w:id="7"/>
      <w:r>
        <w:rPr>
          <w:noProof/>
        </w:rPr>
        <w:t xml:space="preserve"> </w:t>
      </w:r>
    </w:p>
    <w:p w:rsidR="008C2902" w:rsidRDefault="00AD2EC1">
      <w:pPr>
        <w:spacing w:after="120"/>
        <w:rPr>
          <w:noProof/>
          <w:lang w:val="fr-BE"/>
        </w:rPr>
      </w:pPr>
      <w:r>
        <w:rPr>
          <w:noProof/>
          <w:lang w:eastAsia="en-GB"/>
        </w:rPr>
        <w:drawing>
          <wp:inline distT="0" distB="0" distL="0" distR="0">
            <wp:extent cx="5384042" cy="293427"/>
            <wp:effectExtent l="19050" t="0" r="26670" b="304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C2902" w:rsidRDefault="00AD2EC1">
      <w:pPr>
        <w:pStyle w:val="ManualHeading2"/>
        <w:rPr>
          <w:noProof/>
          <w:lang w:eastAsia="en-GB"/>
        </w:rPr>
      </w:pPr>
      <w:bookmarkStart w:id="8" w:name="_Toc431383851"/>
      <w:bookmarkStart w:id="9" w:name="_Toc432061769"/>
      <w:r>
        <w:t>2.1.</w:t>
      </w:r>
      <w:r>
        <w:tab/>
      </w:r>
      <w:r>
        <w:rPr>
          <w:noProof/>
          <w:lang w:eastAsia="en-GB"/>
        </w:rPr>
        <w:t>Preventive actions</w:t>
      </w:r>
      <w:bookmarkEnd w:id="8"/>
      <w:bookmarkEnd w:id="9"/>
    </w:p>
    <w:p w:rsidR="008C2902" w:rsidRDefault="00AD2EC1">
      <w:pPr>
        <w:pStyle w:val="Textstand-alone"/>
        <w:rPr>
          <w:sz w:val="20"/>
          <w:szCs w:val="20"/>
        </w:rPr>
      </w:pPr>
      <w:r>
        <w:rPr>
          <w:sz w:val="20"/>
          <w:szCs w:val="20"/>
        </w:rPr>
        <w:t>The Commission uses a number of preventive mechanisms to protect the EU budget.</w:t>
      </w:r>
    </w:p>
    <w:p w:rsidR="008C2902" w:rsidRDefault="00AD2EC1">
      <w:pPr>
        <w:pStyle w:val="Textstand-alone"/>
        <w:rPr>
          <w:sz w:val="20"/>
          <w:szCs w:val="20"/>
        </w:rPr>
      </w:pPr>
      <w:r>
        <w:rPr>
          <w:sz w:val="20"/>
          <w:szCs w:val="20"/>
        </w:rPr>
        <w:t xml:space="preserve">Under the </w:t>
      </w:r>
      <w:r>
        <w:rPr>
          <w:b/>
          <w:sz w:val="20"/>
          <w:szCs w:val="20"/>
        </w:rPr>
        <w:t>shared management mode</w:t>
      </w:r>
      <w:r>
        <w:rPr>
          <w:sz w:val="20"/>
          <w:szCs w:val="20"/>
        </w:rPr>
        <w:t xml:space="preserve"> (i.e. Agricultural and Cohesion policy expenditure), Member States are primarily responsible throughout the expenditure life cycle for ensuring that expenditure paid out from the EU budget is legal and regular. The Commission provides timely and close supervision, based on EU audit results, national audit results received throughout the years, results of OLAF investigations, and any other information coming to the services knowledge that points to a system deficiency or serious uncorrected irregularities. Key elements pointing to the effective functioning of the monitoring and control system are re-assessed on a continuous basis to prevent payments in case of ineffective systems at programme/part of programme level.</w:t>
      </w:r>
    </w:p>
    <w:p w:rsidR="008C2902" w:rsidRDefault="00AD2EC1">
      <w:pPr>
        <w:spacing w:after="240" w:line="240" w:lineRule="auto"/>
        <w:jc w:val="both"/>
        <w:rPr>
          <w:rFonts w:ascii="Verdana" w:eastAsia="Times New Roman" w:hAnsi="Verdana"/>
          <w:noProof/>
          <w:sz w:val="20"/>
          <w:szCs w:val="20"/>
          <w:lang w:eastAsia="en-GB"/>
        </w:rPr>
      </w:pPr>
      <w:r>
        <w:rPr>
          <w:rFonts w:ascii="Verdana" w:hAnsi="Verdana"/>
          <w:b/>
          <w:noProof/>
          <w:sz w:val="20"/>
          <w:szCs w:val="20"/>
        </w:rPr>
        <w:t>Agriculture:</w:t>
      </w:r>
      <w:r>
        <w:rPr>
          <w:rFonts w:ascii="Verdana" w:hAnsi="Verdana"/>
          <w:noProof/>
          <w:sz w:val="20"/>
          <w:szCs w:val="20"/>
        </w:rPr>
        <w:t xml:space="preserve"> Under the new Common Agricultural Policy (CAP) Horizontal Regulation, a new legal framework for interruptions and suspensions of CAP funds entered into force in 2014, which will strengthen the Commission’s powers to suspend EU financing in cases where risks of irregular payments have been identified. </w:t>
      </w:r>
      <w:r>
        <w:rPr>
          <w:rFonts w:ascii="Verdana" w:eastAsia="Times New Roman" w:hAnsi="Verdana"/>
          <w:noProof/>
          <w:sz w:val="20"/>
          <w:szCs w:val="20"/>
          <w:lang w:eastAsia="en-GB"/>
        </w:rPr>
        <w:t>Accordingly, the Commission may reduce or suspend monthly (European Agricultural Guarantee Fund (EAGF)) or interim (European Agricultural Fund for Rural Develoment (EAFRD)) payments where "</w:t>
      </w:r>
      <w:r>
        <w:rPr>
          <w:rFonts w:ascii="Verdana" w:eastAsia="Times New Roman" w:hAnsi="Verdana"/>
          <w:i/>
          <w:noProof/>
          <w:sz w:val="20"/>
          <w:szCs w:val="20"/>
          <w:lang w:eastAsia="en-GB"/>
        </w:rPr>
        <w:t>one or more of the key components of the national control system in question do not exist or are not effective due the gravity or persistence of the deficiencies found"</w:t>
      </w:r>
      <w:r>
        <w:rPr>
          <w:rFonts w:ascii="Verdana" w:eastAsia="Times New Roman" w:hAnsi="Verdana"/>
          <w:noProof/>
          <w:sz w:val="20"/>
          <w:szCs w:val="20"/>
          <w:lang w:eastAsia="en-GB"/>
        </w:rPr>
        <w:t xml:space="preserve"> (or there are similar serious deficiencies in the system for the recovery of irregular payments) and:</w:t>
      </w:r>
    </w:p>
    <w:p w:rsidR="008C2902" w:rsidRDefault="00AD2EC1">
      <w:pPr>
        <w:numPr>
          <w:ilvl w:val="0"/>
          <w:numId w:val="35"/>
        </w:numPr>
        <w:spacing w:after="0" w:line="240" w:lineRule="auto"/>
        <w:ind w:left="1077" w:hanging="357"/>
        <w:jc w:val="both"/>
        <w:rPr>
          <w:rFonts w:ascii="Verdana" w:eastAsia="Times New Roman" w:hAnsi="Verdana"/>
          <w:noProof/>
          <w:sz w:val="20"/>
          <w:szCs w:val="20"/>
          <w:lang w:eastAsia="en-GB"/>
        </w:rPr>
      </w:pPr>
      <w:r>
        <w:rPr>
          <w:rFonts w:ascii="Verdana" w:eastAsia="Times New Roman" w:hAnsi="Verdana"/>
          <w:noProof/>
          <w:sz w:val="20"/>
          <w:szCs w:val="20"/>
          <w:lang w:eastAsia="en-GB"/>
        </w:rPr>
        <w:t xml:space="preserve">either the deficiencies are of a continuous nature and have already been the reasons for at least two financial correction decisions, </w:t>
      </w:r>
    </w:p>
    <w:p w:rsidR="008C2902" w:rsidRDefault="00AD2EC1">
      <w:pPr>
        <w:spacing w:after="0" w:line="240" w:lineRule="auto"/>
        <w:ind w:left="720"/>
        <w:jc w:val="both"/>
        <w:rPr>
          <w:rFonts w:ascii="Verdana" w:eastAsia="Times New Roman" w:hAnsi="Verdana"/>
          <w:i/>
          <w:noProof/>
          <w:sz w:val="20"/>
          <w:szCs w:val="20"/>
          <w:u w:val="single"/>
          <w:lang w:eastAsia="en-GB"/>
        </w:rPr>
      </w:pPr>
      <w:r>
        <w:rPr>
          <w:rFonts w:ascii="Verdana" w:eastAsia="Times New Roman" w:hAnsi="Verdana"/>
          <w:i/>
          <w:noProof/>
          <w:sz w:val="20"/>
          <w:szCs w:val="20"/>
          <w:u w:val="single"/>
          <w:lang w:eastAsia="en-GB"/>
        </w:rPr>
        <w:t>or</w:t>
      </w:r>
    </w:p>
    <w:p w:rsidR="008C2902" w:rsidRDefault="00AD2EC1">
      <w:pPr>
        <w:numPr>
          <w:ilvl w:val="0"/>
          <w:numId w:val="35"/>
        </w:numPr>
        <w:spacing w:after="240" w:line="240" w:lineRule="auto"/>
        <w:ind w:left="1077" w:hanging="357"/>
        <w:jc w:val="both"/>
        <w:rPr>
          <w:rFonts w:ascii="Verdana" w:eastAsia="Times New Roman" w:hAnsi="Verdana"/>
          <w:noProof/>
          <w:sz w:val="20"/>
          <w:szCs w:val="20"/>
          <w:lang w:eastAsia="en-GB"/>
        </w:rPr>
      </w:pPr>
      <w:r>
        <w:rPr>
          <w:rFonts w:ascii="Verdana" w:eastAsia="Times New Roman" w:hAnsi="Verdana"/>
          <w:noProof/>
          <w:sz w:val="20"/>
          <w:szCs w:val="20"/>
          <w:lang w:eastAsia="en-GB"/>
        </w:rPr>
        <w:t xml:space="preserve">the Commission concludes that the Member State concerned is not in a position to implement the necessary remedial measures in the immediate future, in accordance with an action plan with clear progress indicators to be established in consultation with the Commission. </w:t>
      </w:r>
    </w:p>
    <w:p w:rsidR="008C2902" w:rsidRDefault="00AD2EC1">
      <w:pPr>
        <w:pStyle w:val="Textstand-alone"/>
        <w:spacing w:after="0"/>
        <w:rPr>
          <w:sz w:val="20"/>
          <w:szCs w:val="20"/>
        </w:rPr>
      </w:pPr>
      <w:r>
        <w:rPr>
          <w:sz w:val="20"/>
          <w:szCs w:val="20"/>
          <w:lang w:eastAsia="en-GB"/>
        </w:rPr>
        <w:t xml:space="preserve">For EAFRD, the new Common Provisions Regulation (CPR) also provides for the interruption of interim payments by the Authorising Officer by Delegation (i.e. the Director-General) as </w:t>
      </w:r>
      <w:r>
        <w:rPr>
          <w:sz w:val="20"/>
          <w:szCs w:val="20"/>
        </w:rPr>
        <w:t>an additional, quick and reactive tool in case of concerns about the legality and regularity of payments</w:t>
      </w:r>
      <w:r>
        <w:rPr>
          <w:sz w:val="20"/>
          <w:szCs w:val="20"/>
          <w:lang w:eastAsia="en-GB"/>
        </w:rPr>
        <w:t>. For EAGF, the rhythm of the monthly payments would not allow for using such an interruption procedure.</w:t>
      </w:r>
    </w:p>
    <w:p w:rsidR="008C2902" w:rsidRDefault="00AD2EC1">
      <w:pPr>
        <w:pStyle w:val="Textstand-alone"/>
        <w:spacing w:after="0"/>
        <w:rPr>
          <w:sz w:val="20"/>
          <w:szCs w:val="20"/>
        </w:rPr>
      </w:pPr>
      <w:r>
        <w:rPr>
          <w:b/>
          <w:sz w:val="20"/>
          <w:szCs w:val="20"/>
        </w:rPr>
        <w:t>Cohesion:</w:t>
      </w:r>
      <w:r>
        <w:rPr>
          <w:sz w:val="20"/>
          <w:szCs w:val="20"/>
        </w:rPr>
        <w:t xml:space="preserve"> Preventive mechanisms exist at the level of the Commission in its role of supervising body allowing it to:</w:t>
      </w:r>
    </w:p>
    <w:p w:rsidR="008C2902" w:rsidRDefault="00AD2EC1">
      <w:pPr>
        <w:pStyle w:val="Textstand-alone"/>
        <w:spacing w:before="120" w:after="0"/>
        <w:rPr>
          <w:sz w:val="20"/>
          <w:szCs w:val="20"/>
        </w:rPr>
      </w:pPr>
      <w:r>
        <w:rPr>
          <w:sz w:val="20"/>
          <w:szCs w:val="20"/>
        </w:rPr>
        <w:t>- interrupt the payment deadline for a maximum period of 6 months if:</w:t>
      </w:r>
    </w:p>
    <w:p w:rsidR="008C2902" w:rsidRDefault="00AD2EC1">
      <w:pPr>
        <w:pStyle w:val="Textstand-alone"/>
        <w:spacing w:before="120" w:after="0"/>
        <w:ind w:left="567"/>
        <w:rPr>
          <w:sz w:val="20"/>
          <w:szCs w:val="20"/>
        </w:rPr>
      </w:pPr>
      <w:r>
        <w:rPr>
          <w:sz w:val="20"/>
          <w:szCs w:val="20"/>
        </w:rPr>
        <w:t>(a) There is evidence to suggest a significant deficiency in the functioning of the management and control systems of the Member State concerned; or</w:t>
      </w:r>
    </w:p>
    <w:p w:rsidR="008C2902" w:rsidRDefault="00AD2EC1">
      <w:pPr>
        <w:pStyle w:val="Textstand-alone"/>
        <w:spacing w:before="120" w:after="120"/>
        <w:ind w:left="567"/>
        <w:rPr>
          <w:sz w:val="20"/>
          <w:szCs w:val="20"/>
        </w:rPr>
      </w:pPr>
      <w:r>
        <w:rPr>
          <w:sz w:val="20"/>
          <w:szCs w:val="20"/>
        </w:rPr>
        <w:t>(b) The Commission services have to carry out additional verifications following information that expenditure in a certified statement of expenditure is linked to a serious irregularity which has not been corrected.</w:t>
      </w:r>
    </w:p>
    <w:p w:rsidR="008C2902" w:rsidRDefault="00AD2EC1">
      <w:pPr>
        <w:pStyle w:val="Textstand-alone"/>
        <w:spacing w:before="120" w:after="0"/>
        <w:ind w:left="567"/>
        <w:rPr>
          <w:sz w:val="20"/>
          <w:szCs w:val="20"/>
        </w:rPr>
      </w:pPr>
      <w:r>
        <w:rPr>
          <w:sz w:val="20"/>
          <w:szCs w:val="20"/>
        </w:rPr>
        <w:t xml:space="preserve">Once a case is closed (after a lifting letter is sent), the interrupted amount can be processed and paid out to the Member State authorities under the condition that </w:t>
      </w:r>
      <w:r>
        <w:rPr>
          <w:sz w:val="20"/>
          <w:szCs w:val="20"/>
        </w:rPr>
        <w:lastRenderedPageBreak/>
        <w:t>sufficient credits are available and that there are no other issues affecting the programme.</w:t>
      </w:r>
    </w:p>
    <w:p w:rsidR="008C2902" w:rsidRDefault="00AD2EC1">
      <w:pPr>
        <w:pStyle w:val="Textstand-alone"/>
        <w:spacing w:after="120"/>
        <w:rPr>
          <w:sz w:val="20"/>
          <w:szCs w:val="20"/>
        </w:rPr>
      </w:pPr>
      <w:r>
        <w:rPr>
          <w:sz w:val="20"/>
          <w:szCs w:val="20"/>
        </w:rPr>
        <w:t>- suspend all or part of an interim payment to a Member State in the following cases:</w:t>
      </w:r>
    </w:p>
    <w:p w:rsidR="008C2902" w:rsidRDefault="00AD2EC1">
      <w:pPr>
        <w:pStyle w:val="Textstand-alone"/>
        <w:spacing w:before="0" w:after="0"/>
        <w:ind w:left="567"/>
        <w:rPr>
          <w:sz w:val="20"/>
          <w:szCs w:val="20"/>
        </w:rPr>
      </w:pPr>
      <w:r>
        <w:rPr>
          <w:sz w:val="20"/>
          <w:szCs w:val="20"/>
        </w:rPr>
        <w:t>(a) Where there is evidence of serious deficiency in the management and control system of the programme and the Member State has not taken the necessary corrective measures; or</w:t>
      </w:r>
    </w:p>
    <w:p w:rsidR="008C2902" w:rsidRDefault="00AD2EC1">
      <w:pPr>
        <w:pStyle w:val="Textstand-alone"/>
        <w:spacing w:before="120" w:after="0"/>
        <w:ind w:left="567"/>
        <w:rPr>
          <w:sz w:val="20"/>
          <w:szCs w:val="20"/>
        </w:rPr>
      </w:pPr>
      <w:r>
        <w:rPr>
          <w:sz w:val="20"/>
          <w:szCs w:val="20"/>
        </w:rPr>
        <w:t>(b) Where expenditure in a certified statement of expenditure is linked to a serious irregularity which has not been corrected; or</w:t>
      </w:r>
    </w:p>
    <w:p w:rsidR="008C2902" w:rsidRDefault="00AD2EC1">
      <w:pPr>
        <w:pStyle w:val="Textstand-alone"/>
        <w:spacing w:before="120" w:after="120"/>
        <w:ind w:left="567"/>
        <w:rPr>
          <w:sz w:val="20"/>
          <w:szCs w:val="20"/>
        </w:rPr>
      </w:pPr>
      <w:r>
        <w:rPr>
          <w:sz w:val="20"/>
          <w:szCs w:val="20"/>
        </w:rPr>
        <w:t>(c) If there has been a serious breach by a Member State of its management and control obligations.</w:t>
      </w:r>
    </w:p>
    <w:p w:rsidR="008C2902" w:rsidRDefault="00AD2EC1">
      <w:pPr>
        <w:spacing w:after="240" w:line="240" w:lineRule="auto"/>
        <w:jc w:val="both"/>
        <w:rPr>
          <w:rFonts w:ascii="Verdana" w:hAnsi="Verdana"/>
          <w:noProof/>
          <w:sz w:val="20"/>
          <w:szCs w:val="20"/>
        </w:rPr>
      </w:pPr>
      <w:r>
        <w:rPr>
          <w:rFonts w:ascii="Verdana" w:hAnsi="Verdana"/>
          <w:noProof/>
          <w:sz w:val="20"/>
          <w:szCs w:val="20"/>
        </w:rPr>
        <w:t>Where the required measures are not taken by the Member State, the Commission may decide to impose a financial correction.</w:t>
      </w:r>
    </w:p>
    <w:p w:rsidR="008C2902" w:rsidRDefault="00AD2EC1">
      <w:pPr>
        <w:spacing w:line="240" w:lineRule="auto"/>
        <w:jc w:val="both"/>
        <w:rPr>
          <w:rFonts w:ascii="Verdana" w:hAnsi="Verdana"/>
          <w:noProof/>
          <w:sz w:val="20"/>
          <w:szCs w:val="20"/>
        </w:rPr>
      </w:pPr>
      <w:r>
        <w:rPr>
          <w:rFonts w:ascii="Verdana" w:hAnsi="Verdana"/>
          <w:noProof/>
          <w:sz w:val="20"/>
        </w:rPr>
        <w:t>Both procedures provide a mechanism for rapid agreement with the Member State on the complementary verifications to be carried out and, if need be, implementation of appropriate remedial actions. Whenever necessary, in case of serious weaknesses and where the Commission services consider that no or insufficient action has been taken by the concerned authorities within the regulatory time frame of the interruption (maximum period of 6 months), the Commission also launches a formal suspension procedure starting with a pre-suspension letter addressed to the Member State.</w:t>
      </w:r>
    </w:p>
    <w:p w:rsidR="008C2902" w:rsidRDefault="00AD2EC1">
      <w:pPr>
        <w:spacing w:after="240" w:line="240" w:lineRule="auto"/>
        <w:jc w:val="both"/>
        <w:rPr>
          <w:rFonts w:ascii="Verdana" w:hAnsi="Verdana"/>
          <w:noProof/>
          <w:sz w:val="20"/>
        </w:rPr>
      </w:pPr>
      <w:r>
        <w:rPr>
          <w:rFonts w:ascii="Verdana" w:hAnsi="Verdana"/>
          <w:noProof/>
          <w:sz w:val="20"/>
        </w:rPr>
        <w:t xml:space="preserve">Under </w:t>
      </w:r>
      <w:r>
        <w:rPr>
          <w:rFonts w:ascii="Verdana" w:hAnsi="Verdana"/>
          <w:b/>
          <w:noProof/>
          <w:sz w:val="20"/>
        </w:rPr>
        <w:t>direct and indirect management</w:t>
      </w:r>
      <w:r>
        <w:rPr>
          <w:rFonts w:ascii="Verdana" w:hAnsi="Verdana"/>
          <w:noProof/>
          <w:sz w:val="20"/>
        </w:rPr>
        <w:t>, preventive actions include checks made by the responsible services on eligibility of expenditure being claimed by beneficiaries. These ex-ante controls are embedded in the programmes’ management processes and are intended to provide reasonable assurance on the legality and regularity of expenditure being paid. The Commission services can also provide guidance, particularly on contractual issues, with the aim of ensuring a sound and efficient management of funding and therefore a lower risk of irregularities.</w:t>
      </w:r>
      <w:bookmarkStart w:id="10" w:name="_Toc406161305"/>
      <w:bookmarkStart w:id="11" w:name="_Toc406163430"/>
      <w:bookmarkStart w:id="12" w:name="_Toc409007343"/>
      <w:bookmarkStart w:id="13" w:name="_Toc424121110"/>
      <w:bookmarkStart w:id="14" w:name="_Toc425855825"/>
      <w:bookmarkStart w:id="15" w:name="_Toc423524323"/>
    </w:p>
    <w:p w:rsidR="008C2902" w:rsidRDefault="00AD2EC1">
      <w:pPr>
        <w:pStyle w:val="ManualHeading2"/>
        <w:rPr>
          <w:noProof/>
          <w:lang w:eastAsia="en-GB"/>
        </w:rPr>
      </w:pPr>
      <w:bookmarkStart w:id="16" w:name="_Toc431383852"/>
      <w:bookmarkStart w:id="17" w:name="_Toc432061770"/>
      <w:bookmarkEnd w:id="10"/>
      <w:bookmarkEnd w:id="11"/>
      <w:bookmarkEnd w:id="12"/>
      <w:bookmarkEnd w:id="13"/>
      <w:bookmarkEnd w:id="14"/>
      <w:bookmarkEnd w:id="15"/>
      <w:r>
        <w:t>2.2.</w:t>
      </w:r>
      <w:r>
        <w:tab/>
      </w:r>
      <w:r>
        <w:rPr>
          <w:noProof/>
          <w:lang w:eastAsia="en-GB"/>
        </w:rPr>
        <w:t>Corrective actions</w:t>
      </w:r>
      <w:bookmarkEnd w:id="16"/>
      <w:bookmarkEnd w:id="17"/>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 xml:space="preserve">It is important to underline that for a significant portion of EU expenditure, e.g. Cohesion, Research and Rural Development policies, the programmes concerned are of a multi-annual nature. In line with Article 32(2)(e) of the Financial Regulation, this is taken into account when designing and implementing corrective measures, as well as when assessing the results of these actions. Financial corrections and recoveries are made at all stages of a programme's life-cycle, once expenditure has been incurred and/or a payment has been made. </w:t>
      </w:r>
    </w:p>
    <w:p w:rsidR="008C2902" w:rsidRDefault="00AD2EC1">
      <w:pPr>
        <w:spacing w:after="120" w:line="240" w:lineRule="auto"/>
        <w:rPr>
          <w:rFonts w:ascii="Verdana" w:hAnsi="Verdana"/>
          <w:i/>
          <w:noProof/>
          <w:sz w:val="20"/>
          <w:szCs w:val="20"/>
          <w:lang w:eastAsia="en-GB"/>
        </w:rPr>
      </w:pPr>
      <w:r>
        <w:rPr>
          <w:rFonts w:ascii="Verdana" w:hAnsi="Verdana"/>
          <w:i/>
          <w:noProof/>
          <w:sz w:val="20"/>
          <w:szCs w:val="20"/>
          <w:lang w:eastAsia="en-GB"/>
        </w:rPr>
        <w:t>2.2.1. Financial corrections</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 xml:space="preserve">Financial corrections </w:t>
      </w:r>
      <w:r>
        <w:rPr>
          <w:rFonts w:ascii="Verdana" w:hAnsi="Verdana"/>
          <w:b/>
          <w:noProof/>
          <w:sz w:val="20"/>
          <w:szCs w:val="20"/>
          <w:lang w:eastAsia="en-GB"/>
        </w:rPr>
        <w:t>in progress</w:t>
      </w:r>
      <w:r>
        <w:rPr>
          <w:rFonts w:ascii="Verdana" w:hAnsi="Verdana"/>
          <w:noProof/>
          <w:sz w:val="20"/>
          <w:szCs w:val="20"/>
          <w:lang w:eastAsia="en-GB"/>
        </w:rPr>
        <w:t xml:space="preserve"> are those proposed but not yet accepted by the Member States or not yet decided by the Commission. </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 xml:space="preserve">A financial correction is reported as </w:t>
      </w:r>
      <w:r>
        <w:rPr>
          <w:rFonts w:ascii="Verdana" w:hAnsi="Verdana"/>
          <w:b/>
          <w:noProof/>
          <w:sz w:val="20"/>
          <w:szCs w:val="20"/>
          <w:lang w:eastAsia="en-GB"/>
        </w:rPr>
        <w:t>confirmed</w:t>
      </w:r>
      <w:r>
        <w:rPr>
          <w:rFonts w:ascii="Verdana" w:hAnsi="Verdana"/>
          <w:noProof/>
          <w:sz w:val="20"/>
          <w:szCs w:val="20"/>
          <w:lang w:eastAsia="en-GB"/>
        </w:rPr>
        <w:t xml:space="preserve"> as soon as it is accepted by the Member State or decided by a Commission Decision.</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 xml:space="preserve">A financial correction is considered </w:t>
      </w:r>
      <w:r>
        <w:rPr>
          <w:rFonts w:ascii="Verdana" w:hAnsi="Verdana"/>
          <w:b/>
          <w:noProof/>
          <w:sz w:val="20"/>
          <w:szCs w:val="20"/>
          <w:lang w:eastAsia="en-GB"/>
        </w:rPr>
        <w:t>implemented</w:t>
      </w:r>
      <w:r>
        <w:rPr>
          <w:rFonts w:ascii="Verdana" w:hAnsi="Verdana"/>
          <w:noProof/>
          <w:sz w:val="20"/>
          <w:szCs w:val="20"/>
          <w:lang w:eastAsia="en-GB"/>
        </w:rPr>
        <w:t xml:space="preserve"> when the correction has been applied and recorded in the Commission accounts, which means the financial transaction was validated by the responsible Authorising Officer in the following cases: deduction from the interim or final payment claim,</w:t>
      </w:r>
      <w:r>
        <w:rPr>
          <w:rFonts w:ascii="Verdana" w:hAnsi="Verdana"/>
          <w:noProof/>
          <w:sz w:val="20"/>
          <w:lang w:eastAsia="en-GB"/>
        </w:rPr>
        <w:t xml:space="preserve"> </w:t>
      </w:r>
      <w:r>
        <w:rPr>
          <w:rFonts w:ascii="Verdana" w:hAnsi="Verdana"/>
          <w:noProof/>
          <w:sz w:val="20"/>
          <w:szCs w:val="20"/>
          <w:lang w:eastAsia="en-GB"/>
        </w:rPr>
        <w:t>recovery order and/or a de-commitment transaction.</w:t>
      </w:r>
    </w:p>
    <w:p w:rsidR="008C2902" w:rsidRDefault="00AD2EC1">
      <w:pPr>
        <w:spacing w:after="0" w:line="240" w:lineRule="auto"/>
        <w:rPr>
          <w:rFonts w:ascii="Verdana" w:hAnsi="Verdana"/>
          <w:noProof/>
          <w:sz w:val="20"/>
          <w:szCs w:val="20"/>
          <w:lang w:eastAsia="en-GB"/>
        </w:rPr>
      </w:pPr>
      <w:r>
        <w:rPr>
          <w:rFonts w:ascii="Verdana" w:hAnsi="Verdana"/>
          <w:noProof/>
          <w:sz w:val="20"/>
          <w:szCs w:val="20"/>
          <w:lang w:eastAsia="en-GB"/>
        </w:rPr>
        <w:br w:type="page"/>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lastRenderedPageBreak/>
        <w:t>The Commission applies the following types of financial corrections on the expenditure declared by the Member States ("</w:t>
      </w:r>
      <w:r>
        <w:rPr>
          <w:rFonts w:ascii="Verdana" w:hAnsi="Verdana"/>
          <w:b/>
          <w:noProof/>
          <w:sz w:val="20"/>
          <w:szCs w:val="20"/>
          <w:lang w:eastAsia="en-GB"/>
        </w:rPr>
        <w:t xml:space="preserve">ex-post" </w:t>
      </w:r>
      <w:r>
        <w:rPr>
          <w:rFonts w:ascii="Verdana" w:hAnsi="Verdana"/>
          <w:noProof/>
          <w:sz w:val="20"/>
          <w:szCs w:val="20"/>
          <w:lang w:eastAsia="en-GB"/>
        </w:rPr>
        <w:t>corrections):</w:t>
      </w:r>
    </w:p>
    <w:p w:rsidR="008C2902" w:rsidRDefault="00AD2EC1">
      <w:pPr>
        <w:spacing w:line="240" w:lineRule="auto"/>
        <w:ind w:left="851" w:hanging="284"/>
        <w:jc w:val="both"/>
        <w:rPr>
          <w:rFonts w:ascii="Verdana" w:hAnsi="Verdana"/>
          <w:noProof/>
          <w:sz w:val="20"/>
          <w:szCs w:val="20"/>
          <w:lang w:eastAsia="en-GB"/>
        </w:rPr>
      </w:pPr>
      <w:r>
        <w:rPr>
          <w:rFonts w:ascii="Verdana" w:hAnsi="Verdana"/>
          <w:noProof/>
          <w:sz w:val="20"/>
          <w:szCs w:val="20"/>
          <w:lang w:eastAsia="en-GB"/>
        </w:rPr>
        <w:t>-</w:t>
      </w:r>
      <w:r>
        <w:rPr>
          <w:rFonts w:ascii="Verdana" w:hAnsi="Verdana"/>
          <w:noProof/>
          <w:sz w:val="20"/>
          <w:szCs w:val="20"/>
          <w:lang w:eastAsia="en-GB"/>
        </w:rPr>
        <w:tab/>
        <w:t>Financial corrections on individual cases, based on a precise identification of amounts unduly spent, and the financial implications for the budget;</w:t>
      </w:r>
    </w:p>
    <w:p w:rsidR="008C2902" w:rsidRDefault="00AD2EC1">
      <w:pPr>
        <w:spacing w:line="240" w:lineRule="auto"/>
        <w:ind w:left="851" w:hanging="284"/>
        <w:jc w:val="both"/>
        <w:rPr>
          <w:rFonts w:ascii="Verdana" w:hAnsi="Verdana"/>
          <w:noProof/>
          <w:sz w:val="20"/>
          <w:szCs w:val="20"/>
          <w:lang w:eastAsia="en-GB"/>
        </w:rPr>
      </w:pPr>
      <w:r>
        <w:rPr>
          <w:rFonts w:ascii="Verdana" w:hAnsi="Verdana"/>
          <w:noProof/>
          <w:sz w:val="20"/>
          <w:szCs w:val="20"/>
          <w:lang w:eastAsia="en-GB"/>
        </w:rPr>
        <w:t>-</w:t>
      </w:r>
      <w:r>
        <w:rPr>
          <w:rFonts w:ascii="Verdana" w:hAnsi="Verdana"/>
          <w:noProof/>
          <w:sz w:val="20"/>
          <w:szCs w:val="20"/>
          <w:lang w:eastAsia="en-GB"/>
        </w:rPr>
        <w:tab/>
        <w:t>Extrapolated financial corrections if the related amount can be quantified on the basis of a representative statistical sample with a sufficient level of confidence;</w:t>
      </w:r>
    </w:p>
    <w:p w:rsidR="008C2902" w:rsidRDefault="00AD2EC1">
      <w:pPr>
        <w:spacing w:line="240" w:lineRule="auto"/>
        <w:ind w:left="851" w:hanging="284"/>
        <w:jc w:val="both"/>
        <w:rPr>
          <w:rFonts w:ascii="Verdana" w:hAnsi="Verdana"/>
          <w:noProof/>
          <w:sz w:val="20"/>
          <w:szCs w:val="20"/>
          <w:lang w:eastAsia="en-GB"/>
        </w:rPr>
      </w:pPr>
      <w:r>
        <w:rPr>
          <w:rFonts w:ascii="Verdana" w:hAnsi="Verdana"/>
          <w:noProof/>
          <w:sz w:val="20"/>
          <w:szCs w:val="20"/>
          <w:lang w:eastAsia="en-GB"/>
        </w:rPr>
        <w:t>-</w:t>
      </w:r>
      <w:r>
        <w:rPr>
          <w:rFonts w:ascii="Verdana" w:hAnsi="Verdana"/>
          <w:noProof/>
          <w:sz w:val="20"/>
          <w:szCs w:val="20"/>
          <w:lang w:eastAsia="en-GB"/>
        </w:rPr>
        <w:tab/>
        <w:t xml:space="preserve">Flat rate corrections, if the related amount cannot be quantified on the basis of a representative statistical sample or when the impact on expenditure of individual errors cannot be quantified precisely (e.g. financial corrections of individual public contracts based on agreed flat rates) – see tables </w:t>
      </w:r>
      <w:r>
        <w:rPr>
          <w:rFonts w:ascii="Verdana" w:hAnsi="Verdana"/>
          <w:b/>
          <w:noProof/>
          <w:sz w:val="20"/>
          <w:szCs w:val="20"/>
          <w:lang w:eastAsia="en-GB"/>
        </w:rPr>
        <w:t xml:space="preserve">3.3.2 </w:t>
      </w:r>
      <w:r>
        <w:rPr>
          <w:rFonts w:ascii="Verdana" w:hAnsi="Verdana"/>
          <w:noProof/>
          <w:sz w:val="20"/>
          <w:szCs w:val="20"/>
          <w:lang w:eastAsia="en-GB"/>
        </w:rPr>
        <w:t>&amp;</w:t>
      </w:r>
      <w:r>
        <w:rPr>
          <w:rFonts w:ascii="Verdana" w:hAnsi="Verdana"/>
          <w:b/>
          <w:noProof/>
          <w:sz w:val="20"/>
          <w:szCs w:val="20"/>
          <w:lang w:eastAsia="en-GB"/>
        </w:rPr>
        <w:t xml:space="preserve"> 3.4.2</w:t>
      </w:r>
      <w:r>
        <w:rPr>
          <w:rFonts w:ascii="Verdana" w:hAnsi="Verdana"/>
          <w:noProof/>
          <w:sz w:val="20"/>
          <w:szCs w:val="20"/>
          <w:lang w:eastAsia="en-GB"/>
        </w:rPr>
        <w:t>.</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Under shared management, all financial corrections, no matter what type, have an impact on national budgets – even if no reimbursement to the EU budget is made, the impact of financial corrections is always negative at Member States' level.</w:t>
      </w:r>
    </w:p>
    <w:p w:rsidR="008C2902" w:rsidRDefault="00AD2EC1">
      <w:pPr>
        <w:spacing w:line="240" w:lineRule="auto"/>
        <w:jc w:val="both"/>
        <w:rPr>
          <w:rFonts w:ascii="Verdana" w:hAnsi="Verdana"/>
          <w:noProof/>
          <w:sz w:val="20"/>
          <w:szCs w:val="20"/>
          <w:lang w:eastAsia="en-GB"/>
        </w:rPr>
      </w:pPr>
      <w:r>
        <w:rPr>
          <w:rFonts w:ascii="Verdana" w:hAnsi="Verdana"/>
          <w:b/>
          <w:noProof/>
          <w:sz w:val="20"/>
          <w:szCs w:val="20"/>
          <w:lang w:eastAsia="en-GB"/>
        </w:rPr>
        <w:t>"At source"</w:t>
      </w:r>
      <w:r>
        <w:rPr>
          <w:rFonts w:ascii="Verdana" w:hAnsi="Verdana"/>
          <w:noProof/>
          <w:sz w:val="20"/>
          <w:szCs w:val="20"/>
          <w:lang w:eastAsia="en-GB"/>
        </w:rPr>
        <w:t xml:space="preserve"> financial corrections are used to effect financial corrections before an EU reimbursement has been made. These occur when the correction is applied by the Member State when certifying new expenditure to the Commission following and as a result of the remedial action plan agreed with the Commission. It should be highlighted that the difference between "ex-post" and "at source" financial corrections is a timing one. </w:t>
      </w:r>
    </w:p>
    <w:p w:rsidR="008C2902" w:rsidRDefault="00AD2EC1">
      <w:pPr>
        <w:spacing w:after="120" w:line="240" w:lineRule="auto"/>
        <w:rPr>
          <w:rFonts w:ascii="Verdana" w:hAnsi="Verdana"/>
          <w:i/>
          <w:noProof/>
          <w:sz w:val="20"/>
          <w:szCs w:val="20"/>
          <w:lang w:eastAsia="en-GB"/>
        </w:rPr>
      </w:pPr>
      <w:bookmarkStart w:id="18" w:name="_Toc406161306"/>
      <w:bookmarkStart w:id="19" w:name="_Toc406163431"/>
      <w:r>
        <w:rPr>
          <w:rFonts w:ascii="Verdana" w:hAnsi="Verdana"/>
          <w:i/>
          <w:noProof/>
          <w:sz w:val="20"/>
          <w:szCs w:val="20"/>
          <w:lang w:eastAsia="en-GB"/>
        </w:rPr>
        <w:t>2.2.2.</w:t>
      </w:r>
      <w:r>
        <w:rPr>
          <w:rFonts w:ascii="Verdana" w:hAnsi="Verdana"/>
          <w:i/>
          <w:noProof/>
          <w:sz w:val="20"/>
          <w:szCs w:val="20"/>
          <w:lang w:eastAsia="en-GB"/>
        </w:rPr>
        <w:tab/>
        <w:t>Recoveries</w:t>
      </w:r>
      <w:bookmarkEnd w:id="18"/>
      <w:bookmarkEnd w:id="19"/>
    </w:p>
    <w:p w:rsidR="008C2902" w:rsidRDefault="00AD2EC1">
      <w:pPr>
        <w:pStyle w:val="Textstand-alone"/>
        <w:rPr>
          <w:sz w:val="20"/>
          <w:szCs w:val="20"/>
        </w:rPr>
      </w:pPr>
      <w:r>
        <w:rPr>
          <w:sz w:val="20"/>
          <w:szCs w:val="20"/>
        </w:rPr>
        <w:t xml:space="preserve">For the </w:t>
      </w:r>
      <w:r>
        <w:rPr>
          <w:b/>
          <w:sz w:val="20"/>
          <w:szCs w:val="20"/>
        </w:rPr>
        <w:t>EAGF</w:t>
      </w:r>
      <w:r>
        <w:rPr>
          <w:sz w:val="20"/>
          <w:szCs w:val="20"/>
        </w:rPr>
        <w:t xml:space="preserve">, amounts recovered from the beneficiaries are credited to the EU budget as assigned revenue, after deduction applied by Member States of 20 % to cover administrative costs. </w:t>
      </w:r>
      <w:r>
        <w:rPr>
          <w:rFonts w:cs="Calibri"/>
          <w:sz w:val="20"/>
          <w:szCs w:val="20"/>
          <w:lang w:eastAsia="en-GB"/>
        </w:rPr>
        <w:t>In order to address delays by some Member States in recovering undue payments, a legal clearing mechanism provides that 50 % of any undue payments which the Member States have not recovered from the beneficiaries within 4 years or, for cases involving legal proceedings, 8 years, would be charged to their national budgets (50/50 rule). Even then, Member States are still obliged to pursue their recovery procedures and, if they fail to do so with the necessary diligence, the Commission may decide, following the conformity clearance procedure, to charge the entire outstanding amounts to the Member States concerned. Moreover, Member States are required to off-set any outstanding debts against future payments to the debtor (compulsory compensation).</w:t>
      </w:r>
      <w:r>
        <w:rPr>
          <w:sz w:val="20"/>
        </w:rPr>
        <w:t xml:space="preserve"> This system encourages Member States in their efforts to actually recover irregular payments without unjustified delays.</w:t>
      </w:r>
    </w:p>
    <w:p w:rsidR="008C2902" w:rsidRDefault="00AD2EC1">
      <w:pPr>
        <w:pStyle w:val="Textstand-alone"/>
        <w:rPr>
          <w:sz w:val="20"/>
          <w:szCs w:val="20"/>
        </w:rPr>
      </w:pPr>
      <w:r>
        <w:rPr>
          <w:sz w:val="20"/>
          <w:szCs w:val="20"/>
        </w:rPr>
        <w:t xml:space="preserve">For </w:t>
      </w:r>
      <w:r>
        <w:rPr>
          <w:b/>
          <w:sz w:val="20"/>
          <w:szCs w:val="20"/>
        </w:rPr>
        <w:t xml:space="preserve">EAFRD </w:t>
      </w:r>
      <w:r>
        <w:rPr>
          <w:sz w:val="20"/>
          <w:szCs w:val="20"/>
        </w:rPr>
        <w:t>recoveries are taken into consideration in a future reimbursement claim received by the Commission and therefore can be reused for the programme within the programming period – after the end of the eligibility period it is credited to the EU budget as assigned revenue.</w:t>
      </w:r>
    </w:p>
    <w:p w:rsidR="008C2902" w:rsidRDefault="00AD2EC1">
      <w:pPr>
        <w:pStyle w:val="Textstand-alone"/>
        <w:rPr>
          <w:sz w:val="20"/>
          <w:szCs w:val="20"/>
        </w:rPr>
      </w:pPr>
      <w:r>
        <w:rPr>
          <w:sz w:val="20"/>
          <w:szCs w:val="20"/>
        </w:rPr>
        <w:t>Under</w:t>
      </w:r>
      <w:r>
        <w:rPr>
          <w:b/>
          <w:sz w:val="20"/>
          <w:szCs w:val="20"/>
        </w:rPr>
        <w:t xml:space="preserve"> Cohesion policy,</w:t>
      </w:r>
      <w:r>
        <w:rPr>
          <w:sz w:val="20"/>
          <w:szCs w:val="20"/>
        </w:rPr>
        <w:t xml:space="preserve"> recoveries are mainly issued at or after closure of the programmes and result in revenue for the EU budget. Under the current programming period (2014-2020), in the framework of the acceptance of the accounts recoveries can be off-set with future reimbursement claims (and re-used for the programme).</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rPr>
        <w:t xml:space="preserve">Under </w:t>
      </w:r>
      <w:r>
        <w:rPr>
          <w:rFonts w:ascii="Verdana" w:hAnsi="Verdana"/>
          <w:b/>
          <w:noProof/>
          <w:sz w:val="20"/>
          <w:szCs w:val="20"/>
        </w:rPr>
        <w:t>direct and indirect management</w:t>
      </w:r>
      <w:r>
        <w:rPr>
          <w:rFonts w:ascii="Verdana" w:hAnsi="Verdana"/>
          <w:noProof/>
          <w:sz w:val="20"/>
          <w:szCs w:val="20"/>
        </w:rPr>
        <w:t>, and in accordance with the Financial Regulation, recovery orders should be established by the authorising officer for amounts unduly paid. Recoveries are then implemented by direct bank transfer from the debtor (and constitutes revenue for the EU budget that can be re-used for the same programme) or by offsetting from other amounts that the Commission owes to the debtor. Commission services implement recoveries also "at source" by deducting ineligible expenditure (which has been identified in previous or current cost claims) from payments made.</w:t>
      </w:r>
    </w:p>
    <w:p w:rsidR="008C2902" w:rsidRDefault="00AD2EC1">
      <w:pPr>
        <w:pStyle w:val="ManualHeading2"/>
        <w:rPr>
          <w:noProof/>
        </w:rPr>
      </w:pPr>
      <w:bookmarkStart w:id="20" w:name="_Toc431383853"/>
      <w:bookmarkStart w:id="21" w:name="_Toc432061771"/>
      <w:r>
        <w:lastRenderedPageBreak/>
        <w:t>2.3.</w:t>
      </w:r>
      <w:r>
        <w:tab/>
      </w:r>
      <w:r>
        <w:rPr>
          <w:noProof/>
        </w:rPr>
        <w:t>Agriculture</w:t>
      </w:r>
      <w:bookmarkEnd w:id="20"/>
      <w:bookmarkEnd w:id="21"/>
    </w:p>
    <w:p w:rsidR="008C2902" w:rsidRDefault="00AD2EC1">
      <w:pPr>
        <w:keepNext/>
        <w:spacing w:before="120" w:after="120"/>
        <w:outlineLvl w:val="3"/>
        <w:rPr>
          <w:rFonts w:ascii="Verdana" w:eastAsia="Times New Roman" w:hAnsi="Verdana"/>
          <w:bCs/>
          <w:i/>
          <w:noProof/>
          <w:sz w:val="20"/>
          <w:szCs w:val="20"/>
        </w:rPr>
      </w:pPr>
      <w:r>
        <w:rPr>
          <w:rFonts w:ascii="Verdana" w:eastAsia="Times New Roman" w:hAnsi="Verdana"/>
          <w:bCs/>
          <w:i/>
          <w:noProof/>
          <w:sz w:val="20"/>
          <w:szCs w:val="20"/>
        </w:rPr>
        <w:t>2.3.1.</w:t>
      </w:r>
      <w:r>
        <w:rPr>
          <w:rFonts w:ascii="Verdana" w:eastAsia="Times New Roman" w:hAnsi="Verdana"/>
          <w:bCs/>
          <w:i/>
          <w:noProof/>
          <w:sz w:val="20"/>
          <w:szCs w:val="20"/>
        </w:rPr>
        <w:tab/>
        <w:t>How does the Commission protect the CAP expenditure ?</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According to the CAP legal framework, financial corrections imposed by the Commission on Member States have always been net corrections</w:t>
      </w:r>
      <w:r>
        <w:rPr>
          <w:rStyle w:val="FootnoteReference"/>
          <w:rFonts w:ascii="Verdana" w:hAnsi="Verdana"/>
          <w:noProof/>
          <w:sz w:val="20"/>
          <w:szCs w:val="20"/>
          <w:lang w:eastAsia="en-GB"/>
        </w:rPr>
        <w:footnoteReference w:id="4"/>
      </w:r>
      <w:r>
        <w:rPr>
          <w:rFonts w:ascii="Verdana" w:hAnsi="Verdana"/>
          <w:noProof/>
          <w:sz w:val="20"/>
          <w:szCs w:val="20"/>
          <w:lang w:eastAsia="en-GB"/>
        </w:rPr>
        <w:t>. The amounts are actually reimbursed by the Member States and are treated as assigned revenue in the EU budget. They are used to finance CAP expenditure as a whole without being earmarked for any particular Member State.</w:t>
      </w:r>
    </w:p>
    <w:p w:rsidR="008C2902" w:rsidRDefault="00AD2EC1">
      <w:pPr>
        <w:spacing w:line="240" w:lineRule="auto"/>
        <w:jc w:val="both"/>
        <w:rPr>
          <w:rFonts w:ascii="Verdana" w:hAnsi="Verdana"/>
          <w:noProof/>
          <w:sz w:val="20"/>
          <w:szCs w:val="20"/>
          <w:lang w:eastAsia="en-GB"/>
        </w:rPr>
      </w:pPr>
      <w:r>
        <w:rPr>
          <w:rFonts w:ascii="Verdana" w:hAnsi="Verdana"/>
          <w:noProof/>
          <w:sz w:val="20"/>
          <w:szCs w:val="20"/>
          <w:lang w:eastAsia="en-GB"/>
        </w:rPr>
        <w:t xml:space="preserve">Every year the Commission adopts between 2 and 4 conformity clearance decisions covering a package of individual financial corrections. The actual execution of the reimbursement to the EU budget may be delayed via instalment or deferral decisions. </w:t>
      </w:r>
      <w:r>
        <w:rPr>
          <w:rFonts w:ascii="Verdana" w:hAnsi="Verdana"/>
          <w:noProof/>
          <w:sz w:val="20"/>
        </w:rPr>
        <w:t xml:space="preserve">Implementation by instalments was so far accepted for Bulgaria, France, Greece, Lithuania, Portugal, Romania and Spain. </w:t>
      </w:r>
      <w:r>
        <w:rPr>
          <w:rFonts w:ascii="Verdana" w:eastAsia="Times New Roman" w:hAnsi="Verdana" w:cs="Calibri"/>
          <w:noProof/>
          <w:sz w:val="20"/>
          <w:szCs w:val="20"/>
          <w:lang w:eastAsia="en-GB"/>
        </w:rPr>
        <w:t>Additionally, in 2012, the Commission introduced a new provision</w:t>
      </w:r>
      <w:r>
        <w:rPr>
          <w:rFonts w:ascii="Verdana" w:eastAsia="Times New Roman" w:hAnsi="Verdana" w:cs="Calibri"/>
          <w:noProof/>
          <w:sz w:val="20"/>
          <w:szCs w:val="20"/>
          <w:vertAlign w:val="superscript"/>
          <w:lang w:eastAsia="en-GB"/>
        </w:rPr>
        <w:footnoteReference w:id="5"/>
      </w:r>
      <w:r>
        <w:rPr>
          <w:rFonts w:ascii="Verdana" w:eastAsia="Times New Roman" w:hAnsi="Verdana" w:cs="Calibri"/>
          <w:noProof/>
          <w:sz w:val="20"/>
          <w:szCs w:val="20"/>
          <w:lang w:eastAsia="en-GB"/>
        </w:rPr>
        <w:t xml:space="preserve"> which permitted deferral of reimbursment of financial corrections</w:t>
      </w:r>
      <w:r>
        <w:rPr>
          <w:rFonts w:ascii="Verdana" w:eastAsia="Times New Roman" w:hAnsi="Verdana"/>
          <w:b/>
          <w:bCs/>
          <w:noProof/>
          <w:color w:val="1F497D"/>
          <w:sz w:val="20"/>
          <w:szCs w:val="20"/>
          <w:lang w:eastAsia="en-GB"/>
        </w:rPr>
        <w:t xml:space="preserve"> </w:t>
      </w:r>
      <w:r>
        <w:rPr>
          <w:rFonts w:ascii="Verdana" w:eastAsia="Times New Roman" w:hAnsi="Verdana" w:cs="Calibri"/>
          <w:noProof/>
          <w:sz w:val="20"/>
          <w:szCs w:val="20"/>
          <w:lang w:eastAsia="en-GB"/>
        </w:rPr>
        <w:t xml:space="preserve">for Member States under EU financial assistance and under the conditions that the deficiencies at the origin of the financial correction are remedied. </w:t>
      </w:r>
      <w:r>
        <w:rPr>
          <w:rFonts w:ascii="Verdana" w:hAnsi="Verdana"/>
          <w:noProof/>
          <w:sz w:val="20"/>
        </w:rPr>
        <w:t xml:space="preserve">After the expiry of the deferral period the corrections are executed in annual instalments. To date, deferrals were granted to Portugal and Greece. </w:t>
      </w:r>
      <w:r>
        <w:rPr>
          <w:rFonts w:ascii="Verdana" w:hAnsi="Verdana"/>
          <w:noProof/>
          <w:sz w:val="20"/>
          <w:szCs w:val="20"/>
          <w:lang w:eastAsia="en-GB"/>
        </w:rPr>
        <w:t>Up to end of 2014, instalment decisions had been adopted in respect of EUR 1.1 billion while such decisions were also adopted in January 2015 in respect of a further EUR 1.3 billion (EUR 2.4 billion in total).</w:t>
      </w:r>
    </w:p>
    <w:p w:rsidR="008C2902" w:rsidRDefault="00AD2EC1">
      <w:pPr>
        <w:spacing w:line="240" w:lineRule="auto"/>
        <w:jc w:val="both"/>
        <w:rPr>
          <w:rFonts w:ascii="Verdana" w:eastAsia="Times New Roman" w:hAnsi="Verdana"/>
          <w:bCs/>
          <w:i/>
          <w:noProof/>
          <w:sz w:val="20"/>
          <w:szCs w:val="20"/>
        </w:rPr>
      </w:pPr>
      <w:r>
        <w:rPr>
          <w:rFonts w:ascii="Verdana" w:eastAsia="Times New Roman" w:hAnsi="Verdana"/>
          <w:bCs/>
          <w:i/>
          <w:noProof/>
          <w:sz w:val="20"/>
          <w:szCs w:val="20"/>
        </w:rPr>
        <w:t>2.3.2.</w:t>
      </w:r>
      <w:r>
        <w:rPr>
          <w:rFonts w:ascii="Verdana" w:eastAsia="Times New Roman" w:hAnsi="Verdana"/>
          <w:bCs/>
          <w:i/>
          <w:noProof/>
          <w:sz w:val="20"/>
          <w:szCs w:val="20"/>
        </w:rPr>
        <w:tab/>
        <w:t>Ongoing improvements for the period 2014-2020</w:t>
      </w:r>
    </w:p>
    <w:p w:rsidR="008C2902" w:rsidRDefault="00AD2EC1">
      <w:pPr>
        <w:keepNext/>
        <w:spacing w:before="120" w:after="60"/>
        <w:outlineLvl w:val="3"/>
        <w:rPr>
          <w:rFonts w:ascii="Verdana" w:eastAsia="Times New Roman" w:hAnsi="Verdana"/>
          <w:bCs/>
          <w:i/>
          <w:noProof/>
          <w:sz w:val="20"/>
          <w:szCs w:val="20"/>
        </w:rPr>
      </w:pPr>
      <w:r>
        <w:rPr>
          <w:rFonts w:ascii="Verdana" w:eastAsia="Times New Roman" w:hAnsi="Verdana"/>
          <w:bCs/>
          <w:i/>
          <w:noProof/>
          <w:sz w:val="20"/>
          <w:szCs w:val="20"/>
        </w:rPr>
        <w:t xml:space="preserve">(A) Focus on more risky expenditure </w:t>
      </w:r>
    </w:p>
    <w:p w:rsidR="008C2902" w:rsidRDefault="00AD2EC1">
      <w:pPr>
        <w:spacing w:after="240" w:line="240" w:lineRule="auto"/>
        <w:jc w:val="both"/>
        <w:rPr>
          <w:rFonts w:ascii="Verdana" w:hAnsi="Verdana"/>
          <w:noProof/>
          <w:sz w:val="20"/>
          <w:szCs w:val="20"/>
        </w:rPr>
      </w:pPr>
      <w:r>
        <w:rPr>
          <w:rFonts w:ascii="Verdana" w:hAnsi="Verdana"/>
          <w:noProof/>
          <w:sz w:val="20"/>
          <w:szCs w:val="20"/>
        </w:rPr>
        <w:t xml:space="preserve">As a result of the higher error rates reported by the ECA in its recent audit exercise, the number of EAFRD audits were increased significantly in 2013 (to 35) and again in 2014 (to 45), thus double the 2012 amount (23). Another consequence is that some Member States are audited every year, until all serious deficiencies are remedied. The audit strategy for the period is based on a reinforced risk analysis and a rolling three-year programme which will ensure a better coverage of the overall expenditure, </w:t>
      </w:r>
      <w:r>
        <w:rPr>
          <w:rFonts w:ascii="Verdana" w:hAnsi="Verdana"/>
          <w:noProof/>
          <w:sz w:val="20"/>
        </w:rPr>
        <w:t>notably to achieve a better audit coverage, and targeting mainly the serious and/or systemic deficiencies in the Member States’ management and control systems</w:t>
      </w:r>
      <w:r>
        <w:rPr>
          <w:rFonts w:ascii="Verdana" w:hAnsi="Verdana"/>
          <w:noProof/>
          <w:sz w:val="20"/>
          <w:szCs w:val="20"/>
        </w:rPr>
        <w:t xml:space="preserve">. More intensive audit activities will continue in the most risky areas with a system-based approach. </w:t>
      </w:r>
    </w:p>
    <w:p w:rsidR="008C2902" w:rsidRDefault="00AD2EC1">
      <w:pPr>
        <w:keepNext/>
        <w:spacing w:before="120" w:after="60"/>
        <w:outlineLvl w:val="3"/>
        <w:rPr>
          <w:rFonts w:ascii="Verdana" w:eastAsia="Times New Roman" w:hAnsi="Verdana"/>
          <w:bCs/>
          <w:i/>
          <w:noProof/>
          <w:sz w:val="20"/>
          <w:szCs w:val="20"/>
        </w:rPr>
      </w:pPr>
      <w:r>
        <w:rPr>
          <w:rFonts w:ascii="Verdana" w:eastAsia="Times New Roman" w:hAnsi="Verdana"/>
          <w:bCs/>
          <w:i/>
          <w:noProof/>
          <w:sz w:val="20"/>
          <w:szCs w:val="20"/>
        </w:rPr>
        <w:t>(B) No discretion and a ranking of financial corrections</w:t>
      </w:r>
    </w:p>
    <w:p w:rsidR="008C2902" w:rsidRDefault="00AD2EC1">
      <w:pPr>
        <w:spacing w:after="240" w:line="240" w:lineRule="auto"/>
        <w:jc w:val="both"/>
        <w:rPr>
          <w:rFonts w:ascii="Verdana" w:hAnsi="Verdana"/>
          <w:noProof/>
          <w:sz w:val="20"/>
          <w:szCs w:val="20"/>
        </w:rPr>
      </w:pPr>
      <w:r>
        <w:rPr>
          <w:rFonts w:ascii="Verdana" w:hAnsi="Verdana"/>
          <w:noProof/>
          <w:sz w:val="20"/>
          <w:szCs w:val="20"/>
        </w:rPr>
        <w:t>Any identified risk to the EU budget will systematically trigger a net financial correction since the Commission is legally bound to exclude any identified illegal expenditure from EU financing. Both EAGF and EAFRD net financial corrections are governed by the new CAP Horizontal Regulation which tightens the procedure even more, to the extent that the method and the criteria for fixing the amount of financial corrections is now set out in the delegated act. Both the Financial Regulation and the new CAP Horizontal Regulation provide for a ranking of types of net financial corrections where flat-rate corrections may only be used if calculated or extrapolated corrections cannot be established with proportionate efforts.</w:t>
      </w:r>
    </w:p>
    <w:p w:rsidR="008C2902" w:rsidRDefault="00AD2EC1">
      <w:pPr>
        <w:keepNext/>
        <w:spacing w:before="120" w:after="60"/>
        <w:outlineLvl w:val="3"/>
        <w:rPr>
          <w:rFonts w:ascii="Verdana" w:eastAsia="Times New Roman" w:hAnsi="Verdana"/>
          <w:bCs/>
          <w:i/>
          <w:noProof/>
          <w:sz w:val="20"/>
          <w:szCs w:val="20"/>
        </w:rPr>
      </w:pPr>
      <w:r>
        <w:rPr>
          <w:rFonts w:ascii="Verdana" w:eastAsia="Times New Roman" w:hAnsi="Verdana"/>
          <w:bCs/>
          <w:i/>
          <w:noProof/>
          <w:sz w:val="20"/>
          <w:szCs w:val="20"/>
        </w:rPr>
        <w:lastRenderedPageBreak/>
        <w:t>(C) Shorter conformity procedure</w:t>
      </w:r>
    </w:p>
    <w:p w:rsidR="008C2902" w:rsidRDefault="00AD2EC1">
      <w:pPr>
        <w:spacing w:after="240" w:line="240" w:lineRule="auto"/>
        <w:jc w:val="both"/>
        <w:rPr>
          <w:rFonts w:ascii="Verdana" w:eastAsia="Times New Roman" w:hAnsi="Verdana"/>
          <w:noProof/>
          <w:sz w:val="20"/>
          <w:szCs w:val="20"/>
          <w:lang w:eastAsia="en-GB"/>
        </w:rPr>
      </w:pPr>
      <w:r>
        <w:rPr>
          <w:rFonts w:ascii="Verdana" w:eastAsia="Times New Roman" w:hAnsi="Verdana"/>
          <w:noProof/>
          <w:sz w:val="20"/>
          <w:szCs w:val="20"/>
          <w:lang w:eastAsia="en-GB"/>
        </w:rPr>
        <w:t xml:space="preserve">The Commission will continue with actions aimed at streamlining the whole procedure. Firstly, the new CAP Horizontal Regulation describes precisely the nature, scope and sequence of the successive steps, as well as the different types of financial corrections. Secondly, provisions in the delegated act (method and criteria for calculating the financial correction) and implementing acts (details of the conformity procedure, with mandatory deadlines) are intended to further streamline the legal framework and limit the risk of unnecessary delays. Thirdly, the Commission will intensify its monitoring of the progress of the conformity procedures to ensure a strict respect of the deadlines. </w:t>
      </w:r>
    </w:p>
    <w:p w:rsidR="008C2902" w:rsidRDefault="00AD2EC1">
      <w:pPr>
        <w:keepNext/>
        <w:spacing w:before="120" w:after="60"/>
        <w:outlineLvl w:val="3"/>
        <w:rPr>
          <w:rFonts w:ascii="Verdana" w:eastAsia="Times New Roman" w:hAnsi="Verdana"/>
          <w:bCs/>
          <w:i/>
          <w:noProof/>
          <w:sz w:val="20"/>
          <w:szCs w:val="20"/>
        </w:rPr>
      </w:pPr>
      <w:r>
        <w:rPr>
          <w:rFonts w:ascii="Verdana" w:eastAsia="Times New Roman" w:hAnsi="Verdana"/>
          <w:bCs/>
          <w:i/>
          <w:noProof/>
          <w:sz w:val="20"/>
          <w:szCs w:val="20"/>
        </w:rPr>
        <w:t>(D) Reinforcement of the Commission's supervisory role</w:t>
      </w:r>
    </w:p>
    <w:p w:rsidR="008C2902" w:rsidRDefault="00AD2EC1">
      <w:pPr>
        <w:autoSpaceDE w:val="0"/>
        <w:autoSpaceDN w:val="0"/>
        <w:adjustRightInd w:val="0"/>
        <w:spacing w:before="120" w:after="240" w:line="240" w:lineRule="auto"/>
        <w:jc w:val="both"/>
        <w:rPr>
          <w:rFonts w:ascii="Verdana" w:hAnsi="Verdana"/>
          <w:noProof/>
          <w:sz w:val="20"/>
        </w:rPr>
      </w:pPr>
      <w:r>
        <w:rPr>
          <w:rFonts w:ascii="Verdana" w:hAnsi="Verdana"/>
          <w:noProof/>
          <w:sz w:val="20"/>
        </w:rPr>
        <w:t xml:space="preserve">The CAP regulatory tools have been reinforced for the period 2014-2020, including: having a single system of monitoring and evaluation for both pillars, streamlining/speeding up of the conformity clearance procedure, better definition of the criteria and methodology for applying net financial corrections, introducing a new model for assurance by the Certification Body (CB) on the legality and regularity of declared expenditure based on representative samples. </w:t>
      </w:r>
    </w:p>
    <w:p w:rsidR="008C2902" w:rsidRDefault="00AD2EC1">
      <w:pPr>
        <w:keepNext/>
        <w:spacing w:before="120" w:after="60"/>
        <w:outlineLvl w:val="3"/>
        <w:rPr>
          <w:rFonts w:ascii="Verdana" w:eastAsia="Times New Roman" w:hAnsi="Verdana"/>
          <w:bCs/>
          <w:i/>
          <w:noProof/>
          <w:sz w:val="20"/>
          <w:szCs w:val="20"/>
        </w:rPr>
      </w:pPr>
      <w:r>
        <w:rPr>
          <w:rFonts w:ascii="Verdana" w:eastAsia="Times New Roman" w:hAnsi="Verdana"/>
          <w:bCs/>
          <w:i/>
          <w:noProof/>
          <w:sz w:val="20"/>
          <w:szCs w:val="20"/>
        </w:rPr>
        <w:t>(E) Simplification</w:t>
      </w:r>
    </w:p>
    <w:p w:rsidR="008C2902" w:rsidRDefault="00AD2EC1">
      <w:pPr>
        <w:spacing w:before="120" w:after="0" w:line="240" w:lineRule="auto"/>
        <w:jc w:val="both"/>
        <w:rPr>
          <w:rFonts w:ascii="Verdana" w:hAnsi="Verdana"/>
          <w:noProof/>
          <w:sz w:val="20"/>
        </w:rPr>
      </w:pPr>
      <w:r>
        <w:rPr>
          <w:rFonts w:ascii="Verdana" w:hAnsi="Verdana"/>
          <w:noProof/>
          <w:sz w:val="20"/>
        </w:rPr>
        <w:t>Notably for EAFRD, the Commission will continue its efforts to identify the root causes of errors (an ad-hoc task force was set-up), and to propose and encourage the widest possible use of the simplified payment schemes that are less prone to errors. More globally, the Commission, together with the stakeholders, is engaged in a simplification process where all legal acts and guidelines are assessed with a view to identify all possible simplifications and make the necessary changes as soon as possible: in the short term for delegated and implementing acts and guidelines, in the mid-term for the basic acts.</w:t>
      </w:r>
    </w:p>
    <w:p w:rsidR="008C2902" w:rsidRDefault="008C2902">
      <w:pPr>
        <w:spacing w:before="120" w:after="0" w:line="240" w:lineRule="auto"/>
        <w:jc w:val="both"/>
        <w:rPr>
          <w:rFonts w:ascii="Verdana" w:hAnsi="Verdana"/>
          <w:noProof/>
          <w:sz w:val="20"/>
        </w:rPr>
      </w:pPr>
    </w:p>
    <w:p w:rsidR="008C2902" w:rsidRDefault="00AD2EC1">
      <w:pPr>
        <w:spacing w:after="120" w:line="240" w:lineRule="auto"/>
        <w:jc w:val="both"/>
        <w:rPr>
          <w:rFonts w:ascii="Verdana" w:hAnsi="Verdana"/>
          <w:i/>
          <w:noProof/>
          <w:sz w:val="20"/>
          <w:szCs w:val="20"/>
        </w:rPr>
      </w:pPr>
      <w:r>
        <w:rPr>
          <w:rFonts w:ascii="Verdana" w:hAnsi="Verdana"/>
          <w:i/>
          <w:noProof/>
          <w:sz w:val="20"/>
          <w:szCs w:val="20"/>
        </w:rPr>
        <w:t xml:space="preserve">(F) Interruptions and suspension for CAP as prompt and effective instruments for the Commission to protect the EU budget </w:t>
      </w:r>
    </w:p>
    <w:p w:rsidR="008C2902" w:rsidRDefault="00AD2EC1">
      <w:pPr>
        <w:spacing w:after="240" w:line="240" w:lineRule="auto"/>
        <w:jc w:val="both"/>
        <w:rPr>
          <w:rFonts w:ascii="Verdana" w:eastAsia="Times New Roman" w:hAnsi="Verdana"/>
          <w:noProof/>
          <w:sz w:val="20"/>
          <w:szCs w:val="20"/>
          <w:lang w:eastAsia="en-GB"/>
        </w:rPr>
      </w:pPr>
      <w:r>
        <w:rPr>
          <w:rFonts w:ascii="Verdana" w:eastAsia="Times New Roman" w:hAnsi="Verdana"/>
          <w:noProof/>
          <w:sz w:val="20"/>
          <w:szCs w:val="20"/>
          <w:lang w:eastAsia="en-GB"/>
        </w:rPr>
        <w:t xml:space="preserve">These preventive actions (interruptions for EAFRD, suspensions or reductions for both EAGF and EAFRD) will allow the Commission to act promptly and effectively and protect the EU budget: no new payments will be made or they will be reduced up to the level of the estimated risk during the suspension. In addition, and as has always been the case in the previous programming periods, any identified irregular payments will be fully covered via net financial corrections. See section </w:t>
      </w:r>
      <w:r>
        <w:rPr>
          <w:rFonts w:ascii="Verdana" w:eastAsia="Times New Roman" w:hAnsi="Verdana"/>
          <w:b/>
          <w:noProof/>
          <w:sz w:val="20"/>
          <w:szCs w:val="20"/>
          <w:lang w:eastAsia="en-GB"/>
        </w:rPr>
        <w:t>2.1</w:t>
      </w:r>
      <w:r>
        <w:rPr>
          <w:rFonts w:ascii="Verdana" w:eastAsia="Times New Roman" w:hAnsi="Verdana"/>
          <w:noProof/>
          <w:sz w:val="20"/>
          <w:szCs w:val="20"/>
          <w:lang w:eastAsia="en-GB"/>
        </w:rPr>
        <w:t xml:space="preserve"> above for more details.</w:t>
      </w:r>
    </w:p>
    <w:p w:rsidR="008C2902" w:rsidRPr="00AD2EC1" w:rsidRDefault="00AD2EC1">
      <w:pPr>
        <w:pStyle w:val="ManualHeading2"/>
        <w:rPr>
          <w:noProof/>
        </w:rPr>
      </w:pPr>
      <w:bookmarkStart w:id="22" w:name="_Toc431383854"/>
      <w:bookmarkStart w:id="23" w:name="_Toc432061772"/>
      <w:r>
        <w:t>2.4.</w:t>
      </w:r>
      <w:r>
        <w:tab/>
      </w:r>
      <w:r>
        <w:rPr>
          <w:noProof/>
        </w:rPr>
        <w:t>Cohesion</w:t>
      </w:r>
      <w:bookmarkEnd w:id="22"/>
      <w:bookmarkEnd w:id="23"/>
    </w:p>
    <w:p w:rsidR="008C2902" w:rsidRDefault="00AD2EC1">
      <w:pPr>
        <w:keepNext/>
        <w:spacing w:before="120" w:after="120"/>
        <w:outlineLvl w:val="3"/>
        <w:rPr>
          <w:rFonts w:ascii="Verdana" w:eastAsia="Times New Roman" w:hAnsi="Verdana"/>
          <w:bCs/>
          <w:i/>
          <w:noProof/>
          <w:sz w:val="20"/>
          <w:szCs w:val="20"/>
        </w:rPr>
      </w:pPr>
      <w:r>
        <w:rPr>
          <w:rFonts w:ascii="Verdana" w:eastAsia="Times New Roman" w:hAnsi="Verdana"/>
          <w:bCs/>
          <w:i/>
          <w:noProof/>
          <w:sz w:val="20"/>
          <w:szCs w:val="20"/>
        </w:rPr>
        <w:t>2.4.1.</w:t>
      </w:r>
      <w:r>
        <w:rPr>
          <w:rFonts w:ascii="Verdana" w:eastAsia="Times New Roman" w:hAnsi="Verdana"/>
          <w:bCs/>
          <w:i/>
          <w:noProof/>
          <w:sz w:val="20"/>
          <w:szCs w:val="20"/>
        </w:rPr>
        <w:tab/>
        <w:t>Situation up to 2007-2013 programming period</w:t>
      </w:r>
    </w:p>
    <w:p w:rsidR="008C2902" w:rsidRDefault="00AD2EC1">
      <w:pPr>
        <w:spacing w:line="240" w:lineRule="auto"/>
        <w:jc w:val="both"/>
        <w:rPr>
          <w:rFonts w:ascii="Verdana" w:hAnsi="Verdana"/>
          <w:noProof/>
          <w:sz w:val="20"/>
        </w:rPr>
      </w:pPr>
      <w:r>
        <w:rPr>
          <w:rFonts w:ascii="Verdana" w:hAnsi="Verdana"/>
          <w:noProof/>
          <w:sz w:val="20"/>
          <w:szCs w:val="20"/>
          <w:lang w:eastAsia="en-GB"/>
        </w:rPr>
        <w:t xml:space="preserve">Funds released following financial corrections in the Cohesion area were available for reuse and replacement by regular expenditure during the life-cycle of the programme. </w:t>
      </w:r>
      <w:r>
        <w:rPr>
          <w:rFonts w:ascii="Verdana" w:hAnsi="Verdana"/>
          <w:noProof/>
          <w:sz w:val="20"/>
        </w:rPr>
        <w:t xml:space="preserve">Due to the legal framework, net financial corrections leading to the return of previously paid amounts to the EU budget were generally the exception during programme implementation. </w:t>
      </w:r>
    </w:p>
    <w:p w:rsidR="008C2902" w:rsidRDefault="00AD2EC1">
      <w:pPr>
        <w:spacing w:after="120" w:line="240" w:lineRule="auto"/>
        <w:rPr>
          <w:rFonts w:ascii="Verdana" w:hAnsi="Verdana"/>
          <w:i/>
          <w:noProof/>
          <w:sz w:val="20"/>
        </w:rPr>
      </w:pPr>
      <w:r>
        <w:rPr>
          <w:rFonts w:ascii="Verdana" w:hAnsi="Verdana"/>
          <w:i/>
          <w:noProof/>
          <w:sz w:val="20"/>
        </w:rPr>
        <w:t>2.4.2.</w:t>
      </w:r>
      <w:r>
        <w:rPr>
          <w:rFonts w:ascii="Verdana" w:hAnsi="Verdana"/>
          <w:i/>
          <w:noProof/>
          <w:sz w:val="20"/>
        </w:rPr>
        <w:tab/>
        <w:t>Improvements planned for period 2014-2020</w:t>
      </w:r>
    </w:p>
    <w:p w:rsidR="008C2902" w:rsidRDefault="00AD2EC1">
      <w:pPr>
        <w:pStyle w:val="Text1"/>
        <w:spacing w:after="120"/>
        <w:ind w:left="0"/>
        <w:rPr>
          <w:rFonts w:ascii="Verdana" w:eastAsia="Calibri" w:hAnsi="Verdana"/>
          <w:i/>
          <w:noProof/>
          <w:sz w:val="20"/>
          <w:szCs w:val="22"/>
        </w:rPr>
      </w:pPr>
      <w:r>
        <w:rPr>
          <w:rFonts w:ascii="Verdana" w:eastAsia="Calibri" w:hAnsi="Verdana"/>
          <w:i/>
          <w:noProof/>
          <w:sz w:val="20"/>
          <w:szCs w:val="22"/>
        </w:rPr>
        <w:t>(A) Net financial corrections</w:t>
      </w:r>
    </w:p>
    <w:p w:rsidR="008C2902" w:rsidRDefault="00AD2EC1">
      <w:pPr>
        <w:pStyle w:val="ListParagraph"/>
        <w:ind w:left="0"/>
        <w:contextualSpacing w:val="0"/>
        <w:rPr>
          <w:rFonts w:ascii="Verdana" w:hAnsi="Verdana"/>
          <w:noProof/>
          <w:sz w:val="20"/>
        </w:rPr>
      </w:pPr>
      <w:r>
        <w:rPr>
          <w:rFonts w:ascii="Verdana" w:hAnsi="Verdana"/>
          <w:noProof/>
          <w:sz w:val="20"/>
        </w:rPr>
        <w:t>A significant change was introduced for the 2014-2020 programming period: under certain conditions laid down in Article 145(7) of the Common Provisions Regulation (CPR), the Commission has the obligation to apply a net financial correction. In such cases the current possibility for the Member State to accept the correction and to re-use the EU funds in question is removed.</w:t>
      </w:r>
    </w:p>
    <w:p w:rsidR="008C2902" w:rsidRDefault="00AD2EC1">
      <w:pPr>
        <w:pStyle w:val="Text1"/>
        <w:ind w:left="0"/>
        <w:rPr>
          <w:rFonts w:ascii="Verdana" w:eastAsia="Calibri" w:hAnsi="Verdana"/>
          <w:noProof/>
          <w:sz w:val="20"/>
          <w:szCs w:val="22"/>
        </w:rPr>
      </w:pPr>
      <w:r>
        <w:rPr>
          <w:rFonts w:ascii="Verdana" w:eastAsia="Calibri" w:hAnsi="Verdana"/>
          <w:noProof/>
          <w:sz w:val="20"/>
          <w:szCs w:val="22"/>
        </w:rPr>
        <w:lastRenderedPageBreak/>
        <w:t xml:space="preserve">Net financial corrections in the 2014-2020 period therefore introduce an additional incentive on the side of the Member States to further improve their management and control systems since these corrections will reduce the funds earmarked for a particular Member State when serious deficiencies not previously detected, reported nor corrected at Member State level are discovered by EU audits. </w:t>
      </w:r>
    </w:p>
    <w:p w:rsidR="008C2902" w:rsidRDefault="00AD2EC1">
      <w:pPr>
        <w:pStyle w:val="Text1"/>
        <w:spacing w:after="120"/>
        <w:ind w:left="0"/>
        <w:rPr>
          <w:rFonts w:ascii="Verdana" w:eastAsia="Calibri" w:hAnsi="Verdana"/>
          <w:i/>
          <w:noProof/>
          <w:sz w:val="20"/>
          <w:szCs w:val="22"/>
        </w:rPr>
      </w:pPr>
      <w:r>
        <w:rPr>
          <w:rFonts w:ascii="Verdana" w:eastAsia="Calibri" w:hAnsi="Verdana"/>
          <w:i/>
          <w:noProof/>
          <w:sz w:val="20"/>
          <w:szCs w:val="22"/>
        </w:rPr>
        <w:t>(B) Incentives for Member States to improve their controls</w:t>
      </w:r>
    </w:p>
    <w:p w:rsidR="008C2902" w:rsidRDefault="00AD2EC1">
      <w:pPr>
        <w:pStyle w:val="ListParagraph"/>
        <w:ind w:left="0"/>
        <w:contextualSpacing w:val="0"/>
        <w:rPr>
          <w:rFonts w:ascii="Verdana" w:hAnsi="Verdana"/>
          <w:noProof/>
          <w:sz w:val="20"/>
        </w:rPr>
      </w:pPr>
      <w:r>
        <w:rPr>
          <w:rFonts w:ascii="Verdana" w:eastAsia="Calibri" w:hAnsi="Verdana"/>
          <w:noProof/>
          <w:sz w:val="20"/>
          <w:szCs w:val="22"/>
        </w:rPr>
        <w:t>When drawing up the accounts, the management declaration and the audit opinion, the programme authorities should obtain reasonable assurance through such control procedures that all material irregularities have been corrected and that possible serious deficiencies, at any level of the management and control system, have been addressed, or are being addressed. Audit authorities will play a reinforced role in presenting audit opinions every year for each programme: their audit opinions will be based on annual residual risks of error. Residual error rates reported by Member States will be assessed and validated by the Commission’s DGs when preparing their Annual Activity Reports (AARs).</w:t>
      </w:r>
    </w:p>
    <w:p w:rsidR="008C2902" w:rsidRDefault="00AD2EC1">
      <w:pPr>
        <w:pStyle w:val="ListParagraph"/>
        <w:ind w:left="0"/>
        <w:contextualSpacing w:val="0"/>
        <w:rPr>
          <w:rFonts w:ascii="Verdana" w:hAnsi="Verdana"/>
          <w:noProof/>
          <w:sz w:val="20"/>
        </w:rPr>
      </w:pPr>
      <w:r>
        <w:rPr>
          <w:rFonts w:ascii="Verdana" w:hAnsi="Verdana"/>
          <w:noProof/>
          <w:sz w:val="20"/>
        </w:rPr>
        <w:t>Within the new financial management cycle, 15 February following each accounting year</w:t>
      </w:r>
      <w:r>
        <w:rPr>
          <w:rStyle w:val="FootnoteReference"/>
          <w:rFonts w:ascii="Verdana" w:hAnsi="Verdana"/>
          <w:noProof/>
          <w:sz w:val="20"/>
        </w:rPr>
        <w:footnoteReference w:id="6"/>
      </w:r>
      <w:r>
        <w:rPr>
          <w:rFonts w:ascii="Verdana" w:hAnsi="Verdana"/>
          <w:noProof/>
          <w:sz w:val="20"/>
        </w:rPr>
        <w:t xml:space="preserve"> is the cut-off date. By that date, Member States must submit to the Commission the programme’s accounts, management declaration, audit opinion and corresponding reports. Member States shall certify the legality and regularity of expenditure included in their annual accounts.</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 xml:space="preserve">(C) Financial corrections for irregularities/deficiencies identified </w:t>
      </w:r>
      <w:r>
        <w:rPr>
          <w:rFonts w:ascii="Verdana" w:hAnsi="Verdana"/>
          <w:i/>
          <w:noProof/>
          <w:sz w:val="20"/>
          <w:u w:val="single"/>
        </w:rPr>
        <w:t>before</w:t>
      </w:r>
      <w:r>
        <w:rPr>
          <w:rFonts w:ascii="Verdana" w:hAnsi="Verdana"/>
          <w:i/>
          <w:noProof/>
          <w:sz w:val="20"/>
        </w:rPr>
        <w:t xml:space="preserve"> 15 February each year </w:t>
      </w:r>
    </w:p>
    <w:p w:rsidR="008C2902" w:rsidRDefault="00AD2EC1">
      <w:pPr>
        <w:pStyle w:val="ListParagraph"/>
        <w:ind w:left="0"/>
        <w:contextualSpacing w:val="0"/>
        <w:rPr>
          <w:rFonts w:ascii="Verdana" w:hAnsi="Verdana"/>
          <w:noProof/>
          <w:sz w:val="20"/>
        </w:rPr>
      </w:pPr>
      <w:r>
        <w:rPr>
          <w:rFonts w:ascii="Verdana" w:hAnsi="Verdana"/>
          <w:noProof/>
          <w:sz w:val="20"/>
        </w:rPr>
        <w:t xml:space="preserve">The rules of the 2014-2020 programming period concerning financial corrections for irregularities identified </w:t>
      </w:r>
      <w:r>
        <w:rPr>
          <w:rFonts w:ascii="Verdana" w:hAnsi="Verdana"/>
          <w:noProof/>
          <w:sz w:val="20"/>
          <w:u w:val="single"/>
        </w:rPr>
        <w:t>before</w:t>
      </w:r>
      <w:r>
        <w:rPr>
          <w:rFonts w:ascii="Verdana" w:hAnsi="Verdana"/>
          <w:noProof/>
          <w:sz w:val="20"/>
        </w:rPr>
        <w:t xml:space="preserve"> 15 February each year are similar to those of the 2007-2013 programming period. The objective is to maintain the incentive for Member States to detect and correct irregularities themselves. Irregular expenditure detected through national verifications or audits has to be deducted from the accounts to be submitted to the Commission by 15 February each year. Having done so, the Member State will be able to re-use the amounts thus corrected for new eligible operations under the programme, just as in the 2007-2013 programming period.</w:t>
      </w:r>
    </w:p>
    <w:p w:rsidR="008C2902" w:rsidRDefault="00AD2EC1">
      <w:pPr>
        <w:pStyle w:val="ListParagraph"/>
        <w:ind w:left="0"/>
        <w:contextualSpacing w:val="0"/>
        <w:rPr>
          <w:rFonts w:ascii="Verdana" w:hAnsi="Verdana"/>
          <w:noProof/>
          <w:sz w:val="20"/>
        </w:rPr>
      </w:pPr>
      <w:r>
        <w:rPr>
          <w:rFonts w:ascii="Verdana" w:hAnsi="Verdana"/>
          <w:noProof/>
          <w:sz w:val="20"/>
        </w:rPr>
        <w:t>In the case of EU audits carried out on expenditure before the certified accounts are submitted to the Commission and which detect irregularities requiring financial corrections, two scenarios are possible, as in the 2007-2013 period:</w:t>
      </w:r>
    </w:p>
    <w:p w:rsidR="008C2902" w:rsidRDefault="00AD2EC1">
      <w:pPr>
        <w:pStyle w:val="ListParagraph"/>
        <w:spacing w:after="60"/>
        <w:contextualSpacing w:val="0"/>
        <w:rPr>
          <w:rFonts w:ascii="Verdana" w:hAnsi="Verdana"/>
          <w:noProof/>
          <w:sz w:val="20"/>
        </w:rPr>
      </w:pPr>
      <w:r>
        <w:rPr>
          <w:rFonts w:ascii="Verdana" w:hAnsi="Verdana"/>
          <w:noProof/>
          <w:sz w:val="20"/>
        </w:rPr>
        <w:t xml:space="preserve">(1) If the Member State agrees on the financial correction to be made and takes action, it will be able to re-use the corrected amounts for new eligible operations (Article 145(5) of the CPR); </w:t>
      </w:r>
    </w:p>
    <w:p w:rsidR="008C2902" w:rsidRDefault="00AD2EC1">
      <w:pPr>
        <w:pStyle w:val="ListParagraph"/>
        <w:contextualSpacing w:val="0"/>
        <w:rPr>
          <w:rFonts w:ascii="Verdana" w:hAnsi="Verdana"/>
          <w:noProof/>
          <w:sz w:val="20"/>
        </w:rPr>
      </w:pPr>
      <w:r>
        <w:rPr>
          <w:rFonts w:ascii="Verdana" w:hAnsi="Verdana"/>
          <w:noProof/>
          <w:sz w:val="20"/>
        </w:rPr>
        <w:t xml:space="preserve">(2) If the Member State does not agree, the Commission will adopt a financial correction decision, following the contradictory procedure provided for in Article 145 of the CPR. This financial correction will always be net and the programme and Member State allocation will be reduced proportionally. </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 xml:space="preserve">(D) Commission assessment of legality and regularity on the basis of the accounts, audit opinion and accompanying documents submitted by 15 February each year </w:t>
      </w:r>
    </w:p>
    <w:p w:rsidR="008C2902" w:rsidRDefault="00AD2EC1">
      <w:pPr>
        <w:pStyle w:val="ListParagraph"/>
        <w:ind w:left="0"/>
        <w:contextualSpacing w:val="0"/>
        <w:rPr>
          <w:rFonts w:ascii="Verdana" w:hAnsi="Verdana"/>
          <w:noProof/>
          <w:sz w:val="20"/>
        </w:rPr>
      </w:pPr>
      <w:r>
        <w:rPr>
          <w:rFonts w:ascii="Verdana" w:hAnsi="Verdana"/>
          <w:noProof/>
          <w:sz w:val="20"/>
        </w:rPr>
        <w:t xml:space="preserve">The Commission will assess and review the audit opinions (elements relating to the functioning of systems and legality and regularity) and Annual Control Reports (ACRs), including the reported residual error rates, as well as the management declarations and annual summaries, within three months of reception of the documents provided by 15 </w:t>
      </w:r>
      <w:r>
        <w:rPr>
          <w:rFonts w:ascii="Verdana" w:hAnsi="Verdana"/>
          <w:noProof/>
          <w:sz w:val="20"/>
        </w:rPr>
        <w:lastRenderedPageBreak/>
        <w:t xml:space="preserve">February. The Commission will, on this basis, make its risk-assessment and establish its audit plan determining the required risk-based audits targeted to the selected high-risk programmes. </w:t>
      </w:r>
    </w:p>
    <w:p w:rsidR="008C2902" w:rsidRDefault="00AD2EC1">
      <w:pPr>
        <w:pStyle w:val="ListParagraph"/>
        <w:ind w:left="0"/>
        <w:contextualSpacing w:val="0"/>
        <w:rPr>
          <w:rFonts w:ascii="Verdana" w:hAnsi="Verdana"/>
          <w:noProof/>
          <w:sz w:val="20"/>
        </w:rPr>
      </w:pPr>
      <w:r>
        <w:rPr>
          <w:rFonts w:ascii="Verdana" w:hAnsi="Verdana"/>
          <w:noProof/>
          <w:sz w:val="20"/>
        </w:rPr>
        <w:t>The Commission will carry out its risk-based audits until the submission of the next assurance package. It will examine, through desk and on-the-spot audit work and re-performance of samples of national audits including at the level of operations, whether reported information is reliable and therefore constitutes an adequate basis for assurance on legality and regularity. Priority will be given to auditing programmes that have a material impact on the Commission's payments for the corresponding fund in the accounting year. The past performance of Member States authorities will also be taken into account in the risk-based criteria for the definition of audit priorities.</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 xml:space="preserve">(E) Identification by EU audits of irregularities indicating a serious deficiency </w:t>
      </w:r>
      <w:r>
        <w:rPr>
          <w:rFonts w:ascii="Verdana" w:hAnsi="Verdana"/>
          <w:i/>
          <w:noProof/>
          <w:sz w:val="20"/>
          <w:u w:val="single"/>
        </w:rPr>
        <w:t>after</w:t>
      </w:r>
      <w:r>
        <w:rPr>
          <w:rFonts w:ascii="Verdana" w:hAnsi="Verdana"/>
          <w:i/>
          <w:noProof/>
          <w:sz w:val="20"/>
        </w:rPr>
        <w:t xml:space="preserve"> 15 February each year</w:t>
      </w:r>
    </w:p>
    <w:p w:rsidR="008C2902" w:rsidRDefault="00AD2EC1">
      <w:pPr>
        <w:pStyle w:val="ListParagraph"/>
        <w:ind w:left="0"/>
        <w:contextualSpacing w:val="0"/>
        <w:rPr>
          <w:rFonts w:ascii="Verdana" w:hAnsi="Verdana"/>
          <w:noProof/>
          <w:sz w:val="20"/>
        </w:rPr>
      </w:pPr>
      <w:r>
        <w:rPr>
          <w:rFonts w:ascii="Verdana" w:hAnsi="Verdana"/>
          <w:noProof/>
          <w:sz w:val="20"/>
        </w:rPr>
        <w:t xml:space="preserve">If EU (Commission including OLAF and ECA) audits carried out after 15 February each year detect irregularities demonstrating a serious deficiency affecting the corresponding accounting year, the Commission has the obligation to apply a net financial correction, if the conditions defined in the regulation are fulfilled. The resulting financial correction will always be net because the allocation to the programme and the total allocation of the Member State in question will be automatically reduced by the amount of the correction, even if the Member State accepts the financial correction. </w:t>
      </w:r>
    </w:p>
    <w:p w:rsidR="008C2902" w:rsidRDefault="00AD2EC1">
      <w:pPr>
        <w:pStyle w:val="Text1"/>
        <w:spacing w:after="120"/>
        <w:ind w:left="0"/>
        <w:rPr>
          <w:rFonts w:ascii="Verdana" w:eastAsia="Calibri" w:hAnsi="Verdana"/>
          <w:i/>
          <w:noProof/>
          <w:sz w:val="20"/>
          <w:szCs w:val="22"/>
        </w:rPr>
      </w:pPr>
      <w:r>
        <w:rPr>
          <w:rFonts w:ascii="Verdana" w:eastAsia="Calibri" w:hAnsi="Verdana"/>
          <w:i/>
          <w:noProof/>
          <w:sz w:val="20"/>
          <w:szCs w:val="22"/>
        </w:rPr>
        <w:t>(F) Reinforced legal basis</w:t>
      </w:r>
    </w:p>
    <w:p w:rsidR="008C2902" w:rsidRDefault="00AD2EC1">
      <w:pPr>
        <w:pStyle w:val="ListParagraph"/>
        <w:ind w:left="0"/>
        <w:contextualSpacing w:val="0"/>
        <w:rPr>
          <w:rFonts w:ascii="Verdana" w:hAnsi="Verdana"/>
          <w:noProof/>
          <w:sz w:val="20"/>
        </w:rPr>
      </w:pPr>
      <w:r>
        <w:rPr>
          <w:rFonts w:ascii="Verdana" w:hAnsi="Verdana"/>
          <w:noProof/>
          <w:sz w:val="20"/>
        </w:rPr>
        <w:t>Under the CPR, the Commission is empowered to lay down in a delegated act detailed rules concerning the criteria for the assessment of the functioning of management and control systems, including the main types of serious deficiencies, the criteria for establishing the level of financial correction to be applied and the criteria for applying flat-rates or extrapolated financial corrections. The delegated act was adopted on 3 March 2014 (Commission Delegated Regulation (EU) 480/2014)</w:t>
      </w:r>
      <w:r>
        <w:rPr>
          <w:rStyle w:val="FootnoteReference"/>
          <w:rFonts w:ascii="Verdana" w:hAnsi="Verdana"/>
          <w:noProof/>
          <w:sz w:val="20"/>
        </w:rPr>
        <w:footnoteReference w:id="7"/>
      </w:r>
      <w:r>
        <w:rPr>
          <w:rFonts w:ascii="Verdana" w:hAnsi="Verdana"/>
          <w:noProof/>
          <w:sz w:val="20"/>
        </w:rPr>
        <w:t>. The Commission therefore has a stronger legal basis compared to the 2007-2013 programming period</w:t>
      </w:r>
      <w:r>
        <w:rPr>
          <w:noProof/>
        </w:rPr>
        <w:t xml:space="preserve"> </w:t>
      </w:r>
      <w:r>
        <w:rPr>
          <w:rFonts w:ascii="Verdana" w:hAnsi="Verdana"/>
          <w:noProof/>
          <w:sz w:val="20"/>
        </w:rPr>
        <w:t>which included similar elements under a non-legally binding guidance note. Moreover, the criteria for the assessment and the levels of flat-rate corrections will be well-known in advance to all programme stakeholders.</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(G) Flat rate correction rates maintained</w:t>
      </w:r>
    </w:p>
    <w:p w:rsidR="008C2902" w:rsidRDefault="00AD2EC1">
      <w:pPr>
        <w:pStyle w:val="ListParagraph"/>
        <w:ind w:left="0"/>
        <w:contextualSpacing w:val="0"/>
        <w:rPr>
          <w:rFonts w:ascii="Verdana" w:hAnsi="Verdana"/>
          <w:noProof/>
          <w:sz w:val="20"/>
        </w:rPr>
      </w:pPr>
      <w:r>
        <w:rPr>
          <w:rFonts w:ascii="Verdana" w:hAnsi="Verdana"/>
          <w:noProof/>
          <w:sz w:val="20"/>
        </w:rPr>
        <w:t>Flat-rate correction percentages already applied during previous programming periods are maintained, i.e. 5 %, 10 %, 25 % and 100 %. This approach has been confirmed by the case law of the Court of Justice. Nonetheless the decision to apply any level of financial correction must take account of proportionality and of the residual risk to the EU budget, as required in the CPR. Therefore, where the application of a fixed flat-rate correction in accordance with the delegated act would be disproportionate, the Commission shall apply a reduced level of flat-rate correction.</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 xml:space="preserve">(H) Increased level of correction for repeated deficiencies </w:t>
      </w:r>
    </w:p>
    <w:p w:rsidR="008C2902" w:rsidRDefault="00AD2EC1">
      <w:pPr>
        <w:pStyle w:val="ListParagraph"/>
        <w:ind w:left="0"/>
        <w:contextualSpacing w:val="0"/>
        <w:rPr>
          <w:rFonts w:ascii="Verdana" w:hAnsi="Verdana"/>
          <w:noProof/>
          <w:sz w:val="20"/>
        </w:rPr>
      </w:pPr>
      <w:r>
        <w:rPr>
          <w:rFonts w:ascii="Verdana" w:hAnsi="Verdana"/>
          <w:noProof/>
          <w:sz w:val="20"/>
        </w:rPr>
        <w:t xml:space="preserve">When the same deficiencies have been detected by EU audits despite a previous financial correction, the Commission has included a provision in the delegated act allowing for a higher rate of correction than in the case of the first correction. This is a clear message to </w:t>
      </w:r>
      <w:r>
        <w:rPr>
          <w:rFonts w:ascii="Verdana" w:hAnsi="Verdana"/>
          <w:noProof/>
          <w:sz w:val="20"/>
        </w:rPr>
        <w:lastRenderedPageBreak/>
        <w:t>Member States that they need to ensure a rapid and permanent adjustment of their management and control systems once a serious deficiency has been detected.</w:t>
      </w:r>
    </w:p>
    <w:p w:rsidR="008C2902" w:rsidRDefault="00AD2EC1">
      <w:pPr>
        <w:pStyle w:val="ListParagraph"/>
        <w:spacing w:after="120"/>
        <w:ind w:left="0"/>
        <w:contextualSpacing w:val="0"/>
        <w:rPr>
          <w:rFonts w:ascii="Verdana" w:hAnsi="Verdana"/>
          <w:i/>
          <w:noProof/>
          <w:sz w:val="20"/>
        </w:rPr>
      </w:pPr>
      <w:r>
        <w:rPr>
          <w:rFonts w:ascii="Verdana" w:hAnsi="Verdana"/>
          <w:i/>
          <w:noProof/>
          <w:sz w:val="20"/>
        </w:rPr>
        <w:t xml:space="preserve">(I) Other measures already in force will continue to be applied </w:t>
      </w:r>
    </w:p>
    <w:p w:rsidR="008C2902" w:rsidRDefault="00AD2EC1">
      <w:pPr>
        <w:pStyle w:val="ListParagraph"/>
        <w:ind w:left="0"/>
        <w:contextualSpacing w:val="0"/>
        <w:rPr>
          <w:rFonts w:ascii="Verdana" w:hAnsi="Verdana"/>
          <w:noProof/>
          <w:sz w:val="20"/>
        </w:rPr>
      </w:pPr>
      <w:r>
        <w:rPr>
          <w:rFonts w:ascii="Verdana" w:hAnsi="Verdana"/>
          <w:noProof/>
          <w:sz w:val="20"/>
        </w:rPr>
        <w:t>The new possibilities, i.e. the possibility to impose net financial corrections, and the introduction of the annual assurance package, will be coupled with the continuation of the existing strict policy on interruptions and suspensions, and the strong encouragement of the utilisation of all simplification opportunities. This should result in a further improvement of the implementation of the Cohesion policy in the new programming period.</w:t>
      </w:r>
    </w:p>
    <w:p w:rsidR="008C2902" w:rsidRDefault="00AD2EC1">
      <w:pPr>
        <w:pStyle w:val="ManualHeading2"/>
        <w:rPr>
          <w:noProof/>
          <w:lang w:eastAsia="en-GB"/>
        </w:rPr>
      </w:pPr>
      <w:bookmarkStart w:id="24" w:name="_Toc431383855"/>
      <w:bookmarkStart w:id="25" w:name="_Toc432061773"/>
      <w:r>
        <w:t>2.5.</w:t>
      </w:r>
      <w:r>
        <w:tab/>
      </w:r>
      <w:r>
        <w:rPr>
          <w:noProof/>
          <w:lang w:eastAsia="en-GB"/>
        </w:rPr>
        <w:t>Direct Management</w:t>
      </w:r>
      <w:bookmarkEnd w:id="24"/>
      <w:bookmarkEnd w:id="25"/>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For direct management expenditure, the Commission has control frameworks in place to prevent, detect and deter irregularities at the different stages of the grant management process in order to achieve both operational and financial objectives. An overview of the controls made in two key areas of direct management expenditure, research and international aid, are given below.</w:t>
      </w:r>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 xml:space="preserve">For </w:t>
      </w:r>
      <w:r>
        <w:rPr>
          <w:rFonts w:ascii="Verdana" w:hAnsi="Verdana" w:cs="Calibri"/>
          <w:b/>
          <w:noProof/>
          <w:sz w:val="20"/>
          <w:szCs w:val="20"/>
        </w:rPr>
        <w:t>Research</w:t>
      </w:r>
      <w:r>
        <w:rPr>
          <w:rFonts w:ascii="Verdana" w:hAnsi="Verdana" w:cs="Calibri"/>
          <w:noProof/>
          <w:sz w:val="20"/>
          <w:szCs w:val="20"/>
        </w:rPr>
        <w:t xml:space="preserve"> expenditure , the control framework starts with the development of a work programme, which goes through a wide-ranging consultation process to ensure that it best meets the expectations of all stakeholders and will maximise the research outcome. Following the evaluation of proposals, further controls are then carried out as the selected proposals are translated into legally binding contracts.</w:t>
      </w:r>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 xml:space="preserve">Project implementation is monitored throughout the lifetime of the project. Payments against cost claims are all subject to ex-ante checks according to standard procedures, which include (for payments above EUR 375 000) an audit certificate given by a qualified auditor. As well as standard controls, additional, targeted, controls can also be carried out according to the information received and the risk of the transaction. </w:t>
      </w:r>
    </w:p>
    <w:p w:rsidR="008C2902" w:rsidRDefault="00AD2EC1">
      <w:pPr>
        <w:pStyle w:val="ListParagraph"/>
        <w:ind w:left="0"/>
        <w:contextualSpacing w:val="0"/>
        <w:rPr>
          <w:rFonts w:ascii="Verdana" w:hAnsi="Verdana" w:cs="Calibri"/>
          <w:noProof/>
          <w:sz w:val="20"/>
        </w:rPr>
      </w:pPr>
      <w:r>
        <w:rPr>
          <w:rFonts w:ascii="Verdana" w:hAnsi="Verdana" w:cs="Calibri"/>
          <w:noProof/>
          <w:sz w:val="20"/>
        </w:rPr>
        <w:t>A main source of assurance comes from in-depth checks carried out at a sample of the beneficiaries' premises after costs have been incurred and declared. A large number of these in-depth checks are carried out over the lifetime of the programme. Any amounts paid in excess of what is due are recovered, and systemic errors are extended to all ongoing participations of a beneficiary.</w:t>
      </w:r>
    </w:p>
    <w:p w:rsidR="008C2902" w:rsidRDefault="00AD2EC1">
      <w:pPr>
        <w:spacing w:line="240" w:lineRule="auto"/>
        <w:jc w:val="both"/>
        <w:rPr>
          <w:rFonts w:ascii="Verdana" w:hAnsi="Verdana"/>
          <w:noProof/>
          <w:sz w:val="20"/>
          <w:szCs w:val="20"/>
        </w:rPr>
      </w:pPr>
      <w:r>
        <w:rPr>
          <w:rFonts w:ascii="Verdana" w:hAnsi="Verdana"/>
          <w:noProof/>
          <w:sz w:val="20"/>
          <w:szCs w:val="20"/>
        </w:rPr>
        <w:t xml:space="preserve">In the field of </w:t>
      </w:r>
      <w:r>
        <w:rPr>
          <w:rFonts w:ascii="Verdana" w:hAnsi="Verdana"/>
          <w:b/>
          <w:noProof/>
          <w:sz w:val="20"/>
          <w:szCs w:val="20"/>
        </w:rPr>
        <w:t>International Cooperation and Development</w:t>
      </w:r>
      <w:r>
        <w:rPr>
          <w:rFonts w:ascii="Verdana" w:hAnsi="Verdana"/>
          <w:noProof/>
          <w:sz w:val="20"/>
          <w:szCs w:val="20"/>
        </w:rPr>
        <w:t>, the Commission has established a control framework to prevent, detect and deter irregularities at the different stages of the implementation of funding, applicable to the all management modes (direct and indirect) used for this implementation. This strategy starts from the choice of the most appropriate tool when drafting the planning documents and the financial decisions, and translates into the actual checks carried out at all stages of the implementation.</w:t>
      </w:r>
    </w:p>
    <w:p w:rsidR="008C2902" w:rsidRDefault="00AD2EC1">
      <w:pPr>
        <w:spacing w:line="240" w:lineRule="auto"/>
        <w:jc w:val="both"/>
        <w:rPr>
          <w:rFonts w:ascii="Verdana" w:hAnsi="Verdana"/>
          <w:noProof/>
          <w:sz w:val="20"/>
          <w:szCs w:val="20"/>
        </w:rPr>
      </w:pPr>
      <w:r>
        <w:rPr>
          <w:rFonts w:ascii="Verdana" w:hAnsi="Verdana"/>
          <w:noProof/>
          <w:sz w:val="20"/>
          <w:szCs w:val="20"/>
        </w:rPr>
        <w:t>From the point of view of financial control, the system is made up of a number of instruments systematically applied to the implementation of contracts and grants for all management modes: ex-ante checks on payments, audits carried out by the Commission and foreseen in an audit plan, expenditure verifications carried out prior to payments by beneficiaries of grants, verification missions to international organisations and an overall ex-post control on the basis of the Residual Error Rate study carried out every year.</w:t>
      </w:r>
    </w:p>
    <w:p w:rsidR="008C2902" w:rsidRDefault="00AD2EC1">
      <w:pPr>
        <w:pStyle w:val="ListParagraph"/>
        <w:spacing w:after="120"/>
        <w:ind w:left="0"/>
        <w:contextualSpacing w:val="0"/>
        <w:rPr>
          <w:rFonts w:ascii="Verdana" w:hAnsi="Verdana"/>
          <w:noProof/>
          <w:sz w:val="20"/>
        </w:rPr>
      </w:pPr>
      <w:r>
        <w:rPr>
          <w:rFonts w:ascii="Verdana" w:hAnsi="Verdana"/>
          <w:noProof/>
          <w:sz w:val="20"/>
        </w:rPr>
        <w:t>The EU financial interests are therefore safeguarded, in addition to all the other possible means offered by the Financial Regulation, by the Commission's ex-ante control of individual transactions as well as subsequent controls or audits, and by the resulting recovery of any unduly disbursed funds where the agreed procedures have not been respected, or where the activities were not eligible for EU financing.</w:t>
      </w:r>
    </w:p>
    <w:p w:rsidR="008C2902" w:rsidRDefault="00AD2EC1">
      <w:pPr>
        <w:pStyle w:val="ManualHeading2"/>
        <w:rPr>
          <w:noProof/>
          <w:lang w:eastAsia="en-GB"/>
        </w:rPr>
      </w:pPr>
      <w:bookmarkStart w:id="26" w:name="_Toc431383856"/>
      <w:bookmarkStart w:id="27" w:name="_Toc432061774"/>
      <w:r>
        <w:lastRenderedPageBreak/>
        <w:t>2.6.</w:t>
      </w:r>
      <w:r>
        <w:tab/>
      </w:r>
      <w:r>
        <w:rPr>
          <w:noProof/>
          <w:lang w:eastAsia="en-GB"/>
        </w:rPr>
        <w:t>Cost-effectiveness of management and control systems</w:t>
      </w:r>
      <w:bookmarkEnd w:id="26"/>
      <w:bookmarkEnd w:id="27"/>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In line with the requirement of the Financial Regulation, an important objective of the Commission's "budget focused on results strategy" is to ensure cost-effectiveness when designing and implementing management and control systems which prevent or identify and correct errors. Control strategies should therefore consider a higher level of scrutiny and frequency in riskier areas and ensure that controls add value. This is important because controls impose a significant administrative burden on beneficiaries and may even discourage participation in programmes. Furthermore, inefficient and ineffective controls absorb resources which could otherwise contribute to the achievement of results.</w:t>
      </w:r>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 xml:space="preserve">Reporting on cost-effectiveness improved in 2014 annual activity reports. All Commission services which reached a conclusion on the cost-effectiveness of their management and control systems stated that quantifiable and/or non-quantifiable benefits exceed costs and/or show a stable or a positive trend of relevant indicators. </w:t>
      </w:r>
    </w:p>
    <w:p w:rsidR="008C2902" w:rsidRDefault="00AD2EC1">
      <w:pPr>
        <w:spacing w:after="360" w:line="240" w:lineRule="auto"/>
        <w:jc w:val="both"/>
        <w:rPr>
          <w:rFonts w:ascii="Verdana" w:hAnsi="Verdana" w:cs="Calibri"/>
          <w:noProof/>
          <w:sz w:val="20"/>
          <w:szCs w:val="20"/>
        </w:rPr>
      </w:pPr>
      <w:r>
        <w:rPr>
          <w:rFonts w:ascii="Verdana" w:hAnsi="Verdana" w:cs="Calibri"/>
          <w:noProof/>
          <w:sz w:val="20"/>
          <w:szCs w:val="20"/>
        </w:rPr>
        <w:t>The Commission instructed its services to develop a common methodology for calculating their costs and benefits of control so as to improve consistency and produce reliable results which can be used to determine the relative cost-effectiveness of the control systems in place (see the Commission's Synthesis Report for 2014). For expenditure under shared management, the calculation of the costs and cost-effectiveness of controls needs to take into account in the management and control activities of the Member States.</w:t>
      </w:r>
    </w:p>
    <w:p w:rsidR="008C2902" w:rsidRDefault="00AD2EC1">
      <w:pPr>
        <w:pStyle w:val="ManualHeading1"/>
        <w:rPr>
          <w:noProof/>
        </w:rPr>
      </w:pPr>
      <w:bookmarkStart w:id="28" w:name="_Toc431383857"/>
      <w:bookmarkStart w:id="29" w:name="_Toc432061775"/>
      <w:r>
        <w:t>3.</w:t>
      </w:r>
      <w:r>
        <w:tab/>
      </w:r>
      <w:r>
        <w:rPr>
          <w:noProof/>
        </w:rPr>
        <w:t>FINANCIAL CORRECTIONS AND RECOVERIES IN 2014</w:t>
      </w:r>
      <w:bookmarkEnd w:id="28"/>
      <w:bookmarkEnd w:id="29"/>
      <w:r>
        <w:rPr>
          <w:noProof/>
        </w:rPr>
        <w:t xml:space="preserve"> </w:t>
      </w:r>
      <w:bookmarkStart w:id="30" w:name="_Toc406157867"/>
      <w:bookmarkStart w:id="31" w:name="_Toc406158306"/>
      <w:bookmarkStart w:id="32" w:name="_Toc406158341"/>
      <w:bookmarkStart w:id="33" w:name="_Toc406161276"/>
      <w:bookmarkStart w:id="34" w:name="_Toc406161309"/>
      <w:bookmarkStart w:id="35" w:name="_Toc406163397"/>
      <w:bookmarkStart w:id="36" w:name="_Toc406163434"/>
      <w:bookmarkEnd w:id="30"/>
      <w:bookmarkEnd w:id="31"/>
      <w:bookmarkEnd w:id="32"/>
      <w:bookmarkEnd w:id="33"/>
      <w:bookmarkEnd w:id="34"/>
      <w:bookmarkEnd w:id="35"/>
      <w:bookmarkEnd w:id="36"/>
    </w:p>
    <w:p w:rsidR="008C2902" w:rsidRDefault="00AD2EC1">
      <w:pPr>
        <w:pStyle w:val="ManualHeading1"/>
        <w:rPr>
          <w:caps/>
          <w:noProof/>
        </w:rPr>
      </w:pPr>
      <w:bookmarkStart w:id="37" w:name="_Toc431383858"/>
      <w:bookmarkStart w:id="38" w:name="_Toc432061776"/>
      <w:r>
        <w:t>3.1.</w:t>
      </w:r>
      <w:r>
        <w:tab/>
      </w:r>
      <w:r>
        <w:rPr>
          <w:noProof/>
        </w:rPr>
        <w:t>Overview</w:t>
      </w:r>
      <w:bookmarkEnd w:id="37"/>
      <w:bookmarkEnd w:id="38"/>
    </w:p>
    <w:p w:rsidR="008C2902" w:rsidRDefault="00AD2EC1">
      <w:pPr>
        <w:spacing w:line="240" w:lineRule="auto"/>
        <w:jc w:val="both"/>
        <w:rPr>
          <w:rFonts w:ascii="Verdana" w:hAnsi="Verdana" w:cs="Arial"/>
          <w:b/>
          <w:bCs/>
          <w:i/>
          <w:noProof/>
          <w:sz w:val="20"/>
        </w:rPr>
      </w:pPr>
      <w:r>
        <w:rPr>
          <w:rFonts w:ascii="Verdana" w:hAnsi="Verdana"/>
          <w:b/>
          <w:i/>
          <w:noProof/>
          <w:sz w:val="20"/>
        </w:rPr>
        <w:t>Table 3.1:</w:t>
      </w:r>
      <w:r>
        <w:rPr>
          <w:rFonts w:ascii="Verdana" w:hAnsi="Verdana"/>
          <w:i/>
          <w:noProof/>
          <w:sz w:val="20"/>
        </w:rPr>
        <w:t xml:space="preserve"> </w:t>
      </w:r>
      <w:r>
        <w:rPr>
          <w:rFonts w:ascii="Verdana" w:hAnsi="Verdana" w:cs="Arial"/>
          <w:b/>
          <w:bCs/>
          <w:i/>
          <w:noProof/>
          <w:sz w:val="20"/>
        </w:rPr>
        <w:t xml:space="preserve">Financial corrections and recoveries overview for 2014 </w:t>
      </w:r>
    </w:p>
    <w:tbl>
      <w:tblPr>
        <w:tblW w:w="3961" w:type="pct"/>
        <w:tblInd w:w="392" w:type="dxa"/>
        <w:tblLayout w:type="fixed"/>
        <w:tblLook w:val="04A0" w:firstRow="1" w:lastRow="0" w:firstColumn="1" w:lastColumn="0" w:noHBand="0" w:noVBand="1"/>
      </w:tblPr>
      <w:tblGrid>
        <w:gridCol w:w="2126"/>
        <w:gridCol w:w="862"/>
        <w:gridCol w:w="890"/>
        <w:gridCol w:w="861"/>
        <w:gridCol w:w="862"/>
        <w:gridCol w:w="1002"/>
        <w:gridCol w:w="867"/>
      </w:tblGrid>
      <w:tr w:rsidR="008C2902">
        <w:trPr>
          <w:trHeight w:val="135"/>
        </w:trPr>
        <w:tc>
          <w:tcPr>
            <w:tcW w:w="5000" w:type="pct"/>
            <w:gridSpan w:val="7"/>
            <w:tcBorders>
              <w:top w:val="nil"/>
              <w:left w:val="nil"/>
              <w:bottom w:val="nil"/>
              <w:right w:val="nil"/>
            </w:tcBorders>
            <w:shd w:val="clear" w:color="auto" w:fill="auto"/>
            <w:noWrap/>
            <w:vAlign w:val="bottom"/>
            <w:hideMark/>
          </w:tcPr>
          <w:p w:rsidR="008C2902" w:rsidRDefault="00AD2EC1">
            <w:pPr>
              <w:spacing w:after="0" w:line="240" w:lineRule="auto"/>
              <w:ind w:left="-227"/>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EUR millions</w:t>
            </w:r>
          </w:p>
        </w:tc>
      </w:tr>
      <w:tr w:rsidR="008C2902">
        <w:trPr>
          <w:trHeight w:val="1032"/>
        </w:trPr>
        <w:tc>
          <w:tcPr>
            <w:tcW w:w="1423" w:type="pct"/>
            <w:tcBorders>
              <w:top w:val="single" w:sz="8" w:space="0" w:color="auto"/>
              <w:left w:val="single" w:sz="8" w:space="0" w:color="auto"/>
              <w:bottom w:val="single" w:sz="8" w:space="0" w:color="000000"/>
              <w:right w:val="single" w:sz="8" w:space="0" w:color="auto"/>
            </w:tcBorders>
            <w:shd w:val="clear" w:color="000000" w:fill="99CCFF"/>
            <w:noWrap/>
            <w:vAlign w:val="center"/>
            <w:hideMark/>
          </w:tcPr>
          <w:p w:rsidR="008C2902" w:rsidRDefault="00AD2EC1">
            <w:pPr>
              <w:spacing w:after="0" w:line="240" w:lineRule="auto"/>
              <w:contextualSpacing/>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MFF Heading</w:t>
            </w:r>
          </w:p>
        </w:tc>
        <w:tc>
          <w:tcPr>
            <w:tcW w:w="577" w:type="pct"/>
            <w:tcBorders>
              <w:top w:val="single" w:sz="8" w:space="0" w:color="auto"/>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Total EU budget payments in 2014</w:t>
            </w:r>
          </w:p>
        </w:tc>
        <w:tc>
          <w:tcPr>
            <w:tcW w:w="596" w:type="pct"/>
            <w:tcBorders>
              <w:top w:val="single" w:sz="8" w:space="0" w:color="auto"/>
              <w:left w:val="nil"/>
              <w:bottom w:val="single" w:sz="8" w:space="0" w:color="000000"/>
              <w:right w:val="single" w:sz="8" w:space="0" w:color="auto"/>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 xml:space="preserve">Total financial corrections </w:t>
            </w:r>
            <w:r>
              <w:rPr>
                <w:rFonts w:ascii="Verdana" w:eastAsia="Times New Roman" w:hAnsi="Verdana"/>
                <w:b/>
                <w:bCs/>
                <w:noProof/>
                <w:color w:val="000000"/>
                <w:sz w:val="10"/>
                <w:szCs w:val="10"/>
                <w:u w:val="single"/>
                <w:lang w:eastAsia="en-GB"/>
              </w:rPr>
              <w:t>in progress</w:t>
            </w:r>
            <w:r>
              <w:rPr>
                <w:rFonts w:ascii="Verdana" w:eastAsia="Times New Roman" w:hAnsi="Verdana"/>
                <w:b/>
                <w:bCs/>
                <w:noProof/>
                <w:color w:val="000000"/>
                <w:sz w:val="10"/>
                <w:szCs w:val="10"/>
                <w:lang w:eastAsia="en-GB"/>
              </w:rPr>
              <w:t xml:space="preserve"> at end 2014</w:t>
            </w:r>
          </w:p>
        </w:tc>
        <w:tc>
          <w:tcPr>
            <w:tcW w:w="576" w:type="pct"/>
            <w:tcBorders>
              <w:top w:val="single" w:sz="8" w:space="0" w:color="auto"/>
              <w:left w:val="single" w:sz="8" w:space="0" w:color="auto"/>
              <w:bottom w:val="single" w:sz="8" w:space="0" w:color="auto"/>
              <w:right w:val="nil"/>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 xml:space="preserve">Total financial corrections and recoveries </w:t>
            </w:r>
            <w:r>
              <w:rPr>
                <w:rFonts w:ascii="Verdana" w:eastAsia="Times New Roman" w:hAnsi="Verdana"/>
                <w:b/>
                <w:bCs/>
                <w:noProof/>
                <w:color w:val="000000"/>
                <w:sz w:val="10"/>
                <w:szCs w:val="10"/>
                <w:u w:val="single"/>
                <w:lang w:eastAsia="en-GB"/>
              </w:rPr>
              <w:t>confirmed</w:t>
            </w:r>
            <w:r>
              <w:rPr>
                <w:rFonts w:ascii="Verdana" w:eastAsia="Times New Roman" w:hAnsi="Verdana"/>
                <w:b/>
                <w:bCs/>
                <w:noProof/>
                <w:color w:val="000000"/>
                <w:sz w:val="10"/>
                <w:szCs w:val="10"/>
                <w:lang w:eastAsia="en-GB"/>
              </w:rPr>
              <w:t xml:space="preserve"> in 2014</w:t>
            </w:r>
          </w:p>
        </w:tc>
        <w:tc>
          <w:tcPr>
            <w:tcW w:w="577" w:type="pct"/>
            <w:tcBorders>
              <w:top w:val="single" w:sz="8" w:space="0" w:color="auto"/>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 of payments of the EU budget</w:t>
            </w:r>
          </w:p>
        </w:tc>
        <w:tc>
          <w:tcPr>
            <w:tcW w:w="671" w:type="pct"/>
            <w:tcBorders>
              <w:top w:val="single" w:sz="8" w:space="0" w:color="auto"/>
              <w:left w:val="single" w:sz="4" w:space="0" w:color="auto"/>
              <w:bottom w:val="single" w:sz="8" w:space="0" w:color="auto"/>
              <w:right w:val="nil"/>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Total financial corrections and recoveries i</w:t>
            </w:r>
            <w:r>
              <w:rPr>
                <w:rFonts w:ascii="Verdana" w:eastAsia="Times New Roman" w:hAnsi="Verdana"/>
                <w:b/>
                <w:bCs/>
                <w:noProof/>
                <w:color w:val="000000"/>
                <w:sz w:val="10"/>
                <w:szCs w:val="10"/>
                <w:u w:val="single"/>
                <w:lang w:eastAsia="en-GB"/>
              </w:rPr>
              <w:t>mplemented</w:t>
            </w:r>
            <w:r>
              <w:rPr>
                <w:rFonts w:ascii="Verdana" w:eastAsia="Times New Roman" w:hAnsi="Verdana"/>
                <w:b/>
                <w:bCs/>
                <w:noProof/>
                <w:color w:val="000000"/>
                <w:sz w:val="10"/>
                <w:szCs w:val="10"/>
                <w:lang w:eastAsia="en-GB"/>
              </w:rPr>
              <w:t xml:space="preserve"> in 2014</w:t>
            </w:r>
          </w:p>
        </w:tc>
        <w:tc>
          <w:tcPr>
            <w:tcW w:w="580" w:type="pct"/>
            <w:tcBorders>
              <w:top w:val="single" w:sz="8" w:space="0" w:color="auto"/>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0"/>
                <w:szCs w:val="10"/>
                <w:lang w:eastAsia="en-GB"/>
              </w:rPr>
            </w:pPr>
            <w:r>
              <w:rPr>
                <w:rFonts w:ascii="Verdana" w:eastAsia="Times New Roman" w:hAnsi="Verdana"/>
                <w:b/>
                <w:bCs/>
                <w:noProof/>
                <w:color w:val="000000"/>
                <w:sz w:val="10"/>
                <w:szCs w:val="10"/>
                <w:lang w:eastAsia="en-GB"/>
              </w:rPr>
              <w:t>% of payments of the EU budget</w:t>
            </w:r>
          </w:p>
        </w:tc>
      </w:tr>
      <w:tr w:rsidR="008C2902">
        <w:trPr>
          <w:trHeight w:val="320"/>
        </w:trPr>
        <w:tc>
          <w:tcPr>
            <w:tcW w:w="1423" w:type="pct"/>
            <w:tcBorders>
              <w:top w:val="nil"/>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Smart &amp; inclusive growth</w:t>
            </w:r>
          </w:p>
        </w:tc>
        <w:tc>
          <w:tcPr>
            <w:tcW w:w="577" w:type="pct"/>
            <w:tcBorders>
              <w:top w:val="single" w:sz="8" w:space="0" w:color="000000"/>
              <w:left w:val="nil"/>
              <w:bottom w:val="single" w:sz="4" w:space="0" w:color="auto"/>
              <w:right w:val="single" w:sz="8"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67 683</w:t>
            </w:r>
          </w:p>
        </w:tc>
        <w:tc>
          <w:tcPr>
            <w:tcW w:w="596" w:type="pct"/>
            <w:tcBorders>
              <w:top w:val="nil"/>
              <w:left w:val="single" w:sz="8" w:space="0" w:color="auto"/>
              <w:bottom w:val="single" w:sz="4" w:space="0" w:color="auto"/>
              <w:right w:val="single" w:sz="8"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1 018</w:t>
            </w:r>
          </w:p>
        </w:tc>
        <w:tc>
          <w:tcPr>
            <w:tcW w:w="576"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2 198</w:t>
            </w:r>
          </w:p>
        </w:tc>
        <w:tc>
          <w:tcPr>
            <w:tcW w:w="577" w:type="pct"/>
            <w:tcBorders>
              <w:top w:val="single" w:sz="8" w:space="0" w:color="auto"/>
              <w:left w:val="single" w:sz="4" w:space="0" w:color="auto"/>
              <w:bottom w:val="single" w:sz="4" w:space="0" w:color="auto"/>
              <w:right w:val="single" w:sz="8"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3.2 %</w:t>
            </w:r>
          </w:p>
        </w:tc>
        <w:tc>
          <w:tcPr>
            <w:tcW w:w="671" w:type="pct"/>
            <w:tcBorders>
              <w:top w:val="single" w:sz="8" w:space="0" w:color="auto"/>
              <w:left w:val="nil"/>
              <w:bottom w:val="single" w:sz="4" w:space="0" w:color="auto"/>
              <w:right w:val="single" w:sz="4"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1 828</w:t>
            </w:r>
          </w:p>
        </w:tc>
        <w:tc>
          <w:tcPr>
            <w:tcW w:w="580" w:type="pct"/>
            <w:tcBorders>
              <w:top w:val="single" w:sz="8" w:space="0" w:color="auto"/>
              <w:left w:val="single" w:sz="4" w:space="0" w:color="auto"/>
              <w:bottom w:val="single" w:sz="4" w:space="0" w:color="auto"/>
              <w:right w:val="single" w:sz="8" w:space="0" w:color="auto"/>
            </w:tcBorders>
            <w:shd w:val="clear" w:color="000000" w:fill="D9D9D9"/>
            <w:vAlign w:val="center"/>
            <w:hideMark/>
          </w:tcPr>
          <w:p w:rsidR="008C2902" w:rsidRDefault="00AD2EC1">
            <w:pPr>
              <w:spacing w:after="0" w:line="240" w:lineRule="auto"/>
              <w:contextualSpacing/>
              <w:jc w:val="right"/>
              <w:rPr>
                <w:rFonts w:ascii="Verdana" w:eastAsia="Times New Roman" w:hAnsi="Verdana"/>
                <w:b/>
                <w:i/>
                <w:iCs/>
                <w:noProof/>
                <w:color w:val="000000"/>
                <w:sz w:val="12"/>
                <w:szCs w:val="12"/>
                <w:lang w:eastAsia="en-GB"/>
              </w:rPr>
            </w:pPr>
            <w:r>
              <w:rPr>
                <w:rFonts w:ascii="Verdana" w:eastAsia="Times New Roman" w:hAnsi="Verdana"/>
                <w:b/>
                <w:i/>
                <w:iCs/>
                <w:noProof/>
                <w:color w:val="000000"/>
                <w:sz w:val="12"/>
                <w:szCs w:val="12"/>
                <w:lang w:eastAsia="en-GB"/>
              </w:rPr>
              <w:t>2.7%</w:t>
            </w:r>
          </w:p>
        </w:tc>
      </w:tr>
      <w:tr w:rsidR="008C2902">
        <w:trPr>
          <w:trHeight w:val="169"/>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ERDF</w:t>
            </w:r>
            <w:r>
              <w:rPr>
                <w:rStyle w:val="FootnoteReference"/>
                <w:rFonts w:ascii="Verdana" w:hAnsi="Verdana"/>
                <w:noProof/>
                <w:sz w:val="16"/>
                <w:szCs w:val="16"/>
                <w:lang w:eastAsia="en-GB"/>
              </w:rPr>
              <w:footnoteReference w:id="8"/>
            </w:r>
          </w:p>
        </w:tc>
        <w:tc>
          <w:tcPr>
            <w:tcW w:w="577" w:type="pct"/>
            <w:tcBorders>
              <w:top w:val="nil"/>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29 841</w:t>
            </w:r>
          </w:p>
        </w:tc>
        <w:tc>
          <w:tcPr>
            <w:tcW w:w="596" w:type="pct"/>
            <w:tcBorders>
              <w:top w:val="single" w:sz="4" w:space="0" w:color="auto"/>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360</w:t>
            </w:r>
          </w:p>
        </w:tc>
        <w:tc>
          <w:tcPr>
            <w:tcW w:w="576" w:type="pct"/>
            <w:tcBorders>
              <w:top w:val="single" w:sz="4" w:space="0" w:color="auto"/>
              <w:left w:val="single" w:sz="8"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1 330</w:t>
            </w:r>
          </w:p>
        </w:tc>
        <w:tc>
          <w:tcPr>
            <w:tcW w:w="577" w:type="pct"/>
            <w:tcBorders>
              <w:top w:val="single" w:sz="4" w:space="0" w:color="auto"/>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4.5%</w:t>
            </w:r>
          </w:p>
        </w:tc>
        <w:tc>
          <w:tcPr>
            <w:tcW w:w="671" w:type="pct"/>
            <w:tcBorders>
              <w:top w:val="single" w:sz="4" w:space="0" w:color="auto"/>
              <w:left w:val="single" w:sz="4"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1 084</w:t>
            </w:r>
          </w:p>
        </w:tc>
        <w:tc>
          <w:tcPr>
            <w:tcW w:w="580" w:type="pct"/>
            <w:tcBorders>
              <w:top w:val="single" w:sz="4" w:space="0" w:color="auto"/>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3.6%</w:t>
            </w:r>
          </w:p>
        </w:tc>
      </w:tr>
      <w:tr w:rsidR="008C2902">
        <w:trPr>
          <w:trHeight w:val="169"/>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Cohesion Fund</w:t>
            </w:r>
            <w:r>
              <w:rPr>
                <w:rFonts w:ascii="Verdana" w:eastAsia="Times New Roman" w:hAnsi="Verdana"/>
                <w:iCs/>
                <w:noProof/>
                <w:color w:val="000000"/>
                <w:sz w:val="16"/>
                <w:szCs w:val="12"/>
                <w:vertAlign w:val="superscript"/>
                <w:lang w:eastAsia="en-GB"/>
              </w:rPr>
              <w:t>8</w:t>
            </w:r>
          </w:p>
        </w:tc>
        <w:tc>
          <w:tcPr>
            <w:tcW w:w="577" w:type="pct"/>
            <w:tcBorders>
              <w:top w:val="nil"/>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13 464</w:t>
            </w:r>
          </w:p>
        </w:tc>
        <w:tc>
          <w:tcPr>
            <w:tcW w:w="596" w:type="pct"/>
            <w:tcBorders>
              <w:top w:val="nil"/>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22</w:t>
            </w:r>
          </w:p>
        </w:tc>
        <w:tc>
          <w:tcPr>
            <w:tcW w:w="576" w:type="pct"/>
            <w:tcBorders>
              <w:top w:val="nil"/>
              <w:left w:val="single" w:sz="8"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292</w:t>
            </w:r>
          </w:p>
        </w:tc>
        <w:tc>
          <w:tcPr>
            <w:tcW w:w="577" w:type="pct"/>
            <w:tcBorders>
              <w:top w:val="nil"/>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2.2%</w:t>
            </w:r>
          </w:p>
        </w:tc>
        <w:tc>
          <w:tcPr>
            <w:tcW w:w="671" w:type="pct"/>
            <w:tcBorders>
              <w:top w:val="nil"/>
              <w:left w:val="single" w:sz="4"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236</w:t>
            </w:r>
          </w:p>
        </w:tc>
        <w:tc>
          <w:tcPr>
            <w:tcW w:w="580" w:type="pct"/>
            <w:tcBorders>
              <w:top w:val="nil"/>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1.8%</w:t>
            </w:r>
          </w:p>
        </w:tc>
      </w:tr>
      <w:tr w:rsidR="008C2902">
        <w:trPr>
          <w:trHeight w:val="169"/>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ESF</w:t>
            </w:r>
          </w:p>
        </w:tc>
        <w:tc>
          <w:tcPr>
            <w:tcW w:w="577" w:type="pct"/>
            <w:tcBorders>
              <w:top w:val="nil"/>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10 623</w:t>
            </w:r>
          </w:p>
        </w:tc>
        <w:tc>
          <w:tcPr>
            <w:tcW w:w="596" w:type="pct"/>
            <w:tcBorders>
              <w:top w:val="nil"/>
              <w:left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636</w:t>
            </w:r>
          </w:p>
        </w:tc>
        <w:tc>
          <w:tcPr>
            <w:tcW w:w="576" w:type="pct"/>
            <w:tcBorders>
              <w:top w:val="nil"/>
              <w:left w:val="single" w:sz="8"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343</w:t>
            </w:r>
          </w:p>
        </w:tc>
        <w:tc>
          <w:tcPr>
            <w:tcW w:w="577" w:type="pct"/>
            <w:tcBorders>
              <w:top w:val="nil"/>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3.2%</w:t>
            </w:r>
          </w:p>
        </w:tc>
        <w:tc>
          <w:tcPr>
            <w:tcW w:w="671" w:type="pct"/>
            <w:tcBorders>
              <w:top w:val="nil"/>
              <w:left w:val="single" w:sz="4"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290</w:t>
            </w:r>
          </w:p>
        </w:tc>
        <w:tc>
          <w:tcPr>
            <w:tcW w:w="580" w:type="pct"/>
            <w:tcBorders>
              <w:top w:val="nil"/>
              <w:left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2.7%</w:t>
            </w:r>
          </w:p>
        </w:tc>
      </w:tr>
      <w:tr w:rsidR="008C2902">
        <w:trPr>
          <w:trHeight w:val="169"/>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Internal policies</w:t>
            </w:r>
          </w:p>
        </w:tc>
        <w:tc>
          <w:tcPr>
            <w:tcW w:w="577" w:type="pct"/>
            <w:tcBorders>
              <w:top w:val="nil"/>
              <w:left w:val="nil"/>
              <w:bottom w:val="single" w:sz="4" w:space="0" w:color="auto"/>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13 755</w:t>
            </w:r>
          </w:p>
        </w:tc>
        <w:tc>
          <w:tcPr>
            <w:tcW w:w="596" w:type="pct"/>
            <w:tcBorders>
              <w:top w:val="nil"/>
              <w:left w:val="nil"/>
              <w:bottom w:val="single" w:sz="4" w:space="0" w:color="auto"/>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nil"/>
              <w:left w:val="single" w:sz="8" w:space="0" w:color="auto"/>
              <w:bottom w:val="single" w:sz="4"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232</w:t>
            </w:r>
          </w:p>
        </w:tc>
        <w:tc>
          <w:tcPr>
            <w:tcW w:w="577" w:type="pct"/>
            <w:tcBorders>
              <w:top w:val="nil"/>
              <w:left w:val="single" w:sz="4" w:space="0" w:color="auto"/>
              <w:bottom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1.7%</w:t>
            </w:r>
          </w:p>
        </w:tc>
        <w:tc>
          <w:tcPr>
            <w:tcW w:w="671" w:type="pct"/>
            <w:tcBorders>
              <w:top w:val="nil"/>
              <w:left w:val="single" w:sz="4" w:space="0" w:color="auto"/>
              <w:bottom w:val="single" w:sz="4" w:space="0" w:color="auto"/>
              <w:right w:val="nil"/>
            </w:tcBorders>
            <w:shd w:val="clear" w:color="000000" w:fill="auto"/>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218</w:t>
            </w:r>
          </w:p>
        </w:tc>
        <w:tc>
          <w:tcPr>
            <w:tcW w:w="580" w:type="pct"/>
            <w:tcBorders>
              <w:top w:val="nil"/>
              <w:left w:val="single" w:sz="4" w:space="0" w:color="auto"/>
              <w:bottom w:val="single" w:sz="4" w:space="0" w:color="auto"/>
              <w:right w:val="single" w:sz="8" w:space="0" w:color="auto"/>
            </w:tcBorders>
            <w:shd w:val="clear" w:color="000000" w:fill="C6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1.6%</w:t>
            </w:r>
          </w:p>
        </w:tc>
      </w:tr>
      <w:tr w:rsidR="008C2902">
        <w:trPr>
          <w:trHeight w:val="320"/>
        </w:trPr>
        <w:tc>
          <w:tcPr>
            <w:tcW w:w="1423"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Sustainable growth: natural resources</w:t>
            </w:r>
          </w:p>
        </w:tc>
        <w:tc>
          <w:tcPr>
            <w:tcW w:w="577"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56 584</w:t>
            </w:r>
          </w:p>
        </w:tc>
        <w:tc>
          <w:tcPr>
            <w:tcW w:w="596" w:type="pct"/>
            <w:tcBorders>
              <w:top w:val="single" w:sz="4" w:space="0" w:color="auto"/>
              <w:left w:val="single" w:sz="8"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4 892</w:t>
            </w:r>
          </w:p>
        </w:tc>
        <w:tc>
          <w:tcPr>
            <w:tcW w:w="576" w:type="pct"/>
            <w:tcBorders>
              <w:top w:val="single" w:sz="4" w:space="0" w:color="auto"/>
              <w:left w:val="single" w:sz="8" w:space="0" w:color="auto"/>
              <w:bottom w:val="single" w:sz="4" w:space="0" w:color="auto"/>
              <w:right w:val="single" w:sz="4"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2 355</w:t>
            </w:r>
          </w:p>
        </w:tc>
        <w:tc>
          <w:tcPr>
            <w:tcW w:w="577"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4.2%</w:t>
            </w:r>
          </w:p>
        </w:tc>
        <w:tc>
          <w:tcPr>
            <w:tcW w:w="671" w:type="pct"/>
            <w:tcBorders>
              <w:top w:val="single" w:sz="4" w:space="0" w:color="auto"/>
              <w:left w:val="nil"/>
              <w:bottom w:val="single" w:sz="4" w:space="0" w:color="auto"/>
              <w:right w:val="single" w:sz="4"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1 302</w:t>
            </w:r>
          </w:p>
        </w:tc>
        <w:tc>
          <w:tcPr>
            <w:tcW w:w="580"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2.3%</w:t>
            </w:r>
          </w:p>
        </w:tc>
      </w:tr>
      <w:tr w:rsidR="008C2902">
        <w:trPr>
          <w:trHeight w:val="70"/>
        </w:trPr>
        <w:tc>
          <w:tcPr>
            <w:tcW w:w="1423"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EAGF</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44 287</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3 789</w:t>
            </w:r>
          </w:p>
        </w:tc>
        <w:tc>
          <w:tcPr>
            <w:tcW w:w="576" w:type="pct"/>
            <w:tcBorders>
              <w:top w:val="single" w:sz="4" w:space="0" w:color="auto"/>
              <w:left w:val="single" w:sz="8"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1 862</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4.2%</w:t>
            </w:r>
          </w:p>
        </w:tc>
        <w:tc>
          <w:tcPr>
            <w:tcW w:w="671" w:type="pct"/>
            <w:tcBorders>
              <w:top w:val="single" w:sz="4" w:space="0" w:color="auto"/>
              <w:left w:val="single" w:sz="4"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946</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2.1%</w:t>
            </w:r>
          </w:p>
        </w:tc>
      </w:tr>
      <w:tr w:rsidR="008C2902">
        <w:trPr>
          <w:trHeight w:val="146"/>
        </w:trPr>
        <w:tc>
          <w:tcPr>
            <w:tcW w:w="1423"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Rural Development</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11 191</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960</w:t>
            </w:r>
          </w:p>
        </w:tc>
        <w:tc>
          <w:tcPr>
            <w:tcW w:w="576" w:type="pct"/>
            <w:tcBorders>
              <w:left w:val="single" w:sz="8"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385</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3.4%</w:t>
            </w:r>
          </w:p>
        </w:tc>
        <w:tc>
          <w:tcPr>
            <w:tcW w:w="671" w:type="pct"/>
            <w:tcBorders>
              <w:top w:val="nil"/>
              <w:left w:val="single" w:sz="4"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252</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2.3%</w:t>
            </w:r>
          </w:p>
        </w:tc>
      </w:tr>
      <w:tr w:rsidR="008C2902">
        <w:trPr>
          <w:trHeight w:val="146"/>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FIFG/EFF</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689</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47</w:t>
            </w:r>
          </w:p>
        </w:tc>
        <w:tc>
          <w:tcPr>
            <w:tcW w:w="576" w:type="pct"/>
            <w:tcBorders>
              <w:top w:val="nil"/>
              <w:left w:val="single" w:sz="8"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67</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9.8%</w:t>
            </w:r>
          </w:p>
        </w:tc>
        <w:tc>
          <w:tcPr>
            <w:tcW w:w="671" w:type="pct"/>
            <w:tcBorders>
              <w:top w:val="nil"/>
              <w:left w:val="single" w:sz="4"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66</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9.6%</w:t>
            </w:r>
          </w:p>
        </w:tc>
      </w:tr>
      <w:tr w:rsidR="008C2902">
        <w:trPr>
          <w:trHeight w:val="146"/>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EAGGF Guidance</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6</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95</w:t>
            </w:r>
          </w:p>
        </w:tc>
        <w:tc>
          <w:tcPr>
            <w:tcW w:w="576" w:type="pct"/>
            <w:tcBorders>
              <w:top w:val="nil"/>
              <w:left w:val="single" w:sz="8"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18</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294.2%</w:t>
            </w:r>
          </w:p>
        </w:tc>
        <w:tc>
          <w:tcPr>
            <w:tcW w:w="671" w:type="pct"/>
            <w:tcBorders>
              <w:top w:val="nil"/>
              <w:left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18</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294.2%</w:t>
            </w:r>
          </w:p>
        </w:tc>
      </w:tr>
      <w:tr w:rsidR="008C2902">
        <w:trPr>
          <w:trHeight w:val="157"/>
        </w:trPr>
        <w:tc>
          <w:tcPr>
            <w:tcW w:w="1423"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Internal policies</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411</w:t>
            </w:r>
          </w:p>
        </w:tc>
        <w:tc>
          <w:tcPr>
            <w:tcW w:w="596" w:type="pct"/>
            <w:tcBorders>
              <w:top w:val="nil"/>
              <w:left w:val="nil"/>
              <w:bottom w:val="single" w:sz="4" w:space="0" w:color="auto"/>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nil"/>
              <w:left w:val="single" w:sz="8" w:space="0" w:color="auto"/>
              <w:bottom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23</w:t>
            </w:r>
          </w:p>
        </w:tc>
        <w:tc>
          <w:tcPr>
            <w:tcW w:w="577" w:type="pct"/>
            <w:tcBorders>
              <w:top w:val="nil"/>
              <w:left w:val="single" w:sz="4" w:space="0" w:color="auto"/>
              <w:bottom w:val="single" w:sz="4" w:space="0" w:color="auto"/>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5.6%</w:t>
            </w:r>
          </w:p>
        </w:tc>
        <w:tc>
          <w:tcPr>
            <w:tcW w:w="671" w:type="pct"/>
            <w:tcBorders>
              <w:top w:val="nil"/>
              <w:left w:val="single" w:sz="4" w:space="0" w:color="auto"/>
              <w:bottom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19</w:t>
            </w:r>
          </w:p>
        </w:tc>
        <w:tc>
          <w:tcPr>
            <w:tcW w:w="580" w:type="pct"/>
            <w:tcBorders>
              <w:top w:val="nil"/>
              <w:left w:val="single" w:sz="4" w:space="0" w:color="auto"/>
              <w:bottom w:val="single" w:sz="4" w:space="0" w:color="auto"/>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4.6%</w:t>
            </w:r>
          </w:p>
        </w:tc>
      </w:tr>
      <w:tr w:rsidR="008C2902">
        <w:trPr>
          <w:trHeight w:val="320"/>
        </w:trPr>
        <w:tc>
          <w:tcPr>
            <w:tcW w:w="1423"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 xml:space="preserve">Security &amp; citizenship </w:t>
            </w:r>
          </w:p>
        </w:tc>
        <w:tc>
          <w:tcPr>
            <w:tcW w:w="577"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1 711</w:t>
            </w:r>
          </w:p>
        </w:tc>
        <w:tc>
          <w:tcPr>
            <w:tcW w:w="596"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w:t>
            </w:r>
          </w:p>
        </w:tc>
        <w:tc>
          <w:tcPr>
            <w:tcW w:w="576"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42</w:t>
            </w:r>
          </w:p>
        </w:tc>
        <w:tc>
          <w:tcPr>
            <w:tcW w:w="577"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2.5%</w:t>
            </w:r>
          </w:p>
        </w:tc>
        <w:tc>
          <w:tcPr>
            <w:tcW w:w="671" w:type="pct"/>
            <w:tcBorders>
              <w:top w:val="single" w:sz="4" w:space="0" w:color="auto"/>
              <w:left w:val="single" w:sz="4"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42</w:t>
            </w:r>
          </w:p>
        </w:tc>
        <w:tc>
          <w:tcPr>
            <w:tcW w:w="580"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2.5%</w:t>
            </w:r>
          </w:p>
        </w:tc>
      </w:tr>
      <w:tr w:rsidR="008C2902">
        <w:trPr>
          <w:trHeight w:val="93"/>
        </w:trPr>
        <w:tc>
          <w:tcPr>
            <w:tcW w:w="1423"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Migration and home affairs</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400</w:t>
            </w:r>
          </w:p>
        </w:tc>
        <w:tc>
          <w:tcPr>
            <w:tcW w:w="596" w:type="pct"/>
            <w:tcBorders>
              <w:top w:val="nil"/>
              <w:left w:val="nil"/>
              <w:bottom w:val="nil"/>
              <w:right w:val="single" w:sz="8" w:space="0" w:color="auto"/>
            </w:tcBorders>
            <w:shd w:val="clear" w:color="auto" w:fill="auto"/>
            <w:noWrap/>
            <w:vAlign w:val="bottom"/>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single" w:sz="4" w:space="0" w:color="auto"/>
              <w:left w:val="single" w:sz="8" w:space="0" w:color="auto"/>
              <w:right w:val="nil"/>
            </w:tcBorders>
            <w:shd w:val="clear" w:color="000000" w:fill="FFFFFF"/>
            <w:noWrap/>
            <w:vAlign w:val="bottom"/>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c>
          <w:tcPr>
            <w:tcW w:w="577" w:type="pct"/>
            <w:tcBorders>
              <w:top w:val="nil"/>
              <w:left w:val="single" w:sz="4" w:space="0" w:color="auto"/>
              <w:bottom w:val="nil"/>
              <w:right w:val="single" w:sz="8" w:space="0" w:color="auto"/>
            </w:tcBorders>
            <w:shd w:val="clear" w:color="000000" w:fill="C5D9F1"/>
            <w:noWrap/>
            <w:vAlign w:val="bottom"/>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1.3%</w:t>
            </w:r>
          </w:p>
        </w:tc>
        <w:tc>
          <w:tcPr>
            <w:tcW w:w="671" w:type="pct"/>
            <w:tcBorders>
              <w:top w:val="single" w:sz="4" w:space="0" w:color="auto"/>
              <w:left w:val="single" w:sz="4" w:space="0" w:color="auto"/>
              <w:right w:val="nil"/>
            </w:tcBorders>
            <w:shd w:val="clear" w:color="000000" w:fill="FFFFFF"/>
            <w:noWrap/>
            <w:vAlign w:val="bottom"/>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c>
          <w:tcPr>
            <w:tcW w:w="580" w:type="pct"/>
            <w:tcBorders>
              <w:top w:val="nil"/>
              <w:left w:val="single" w:sz="4" w:space="0" w:color="auto"/>
              <w:bottom w:val="nil"/>
              <w:right w:val="single" w:sz="8" w:space="0" w:color="auto"/>
            </w:tcBorders>
            <w:shd w:val="clear" w:color="000000" w:fill="C5D9F1"/>
            <w:noWrap/>
            <w:vAlign w:val="bottom"/>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1.3%</w:t>
            </w:r>
          </w:p>
        </w:tc>
      </w:tr>
      <w:tr w:rsidR="008C2902">
        <w:trPr>
          <w:trHeight w:val="154"/>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Internal policies</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1 311</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nil"/>
              <w:left w:val="single" w:sz="8" w:space="0" w:color="auto"/>
              <w:bottom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37</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2.8%</w:t>
            </w:r>
          </w:p>
        </w:tc>
        <w:tc>
          <w:tcPr>
            <w:tcW w:w="671" w:type="pct"/>
            <w:tcBorders>
              <w:top w:val="nil"/>
              <w:left w:val="single" w:sz="4" w:space="0" w:color="auto"/>
              <w:bottom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37</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2.8%</w:t>
            </w:r>
          </w:p>
        </w:tc>
      </w:tr>
      <w:tr w:rsidR="008C2902">
        <w:trPr>
          <w:trHeight w:val="320"/>
        </w:trPr>
        <w:tc>
          <w:tcPr>
            <w:tcW w:w="1423"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 xml:space="preserve">Global Europe </w:t>
            </w:r>
          </w:p>
        </w:tc>
        <w:tc>
          <w:tcPr>
            <w:tcW w:w="577"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7 206</w:t>
            </w:r>
          </w:p>
        </w:tc>
        <w:tc>
          <w:tcPr>
            <w:tcW w:w="596"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N/A</w:t>
            </w:r>
          </w:p>
        </w:tc>
        <w:tc>
          <w:tcPr>
            <w:tcW w:w="576"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127</w:t>
            </w:r>
          </w:p>
        </w:tc>
        <w:tc>
          <w:tcPr>
            <w:tcW w:w="577"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1.8%</w:t>
            </w:r>
          </w:p>
        </w:tc>
        <w:tc>
          <w:tcPr>
            <w:tcW w:w="671" w:type="pct"/>
            <w:tcBorders>
              <w:top w:val="single" w:sz="4" w:space="0" w:color="auto"/>
              <w:left w:val="single" w:sz="4"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108</w:t>
            </w:r>
          </w:p>
        </w:tc>
        <w:tc>
          <w:tcPr>
            <w:tcW w:w="580"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1.5%</w:t>
            </w:r>
          </w:p>
        </w:tc>
      </w:tr>
      <w:tr w:rsidR="008C2902">
        <w:trPr>
          <w:trHeight w:val="154"/>
        </w:trPr>
        <w:tc>
          <w:tcPr>
            <w:tcW w:w="1423"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External policies</w:t>
            </w:r>
          </w:p>
        </w:tc>
        <w:tc>
          <w:tcPr>
            <w:tcW w:w="577"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7 206</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single" w:sz="4" w:space="0" w:color="auto"/>
              <w:left w:val="single" w:sz="8"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127</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1.8%</w:t>
            </w:r>
          </w:p>
        </w:tc>
        <w:tc>
          <w:tcPr>
            <w:tcW w:w="671" w:type="pct"/>
            <w:tcBorders>
              <w:top w:val="single" w:sz="4" w:space="0" w:color="auto"/>
              <w:left w:val="single" w:sz="4" w:space="0" w:color="auto"/>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108</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1.5%</w:t>
            </w:r>
          </w:p>
        </w:tc>
      </w:tr>
      <w:tr w:rsidR="008C2902">
        <w:trPr>
          <w:trHeight w:val="320"/>
        </w:trPr>
        <w:tc>
          <w:tcPr>
            <w:tcW w:w="1423"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 xml:space="preserve">Administration </w:t>
            </w:r>
          </w:p>
        </w:tc>
        <w:tc>
          <w:tcPr>
            <w:tcW w:w="577"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8 819</w:t>
            </w:r>
          </w:p>
        </w:tc>
        <w:tc>
          <w:tcPr>
            <w:tcW w:w="596" w:type="pct"/>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N/A</w:t>
            </w:r>
          </w:p>
        </w:tc>
        <w:tc>
          <w:tcPr>
            <w:tcW w:w="576"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5</w:t>
            </w:r>
          </w:p>
        </w:tc>
        <w:tc>
          <w:tcPr>
            <w:tcW w:w="577"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0.1%</w:t>
            </w:r>
          </w:p>
        </w:tc>
        <w:tc>
          <w:tcPr>
            <w:tcW w:w="671" w:type="pct"/>
            <w:tcBorders>
              <w:top w:val="single" w:sz="4" w:space="0" w:color="auto"/>
              <w:left w:val="single" w:sz="4" w:space="0" w:color="auto"/>
              <w:bottom w:val="single" w:sz="4" w:space="0" w:color="auto"/>
              <w:right w:val="nil"/>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5</w:t>
            </w:r>
          </w:p>
        </w:tc>
        <w:tc>
          <w:tcPr>
            <w:tcW w:w="580" w:type="pct"/>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0.1%</w:t>
            </w:r>
          </w:p>
        </w:tc>
      </w:tr>
      <w:tr w:rsidR="008C2902">
        <w:trPr>
          <w:trHeight w:val="154"/>
        </w:trPr>
        <w:tc>
          <w:tcPr>
            <w:tcW w:w="1423" w:type="pct"/>
            <w:tcBorders>
              <w:top w:val="single" w:sz="4" w:space="0" w:color="auto"/>
              <w:left w:val="single" w:sz="8" w:space="0" w:color="auto"/>
              <w:bottom w:val="single" w:sz="4" w:space="0" w:color="auto"/>
              <w:right w:val="single" w:sz="8" w:space="0" w:color="auto"/>
            </w:tcBorders>
            <w:shd w:val="clear" w:color="auto" w:fill="auto"/>
            <w:noWrap/>
            <w:vAlign w:val="center"/>
          </w:tcPr>
          <w:p w:rsidR="008C2902" w:rsidRDefault="00AD2EC1">
            <w:pPr>
              <w:spacing w:after="0" w:line="240" w:lineRule="auto"/>
              <w:contextualSpacing/>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Administration</w:t>
            </w:r>
          </w:p>
        </w:tc>
        <w:tc>
          <w:tcPr>
            <w:tcW w:w="577" w:type="pct"/>
            <w:tcBorders>
              <w:top w:val="single" w:sz="4" w:space="0" w:color="auto"/>
              <w:left w:val="nil"/>
              <w:bottom w:val="single" w:sz="4" w:space="0" w:color="auto"/>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8 819</w:t>
            </w:r>
          </w:p>
        </w:tc>
        <w:tc>
          <w:tcPr>
            <w:tcW w:w="596" w:type="pct"/>
            <w:tcBorders>
              <w:top w:val="nil"/>
              <w:left w:val="nil"/>
              <w:bottom w:val="nil"/>
              <w:right w:val="single" w:sz="8" w:space="0" w:color="auto"/>
            </w:tcBorders>
            <w:shd w:val="clear" w:color="auto" w:fill="auto"/>
            <w:vAlign w:val="center"/>
          </w:tcPr>
          <w:p w:rsidR="008C2902" w:rsidRDefault="00AD2EC1">
            <w:pPr>
              <w:spacing w:after="0" w:line="240" w:lineRule="auto"/>
              <w:contextualSpacing/>
              <w:jc w:val="right"/>
              <w:rPr>
                <w:rFonts w:ascii="Verdana" w:eastAsia="Times New Roman" w:hAnsi="Verdana"/>
                <w:noProof/>
                <w:color w:val="000000"/>
                <w:sz w:val="12"/>
                <w:szCs w:val="12"/>
                <w:lang w:eastAsia="en-GB"/>
              </w:rPr>
            </w:pPr>
            <w:r>
              <w:rPr>
                <w:rFonts w:ascii="Verdana" w:eastAsia="Times New Roman" w:hAnsi="Verdana"/>
                <w:noProof/>
                <w:color w:val="000000"/>
                <w:sz w:val="12"/>
                <w:szCs w:val="12"/>
                <w:lang w:eastAsia="en-GB"/>
              </w:rPr>
              <w:t>-</w:t>
            </w:r>
          </w:p>
        </w:tc>
        <w:tc>
          <w:tcPr>
            <w:tcW w:w="576" w:type="pct"/>
            <w:tcBorders>
              <w:top w:val="single" w:sz="4" w:space="0" w:color="auto"/>
              <w:left w:val="single" w:sz="8"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c>
          <w:tcPr>
            <w:tcW w:w="577"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0.1%</w:t>
            </w:r>
          </w:p>
        </w:tc>
        <w:tc>
          <w:tcPr>
            <w:tcW w:w="671" w:type="pct"/>
            <w:tcBorders>
              <w:top w:val="single" w:sz="4" w:space="0" w:color="auto"/>
              <w:left w:val="single" w:sz="4" w:space="0" w:color="auto"/>
              <w:bottom w:val="nil"/>
              <w:right w:val="nil"/>
            </w:tcBorders>
            <w:shd w:val="clear" w:color="000000" w:fill="FFFFFF"/>
            <w:vAlign w:val="center"/>
          </w:tcPr>
          <w:p w:rsidR="008C2902" w:rsidRDefault="00AD2EC1">
            <w:pPr>
              <w:spacing w:after="0" w:line="240" w:lineRule="auto"/>
              <w:contextualSpacing/>
              <w:jc w:val="right"/>
              <w:rPr>
                <w:rFonts w:ascii="Verdana" w:eastAsia="Times New Roman" w:hAnsi="Verdana"/>
                <w:bCs/>
                <w:noProof/>
                <w:color w:val="000000"/>
                <w:sz w:val="12"/>
                <w:szCs w:val="12"/>
                <w:lang w:eastAsia="en-GB"/>
              </w:rPr>
            </w:pPr>
            <w:r>
              <w:rPr>
                <w:rFonts w:ascii="Verdana" w:eastAsia="Times New Roman" w:hAnsi="Verdana"/>
                <w:bCs/>
                <w:noProof/>
                <w:color w:val="000000"/>
                <w:sz w:val="12"/>
                <w:szCs w:val="12"/>
                <w:lang w:eastAsia="en-GB"/>
              </w:rPr>
              <w:t>5</w:t>
            </w:r>
          </w:p>
        </w:tc>
        <w:tc>
          <w:tcPr>
            <w:tcW w:w="580" w:type="pct"/>
            <w:tcBorders>
              <w:top w:val="nil"/>
              <w:left w:val="single" w:sz="4" w:space="0" w:color="auto"/>
              <w:bottom w:val="nil"/>
              <w:right w:val="single" w:sz="8" w:space="0" w:color="auto"/>
            </w:tcBorders>
            <w:shd w:val="clear" w:color="000000" w:fill="C5D9F1"/>
            <w:vAlign w:val="center"/>
          </w:tcPr>
          <w:p w:rsidR="008C2902" w:rsidRDefault="00AD2EC1">
            <w:pPr>
              <w:spacing w:after="0" w:line="240" w:lineRule="auto"/>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0.1%</w:t>
            </w:r>
          </w:p>
        </w:tc>
      </w:tr>
      <w:tr w:rsidR="008C2902">
        <w:trPr>
          <w:trHeight w:val="336"/>
        </w:trPr>
        <w:tc>
          <w:tcPr>
            <w:tcW w:w="1423" w:type="pct"/>
            <w:tcBorders>
              <w:top w:val="single" w:sz="4"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TOTAL</w:t>
            </w:r>
          </w:p>
        </w:tc>
        <w:tc>
          <w:tcPr>
            <w:tcW w:w="577" w:type="pct"/>
            <w:tcBorders>
              <w:top w:val="single" w:sz="4" w:space="0" w:color="auto"/>
              <w:left w:val="nil"/>
              <w:bottom w:val="single" w:sz="8" w:space="0" w:color="auto"/>
              <w:right w:val="single" w:sz="8" w:space="0" w:color="auto"/>
            </w:tcBorders>
            <w:shd w:val="clear" w:color="000000" w:fill="D9D9D9"/>
            <w:noWrap/>
            <w:vAlign w:val="center"/>
          </w:tcPr>
          <w:p w:rsidR="008C2902" w:rsidRDefault="00AD2EC1">
            <w:pPr>
              <w:spacing w:after="0" w:line="240" w:lineRule="auto"/>
              <w:ind w:left="-14"/>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142 003*</w:t>
            </w:r>
          </w:p>
        </w:tc>
        <w:tc>
          <w:tcPr>
            <w:tcW w:w="596" w:type="pct"/>
            <w:tcBorders>
              <w:top w:val="single" w:sz="8" w:space="0" w:color="auto"/>
              <w:left w:val="nil"/>
              <w:bottom w:val="single" w:sz="8" w:space="0" w:color="auto"/>
              <w:right w:val="single" w:sz="8" w:space="0" w:color="auto"/>
            </w:tcBorders>
            <w:shd w:val="clear" w:color="000000" w:fill="D9D9D9"/>
            <w:noWrap/>
            <w:vAlign w:val="center"/>
          </w:tcPr>
          <w:p w:rsidR="008C2902" w:rsidRDefault="00AD2EC1">
            <w:pPr>
              <w:spacing w:after="0" w:line="240" w:lineRule="auto"/>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5 909</w:t>
            </w:r>
          </w:p>
        </w:tc>
        <w:tc>
          <w:tcPr>
            <w:tcW w:w="576" w:type="pct"/>
            <w:tcBorders>
              <w:top w:val="single" w:sz="8" w:space="0" w:color="auto"/>
              <w:left w:val="single" w:sz="8" w:space="0" w:color="auto"/>
              <w:bottom w:val="single" w:sz="8" w:space="0" w:color="auto"/>
              <w:right w:val="nil"/>
            </w:tcBorders>
            <w:shd w:val="clear" w:color="000000" w:fill="D9D9D9"/>
            <w:noWrap/>
            <w:vAlign w:val="center"/>
          </w:tcPr>
          <w:p w:rsidR="008C2902" w:rsidRDefault="00AD2EC1">
            <w:pPr>
              <w:spacing w:after="0" w:line="240" w:lineRule="auto"/>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4 728</w:t>
            </w:r>
          </w:p>
        </w:tc>
        <w:tc>
          <w:tcPr>
            <w:tcW w:w="577" w:type="pct"/>
            <w:tcBorders>
              <w:top w:val="single" w:sz="8" w:space="0" w:color="auto"/>
              <w:left w:val="single" w:sz="4" w:space="0" w:color="auto"/>
              <w:bottom w:val="single" w:sz="8" w:space="0" w:color="auto"/>
              <w:right w:val="single" w:sz="8" w:space="0" w:color="auto"/>
            </w:tcBorders>
            <w:shd w:val="clear" w:color="000000" w:fill="D9D9D9"/>
            <w:noWrap/>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3.3%</w:t>
            </w:r>
          </w:p>
        </w:tc>
        <w:tc>
          <w:tcPr>
            <w:tcW w:w="671" w:type="pct"/>
            <w:tcBorders>
              <w:top w:val="single" w:sz="8" w:space="0" w:color="auto"/>
              <w:left w:val="single" w:sz="4" w:space="0" w:color="auto"/>
              <w:bottom w:val="single" w:sz="8" w:space="0" w:color="auto"/>
              <w:right w:val="nil"/>
            </w:tcBorders>
            <w:shd w:val="clear" w:color="000000" w:fill="D9D9D9"/>
            <w:noWrap/>
            <w:vAlign w:val="center"/>
          </w:tcPr>
          <w:p w:rsidR="008C2902" w:rsidRDefault="00AD2EC1">
            <w:pPr>
              <w:spacing w:after="0" w:line="240" w:lineRule="auto"/>
              <w:contextualSpacing/>
              <w:jc w:val="right"/>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3 285</w:t>
            </w:r>
          </w:p>
        </w:tc>
        <w:tc>
          <w:tcPr>
            <w:tcW w:w="580" w:type="pct"/>
            <w:tcBorders>
              <w:top w:val="single" w:sz="8" w:space="0" w:color="auto"/>
              <w:left w:val="single" w:sz="4" w:space="0" w:color="auto"/>
              <w:bottom w:val="single" w:sz="8" w:space="0" w:color="auto"/>
              <w:right w:val="single" w:sz="8" w:space="0" w:color="auto"/>
            </w:tcBorders>
            <w:shd w:val="clear" w:color="000000" w:fill="D9D9D9"/>
            <w:noWrap/>
            <w:vAlign w:val="center"/>
          </w:tcPr>
          <w:p w:rsidR="008C2902" w:rsidRDefault="00AD2EC1">
            <w:pPr>
              <w:spacing w:after="0" w:line="240" w:lineRule="auto"/>
              <w:contextualSpacing/>
              <w:jc w:val="right"/>
              <w:rPr>
                <w:rFonts w:ascii="Verdana" w:eastAsia="Times New Roman" w:hAnsi="Verdana"/>
                <w:b/>
                <w:bCs/>
                <w:i/>
                <w:iCs/>
                <w:noProof/>
                <w:color w:val="000000"/>
                <w:sz w:val="12"/>
                <w:szCs w:val="12"/>
                <w:lang w:eastAsia="en-GB"/>
              </w:rPr>
            </w:pPr>
            <w:r>
              <w:rPr>
                <w:rFonts w:ascii="Verdana" w:eastAsia="Times New Roman" w:hAnsi="Verdana"/>
                <w:b/>
                <w:bCs/>
                <w:i/>
                <w:iCs/>
                <w:noProof/>
                <w:color w:val="000000"/>
                <w:sz w:val="12"/>
                <w:szCs w:val="12"/>
                <w:lang w:eastAsia="en-GB"/>
              </w:rPr>
              <w:t>2.3%</w:t>
            </w:r>
          </w:p>
        </w:tc>
      </w:tr>
    </w:tbl>
    <w:p w:rsidR="008C2902" w:rsidRDefault="00AD2EC1">
      <w:pPr>
        <w:tabs>
          <w:tab w:val="left" w:pos="284"/>
        </w:tabs>
        <w:spacing w:after="0" w:line="240" w:lineRule="auto"/>
        <w:ind w:left="720" w:hanging="720"/>
        <w:jc w:val="both"/>
        <w:rPr>
          <w:rFonts w:ascii="Verdana" w:hAnsi="Verdana"/>
          <w:i/>
          <w:noProof/>
          <w:sz w:val="16"/>
          <w:szCs w:val="16"/>
          <w:lang w:eastAsia="en-GB"/>
        </w:rPr>
      </w:pPr>
      <w:r>
        <w:rPr>
          <w:rFonts w:ascii="Verdana" w:hAnsi="Verdana"/>
          <w:i/>
          <w:noProof/>
          <w:sz w:val="16"/>
          <w:szCs w:val="16"/>
          <w:lang w:eastAsia="en-GB"/>
        </w:rPr>
        <w:tab/>
        <w:t>*</w:t>
      </w:r>
      <w:r>
        <w:rPr>
          <w:rFonts w:ascii="Verdana" w:hAnsi="Verdana"/>
          <w:i/>
          <w:noProof/>
          <w:sz w:val="16"/>
          <w:szCs w:val="16"/>
          <w:lang w:eastAsia="en-GB"/>
        </w:rPr>
        <w:tab/>
        <w:t>Excludes EUR 29 million paid to Croatia under the Compensation heading and EUR 465 million paid out under the Special Instruments heading.</w:t>
      </w:r>
    </w:p>
    <w:p w:rsidR="008C2902" w:rsidRDefault="00AD2EC1">
      <w:pPr>
        <w:tabs>
          <w:tab w:val="left" w:pos="284"/>
        </w:tabs>
        <w:spacing w:line="240" w:lineRule="auto"/>
        <w:ind w:left="720" w:hanging="720"/>
        <w:jc w:val="both"/>
        <w:rPr>
          <w:rFonts w:ascii="Verdana" w:hAnsi="Verdana"/>
          <w:i/>
          <w:noProof/>
          <w:sz w:val="16"/>
          <w:szCs w:val="16"/>
          <w:lang w:eastAsia="en-GB"/>
        </w:rPr>
      </w:pPr>
      <w:r>
        <w:rPr>
          <w:rFonts w:ascii="Verdana" w:hAnsi="Verdana"/>
          <w:i/>
          <w:noProof/>
          <w:sz w:val="16"/>
          <w:szCs w:val="16"/>
          <w:lang w:eastAsia="en-GB"/>
        </w:rPr>
        <w:tab/>
      </w:r>
      <w:r>
        <w:rPr>
          <w:rFonts w:ascii="Verdana" w:hAnsi="Verdana"/>
          <w:i/>
          <w:noProof/>
          <w:sz w:val="16"/>
          <w:szCs w:val="16"/>
          <w:lang w:eastAsia="en-GB"/>
        </w:rPr>
        <w:tab/>
        <w:t>Please note that the figures above differ from the ones shown in the PIF report of OLAF since the OLAF report was published earlier, at a stage where only provisional figures were available.</w:t>
      </w:r>
    </w:p>
    <w:p w:rsidR="008C2902" w:rsidRDefault="00AD2EC1">
      <w:pPr>
        <w:spacing w:line="240" w:lineRule="auto"/>
        <w:jc w:val="both"/>
        <w:rPr>
          <w:rFonts w:ascii="Verdana" w:hAnsi="Verdana"/>
          <w:b/>
          <w:i/>
          <w:noProof/>
          <w:sz w:val="20"/>
          <w:lang w:eastAsia="en-GB"/>
        </w:rPr>
      </w:pPr>
      <w:r>
        <w:rPr>
          <w:rFonts w:ascii="Verdana" w:hAnsi="Verdana"/>
          <w:b/>
          <w:i/>
          <w:noProof/>
          <w:sz w:val="20"/>
          <w:lang w:eastAsia="en-GB"/>
        </w:rPr>
        <w:lastRenderedPageBreak/>
        <w:t>Agriculture:</w:t>
      </w:r>
    </w:p>
    <w:p w:rsidR="008C2902" w:rsidRDefault="00AD2EC1">
      <w:pPr>
        <w:spacing w:line="240" w:lineRule="auto"/>
        <w:jc w:val="both"/>
        <w:rPr>
          <w:rFonts w:ascii="Verdana" w:eastAsia="Times New Roman" w:hAnsi="Verdana" w:cs="Calibri"/>
          <w:noProof/>
          <w:sz w:val="20"/>
          <w:szCs w:val="20"/>
          <w:lang w:eastAsia="en-GB"/>
        </w:rPr>
      </w:pPr>
      <w:r>
        <w:rPr>
          <w:rFonts w:ascii="Verdana" w:hAnsi="Verdana" w:cs="Calibri"/>
          <w:noProof/>
          <w:sz w:val="20"/>
          <w:szCs w:val="20"/>
          <w:lang w:val="en-US" w:eastAsia="en-GB"/>
        </w:rPr>
        <w:t>In 2014 the Commission adopted 3 conformity clearance decisions</w:t>
      </w:r>
      <w:r>
        <w:rPr>
          <w:rFonts w:ascii="Verdana" w:hAnsi="Verdana" w:cs="Calibri"/>
          <w:noProof/>
          <w:sz w:val="20"/>
          <w:szCs w:val="20"/>
          <w:vertAlign w:val="superscript"/>
          <w:lang w:val="en-US" w:eastAsia="en-GB"/>
        </w:rPr>
        <w:footnoteReference w:id="9"/>
      </w:r>
      <w:r>
        <w:rPr>
          <w:rFonts w:ascii="Verdana" w:eastAsia="Times New Roman" w:hAnsi="Verdana" w:cs="Calibri"/>
          <w:noProof/>
          <w:sz w:val="20"/>
          <w:szCs w:val="20"/>
          <w:lang w:eastAsia="en-GB"/>
        </w:rPr>
        <w:t>, covering 56 individual net financial corrections for a total amount of EUR 443 million (</w:t>
      </w:r>
      <w:r>
        <w:rPr>
          <w:rFonts w:ascii="Verdana" w:hAnsi="Verdana" w:cs="Calibri"/>
          <w:noProof/>
          <w:sz w:val="20"/>
          <w:szCs w:val="20"/>
          <w:lang w:eastAsia="en-GB"/>
        </w:rPr>
        <w:t xml:space="preserve">0.8 % of the </w:t>
      </w:r>
      <w:r>
        <w:rPr>
          <w:rFonts w:ascii="Verdana" w:eastAsia="Times New Roman" w:hAnsi="Verdana" w:cs="Calibri"/>
          <w:noProof/>
          <w:sz w:val="20"/>
          <w:szCs w:val="20"/>
          <w:lang w:eastAsia="en-GB"/>
        </w:rPr>
        <w:t xml:space="preserve">CAP </w:t>
      </w:r>
      <w:r>
        <w:rPr>
          <w:rFonts w:ascii="Verdana" w:hAnsi="Verdana" w:cs="Calibri"/>
          <w:noProof/>
          <w:sz w:val="20"/>
          <w:szCs w:val="20"/>
          <w:lang w:eastAsia="en-GB"/>
        </w:rPr>
        <w:t>expenditure</w:t>
      </w:r>
      <w:r>
        <w:rPr>
          <w:rFonts w:ascii="Verdana" w:eastAsia="Times New Roman" w:hAnsi="Verdana" w:cs="Calibri"/>
          <w:noProof/>
          <w:sz w:val="20"/>
          <w:szCs w:val="20"/>
          <w:lang w:eastAsia="en-GB"/>
        </w:rPr>
        <w:t xml:space="preserve"> budgeted for 2014</w:t>
      </w:r>
      <w:r>
        <w:rPr>
          <w:rFonts w:ascii="Verdana" w:hAnsi="Verdana" w:cs="Calibri"/>
          <w:noProof/>
          <w:sz w:val="20"/>
          <w:szCs w:val="20"/>
          <w:lang w:eastAsia="en-GB"/>
        </w:rPr>
        <w:t>). A further, financially significant, conformity clearance decision was prepared at the end of 2014 and the Member States were formally consulted in the Agricultural Funds Committee before year-end. That decision, which was for the amount of EUR 1.4 billion (covering 56 individual corrections), was adopted by the Commission in January 2015</w:t>
      </w:r>
      <w:r>
        <w:rPr>
          <w:rFonts w:ascii="Verdana" w:hAnsi="Verdana" w:cs="Calibri"/>
          <w:noProof/>
          <w:sz w:val="20"/>
          <w:szCs w:val="20"/>
          <w:vertAlign w:val="superscript"/>
          <w:lang w:eastAsia="en-GB"/>
        </w:rPr>
        <w:footnoteReference w:id="10"/>
      </w:r>
      <w:r>
        <w:rPr>
          <w:rFonts w:ascii="Verdana" w:eastAsia="Times New Roman" w:hAnsi="Verdana" w:cs="Calibri"/>
          <w:noProof/>
          <w:sz w:val="20"/>
          <w:szCs w:val="20"/>
          <w:lang w:eastAsia="en-GB"/>
        </w:rPr>
        <w:t>. Based on internationally accepted accounting standards for the public sector, this amount was included as "confirmed" in the financial year 2014.</w:t>
      </w:r>
    </w:p>
    <w:p w:rsidR="008C2902" w:rsidRDefault="00AD2EC1">
      <w:pPr>
        <w:spacing w:line="240" w:lineRule="auto"/>
        <w:jc w:val="both"/>
        <w:rPr>
          <w:rFonts w:ascii="Verdana" w:hAnsi="Verdana"/>
          <w:b/>
          <w:i/>
          <w:noProof/>
          <w:sz w:val="20"/>
          <w:lang w:eastAsia="en-GB"/>
        </w:rPr>
      </w:pPr>
      <w:r>
        <w:rPr>
          <w:rFonts w:ascii="Verdana" w:hAnsi="Verdana"/>
          <w:b/>
          <w:i/>
          <w:noProof/>
          <w:sz w:val="20"/>
          <w:lang w:eastAsia="en-GB"/>
        </w:rPr>
        <w:t>Cohesion:</w:t>
      </w:r>
    </w:p>
    <w:p w:rsidR="008C2902" w:rsidRDefault="00AD2EC1">
      <w:pPr>
        <w:spacing w:line="240" w:lineRule="auto"/>
        <w:jc w:val="both"/>
        <w:rPr>
          <w:rFonts w:ascii="Verdana" w:hAnsi="Verdana"/>
          <w:i/>
          <w:noProof/>
          <w:sz w:val="20"/>
          <w:lang w:eastAsia="en-GB"/>
        </w:rPr>
      </w:pPr>
      <w:r>
        <w:rPr>
          <w:rFonts w:ascii="Verdana" w:hAnsi="Verdana"/>
          <w:i/>
          <w:noProof/>
          <w:sz w:val="20"/>
          <w:lang w:eastAsia="en-GB"/>
        </w:rPr>
        <w:t xml:space="preserve">2000-2006 programming period: </w:t>
      </w:r>
    </w:p>
    <w:p w:rsidR="008C2902" w:rsidRDefault="00AD2EC1">
      <w:pPr>
        <w:widowControl w:val="0"/>
        <w:tabs>
          <w:tab w:val="left" w:pos="1280"/>
        </w:tabs>
        <w:autoSpaceDE w:val="0"/>
        <w:autoSpaceDN w:val="0"/>
        <w:adjustRightInd w:val="0"/>
        <w:spacing w:line="240" w:lineRule="auto"/>
        <w:ind w:right="57"/>
        <w:jc w:val="both"/>
        <w:rPr>
          <w:rFonts w:ascii="Verdana" w:eastAsia="Times New Roman" w:hAnsi="Verdana"/>
          <w:noProof/>
          <w:sz w:val="20"/>
          <w:szCs w:val="20"/>
          <w:lang w:eastAsia="x-none"/>
        </w:rPr>
      </w:pPr>
      <w:r>
        <w:rPr>
          <w:rFonts w:ascii="Verdana" w:eastAsia="Times New Roman" w:hAnsi="Verdana"/>
          <w:noProof/>
          <w:sz w:val="20"/>
          <w:szCs w:val="20"/>
          <w:lang w:eastAsia="x-none"/>
        </w:rPr>
        <w:t>The advanced stage of the closure process of ERDF programmes and Cohesion Fund projects led to total additional financial corrections of an amount of EUR 543 million being imposed and accepted by Member States in 2014:</w:t>
      </w:r>
    </w:p>
    <w:p w:rsidR="008C2902" w:rsidRDefault="00AD2EC1">
      <w:pPr>
        <w:widowControl w:val="0"/>
        <w:tabs>
          <w:tab w:val="left" w:pos="993"/>
        </w:tabs>
        <w:autoSpaceDE w:val="0"/>
        <w:autoSpaceDN w:val="0"/>
        <w:adjustRightInd w:val="0"/>
        <w:spacing w:after="0" w:line="240" w:lineRule="auto"/>
        <w:ind w:left="993" w:right="57" w:hanging="426"/>
        <w:jc w:val="both"/>
        <w:rPr>
          <w:rFonts w:ascii="Verdana" w:eastAsia="Times New Roman" w:hAnsi="Verdana"/>
          <w:noProof/>
          <w:sz w:val="20"/>
          <w:szCs w:val="20"/>
          <w:lang w:eastAsia="x-none"/>
        </w:rPr>
      </w:pPr>
      <w:r>
        <w:rPr>
          <w:rFonts w:ascii="Verdana" w:eastAsia="Times New Roman" w:hAnsi="Verdana"/>
          <w:noProof/>
          <w:sz w:val="20"/>
          <w:szCs w:val="20"/>
          <w:lang w:eastAsia="x-none"/>
        </w:rPr>
        <w:t xml:space="preserve">- </w:t>
      </w:r>
      <w:r>
        <w:rPr>
          <w:rFonts w:ascii="Verdana" w:eastAsia="Times New Roman" w:hAnsi="Verdana"/>
          <w:noProof/>
          <w:sz w:val="20"/>
          <w:szCs w:val="20"/>
          <w:lang w:eastAsia="x-none"/>
        </w:rPr>
        <w:tab/>
        <w:t xml:space="preserve">EUR 451 million of financial corrections for the closure of </w:t>
      </w:r>
      <w:r>
        <w:rPr>
          <w:rFonts w:ascii="Verdana" w:eastAsia="Times New Roman" w:hAnsi="Verdana"/>
          <w:b/>
          <w:noProof/>
          <w:sz w:val="20"/>
          <w:szCs w:val="20"/>
          <w:lang w:eastAsia="x-none"/>
        </w:rPr>
        <w:t>ERDF</w:t>
      </w:r>
      <w:r>
        <w:rPr>
          <w:rFonts w:ascii="Verdana" w:eastAsia="Times New Roman" w:hAnsi="Verdana"/>
          <w:noProof/>
          <w:sz w:val="20"/>
          <w:szCs w:val="20"/>
          <w:lang w:eastAsia="x-none"/>
        </w:rPr>
        <w:t xml:space="preserve"> programmes in 9 Member States, the most significant being for Italy (EUR 231 million) and Spain (EUR 119 million);</w:t>
      </w:r>
    </w:p>
    <w:p w:rsidR="008C2902" w:rsidRDefault="00AD2EC1">
      <w:pPr>
        <w:widowControl w:val="0"/>
        <w:tabs>
          <w:tab w:val="left" w:pos="1280"/>
        </w:tabs>
        <w:autoSpaceDE w:val="0"/>
        <w:autoSpaceDN w:val="0"/>
        <w:adjustRightInd w:val="0"/>
        <w:spacing w:line="240" w:lineRule="auto"/>
        <w:ind w:left="993" w:right="59" w:hanging="426"/>
        <w:jc w:val="both"/>
        <w:rPr>
          <w:rFonts w:ascii="Verdana" w:eastAsia="Times New Roman" w:hAnsi="Verdana"/>
          <w:noProof/>
          <w:sz w:val="20"/>
          <w:szCs w:val="20"/>
          <w:lang w:eastAsia="x-none"/>
        </w:rPr>
      </w:pPr>
      <w:r>
        <w:rPr>
          <w:rFonts w:ascii="Verdana" w:eastAsia="Times New Roman" w:hAnsi="Verdana"/>
          <w:noProof/>
          <w:sz w:val="20"/>
          <w:szCs w:val="20"/>
          <w:lang w:eastAsia="x-none"/>
        </w:rPr>
        <w:t xml:space="preserve">- </w:t>
      </w:r>
      <w:r>
        <w:rPr>
          <w:rFonts w:ascii="Verdana" w:eastAsia="Times New Roman" w:hAnsi="Verdana"/>
          <w:noProof/>
          <w:sz w:val="20"/>
          <w:szCs w:val="20"/>
          <w:lang w:eastAsia="x-none"/>
        </w:rPr>
        <w:tab/>
        <w:t xml:space="preserve">EUR 92 million accepted by 11 Member States for </w:t>
      </w:r>
      <w:r>
        <w:rPr>
          <w:rFonts w:ascii="Verdana" w:eastAsia="Times New Roman" w:hAnsi="Verdana"/>
          <w:b/>
          <w:noProof/>
          <w:sz w:val="20"/>
          <w:szCs w:val="20"/>
          <w:lang w:eastAsia="x-none"/>
        </w:rPr>
        <w:t>Cohesion Fund</w:t>
      </w:r>
      <w:r>
        <w:rPr>
          <w:rFonts w:ascii="Verdana" w:eastAsia="Times New Roman" w:hAnsi="Verdana"/>
          <w:noProof/>
          <w:sz w:val="20"/>
          <w:szCs w:val="20"/>
          <w:lang w:eastAsia="x-none"/>
        </w:rPr>
        <w:t xml:space="preserve"> projects, the largest being for Slovakia (EUR 70 million).</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 xml:space="preserve">For </w:t>
      </w:r>
      <w:r>
        <w:rPr>
          <w:rFonts w:ascii="Verdana" w:hAnsi="Verdana"/>
          <w:b/>
          <w:noProof/>
          <w:sz w:val="20"/>
          <w:lang w:eastAsia="en-GB"/>
        </w:rPr>
        <w:t>ESF</w:t>
      </w:r>
      <w:r>
        <w:rPr>
          <w:rFonts w:ascii="Verdana" w:hAnsi="Verdana"/>
          <w:noProof/>
          <w:sz w:val="20"/>
          <w:lang w:eastAsia="en-GB"/>
        </w:rPr>
        <w:t xml:space="preserve">, in the context of the closure process, all 239 programmes have been closed (209 fully and 30 partially). In 2014, the amount of financial corrections confirmed and implemented was EUR 133 million. The Member States with the highest level of financial corrections confirmed and implemented were, respectively, Spain (EUR 99 million) and Italy (EUR 20 million). The other countries for which the closure process has been finalised were Belgium, Germany, Greece, France, Austria, Slovakia and UK. Italy and Spain did not accept yet some closure proposals and the pre-correction procedure has been initiated – see section </w:t>
      </w:r>
      <w:r>
        <w:rPr>
          <w:rFonts w:ascii="Verdana" w:hAnsi="Verdana"/>
          <w:b/>
          <w:noProof/>
          <w:sz w:val="20"/>
          <w:lang w:eastAsia="en-GB"/>
        </w:rPr>
        <w:t>4.2.3</w:t>
      </w:r>
      <w:r>
        <w:rPr>
          <w:rFonts w:ascii="Verdana" w:hAnsi="Verdana"/>
          <w:noProof/>
          <w:sz w:val="20"/>
          <w:lang w:eastAsia="en-GB"/>
        </w:rPr>
        <w:t xml:space="preserve"> for more details.</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Significant progress was made in 2014 in relation to the closure of the Financial Instrument for Fisheries Guidance (</w:t>
      </w:r>
      <w:r>
        <w:rPr>
          <w:rFonts w:ascii="Verdana" w:hAnsi="Verdana"/>
          <w:b/>
          <w:noProof/>
          <w:sz w:val="20"/>
          <w:lang w:eastAsia="en-GB"/>
        </w:rPr>
        <w:t>FIFG</w:t>
      </w:r>
      <w:r>
        <w:rPr>
          <w:rFonts w:ascii="Verdana" w:hAnsi="Verdana"/>
          <w:noProof/>
          <w:sz w:val="20"/>
          <w:lang w:eastAsia="en-GB"/>
        </w:rPr>
        <w:t>). At the end of 2014, 53 programmes out of 60 were closed. Most financial corrections concerned were implemented via recovery orders.</w:t>
      </w:r>
    </w:p>
    <w:p w:rsidR="008C2902" w:rsidRDefault="00AD2EC1">
      <w:pPr>
        <w:spacing w:line="240" w:lineRule="auto"/>
        <w:jc w:val="both"/>
        <w:rPr>
          <w:rFonts w:ascii="Verdana" w:hAnsi="Verdana"/>
          <w:i/>
          <w:noProof/>
          <w:sz w:val="20"/>
          <w:lang w:eastAsia="en-GB"/>
        </w:rPr>
      </w:pPr>
      <w:r>
        <w:rPr>
          <w:rFonts w:ascii="Verdana" w:hAnsi="Verdana"/>
          <w:i/>
          <w:noProof/>
          <w:sz w:val="20"/>
          <w:lang w:eastAsia="en-GB"/>
        </w:rPr>
        <w:t xml:space="preserve">2007-2013 programming period: </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 xml:space="preserve">Confirmed financial corrections in 2014 for </w:t>
      </w:r>
      <w:r>
        <w:rPr>
          <w:rFonts w:ascii="Verdana" w:hAnsi="Verdana"/>
          <w:b/>
          <w:noProof/>
          <w:sz w:val="20"/>
          <w:lang w:eastAsia="en-GB"/>
        </w:rPr>
        <w:t>ERDF and Cohesion Fund</w:t>
      </w:r>
      <w:r>
        <w:rPr>
          <w:rFonts w:ascii="Verdana" w:hAnsi="Verdana"/>
          <w:noProof/>
          <w:sz w:val="20"/>
          <w:lang w:eastAsia="en-GB"/>
        </w:rPr>
        <w:t xml:space="preserve"> were EUR 294 million</w:t>
      </w:r>
      <w:r>
        <w:rPr>
          <w:rStyle w:val="FootnoteReference"/>
          <w:rFonts w:ascii="Verdana" w:hAnsi="Verdana"/>
          <w:noProof/>
          <w:sz w:val="20"/>
          <w:lang w:eastAsia="en-GB"/>
        </w:rPr>
        <w:footnoteReference w:id="11"/>
      </w:r>
      <w:r>
        <w:rPr>
          <w:rFonts w:ascii="Verdana" w:hAnsi="Verdana"/>
          <w:noProof/>
          <w:sz w:val="20"/>
          <w:lang w:eastAsia="en-GB"/>
        </w:rPr>
        <w:t>. This is the result of the strict supervision and interruption policy of the Commission and growing number of action plans including financial corrections decided by Member States and implemented as a result of interruption or pre-suspension letters sent by the Commission's Authorising Officers by Delegation.</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 xml:space="preserve">Under </w:t>
      </w:r>
      <w:r>
        <w:rPr>
          <w:rFonts w:ascii="Verdana" w:hAnsi="Verdana"/>
          <w:b/>
          <w:noProof/>
          <w:sz w:val="20"/>
          <w:lang w:eastAsia="en-GB"/>
        </w:rPr>
        <w:t>ESF</w:t>
      </w:r>
      <w:r>
        <w:rPr>
          <w:rFonts w:ascii="Verdana" w:hAnsi="Verdana"/>
          <w:noProof/>
          <w:sz w:val="20"/>
          <w:lang w:eastAsia="en-GB"/>
        </w:rPr>
        <w:t xml:space="preserve">, EUR 209 million has been confirmed and EUR 156 million has been implemented, out of which EUR 95 million were confirmed in 2014 and EUR 61 million in the previous years. 89 % of financial corrections confirmed during the year 2014 and previous years have been implemented, leaving an amount of EUR 118 million still to be implemented. Member States with the highest level of corrections are Spain (EUR 56 million), Romania (EUR 43 million); Poland (EUR 32 million) and France </w:t>
      </w:r>
      <w:r>
        <w:rPr>
          <w:rFonts w:ascii="Verdana" w:hAnsi="Verdana"/>
          <w:noProof/>
          <w:sz w:val="20"/>
          <w:lang w:eastAsia="en-GB"/>
        </w:rPr>
        <w:lastRenderedPageBreak/>
        <w:t>(EUR 20 million).</w:t>
      </w:r>
      <w:r>
        <w:rPr>
          <w:noProof/>
        </w:rPr>
        <w:t xml:space="preserve"> </w:t>
      </w:r>
      <w:r>
        <w:rPr>
          <w:rFonts w:ascii="Verdana" w:hAnsi="Verdana"/>
          <w:noProof/>
          <w:sz w:val="20"/>
          <w:lang w:eastAsia="en-GB"/>
        </w:rPr>
        <w:t>Among the financial corrections implemented in 2014, EUR 64 million are at source financial corrections, meaning that these financial corrections are applied by the Member State authorities at the same time the expenditure is declared to the Commission by application of flat rate corrections following Commission audits.</w:t>
      </w:r>
    </w:p>
    <w:p w:rsidR="008C2902" w:rsidRDefault="00AD2EC1">
      <w:pPr>
        <w:spacing w:line="240" w:lineRule="auto"/>
        <w:jc w:val="both"/>
        <w:rPr>
          <w:noProof/>
        </w:rPr>
      </w:pPr>
      <w:r>
        <w:rPr>
          <w:rFonts w:ascii="Verdana" w:hAnsi="Verdana"/>
          <w:noProof/>
          <w:sz w:val="20"/>
          <w:lang w:eastAsia="en-GB"/>
        </w:rPr>
        <w:t>Financial corrections confirmed for European Fisheries Fund</w:t>
      </w:r>
      <w:r>
        <w:rPr>
          <w:rFonts w:ascii="Verdana" w:hAnsi="Verdana"/>
          <w:b/>
          <w:noProof/>
          <w:sz w:val="20"/>
          <w:lang w:eastAsia="en-GB"/>
        </w:rPr>
        <w:t xml:space="preserve"> </w:t>
      </w:r>
      <w:r>
        <w:rPr>
          <w:rFonts w:ascii="Verdana" w:hAnsi="Verdana"/>
          <w:noProof/>
          <w:sz w:val="20"/>
          <w:lang w:eastAsia="en-GB"/>
        </w:rPr>
        <w:t>(</w:t>
      </w:r>
      <w:r>
        <w:rPr>
          <w:rFonts w:ascii="Verdana" w:hAnsi="Verdana"/>
          <w:b/>
          <w:noProof/>
          <w:sz w:val="20"/>
          <w:lang w:eastAsia="en-GB"/>
        </w:rPr>
        <w:t>EFF</w:t>
      </w:r>
      <w:r>
        <w:rPr>
          <w:rFonts w:ascii="Verdana" w:hAnsi="Verdana"/>
          <w:noProof/>
          <w:sz w:val="20"/>
          <w:lang w:eastAsia="en-GB"/>
        </w:rPr>
        <w:t>)</w:t>
      </w:r>
      <w:r>
        <w:rPr>
          <w:rFonts w:ascii="Verdana" w:hAnsi="Verdana"/>
          <w:b/>
          <w:noProof/>
          <w:sz w:val="20"/>
          <w:lang w:eastAsia="en-GB"/>
        </w:rPr>
        <w:t xml:space="preserve"> </w:t>
      </w:r>
      <w:r>
        <w:rPr>
          <w:rFonts w:ascii="Verdana" w:hAnsi="Verdana"/>
          <w:noProof/>
          <w:sz w:val="20"/>
          <w:lang w:eastAsia="en-GB"/>
        </w:rPr>
        <w:t>increased</w:t>
      </w:r>
      <w:r>
        <w:rPr>
          <w:rFonts w:ascii="Verdana" w:hAnsi="Verdana"/>
          <w:b/>
          <w:noProof/>
          <w:sz w:val="20"/>
          <w:lang w:eastAsia="en-GB"/>
        </w:rPr>
        <w:t xml:space="preserve"> </w:t>
      </w:r>
      <w:r>
        <w:rPr>
          <w:rFonts w:ascii="Verdana" w:hAnsi="Verdana"/>
          <w:noProof/>
          <w:sz w:val="20"/>
          <w:lang w:eastAsia="en-GB"/>
        </w:rPr>
        <w:t>by more than 80 % from 2013, mainly resulting from Commission audits and desk reviews. The withdrawal of ineligible expenditure from the subsequent payment claim allows such financial corrections to be implemented rapidly.</w:t>
      </w:r>
    </w:p>
    <w:p w:rsidR="008C2902" w:rsidRDefault="00AD2EC1">
      <w:pPr>
        <w:keepNext/>
        <w:spacing w:line="240" w:lineRule="auto"/>
        <w:jc w:val="both"/>
        <w:rPr>
          <w:rFonts w:ascii="Verdana" w:hAnsi="Verdana"/>
          <w:i/>
          <w:noProof/>
          <w:sz w:val="20"/>
          <w:lang w:eastAsia="en-GB"/>
        </w:rPr>
      </w:pPr>
      <w:r>
        <w:rPr>
          <w:rFonts w:ascii="Verdana" w:hAnsi="Verdana"/>
          <w:i/>
          <w:noProof/>
          <w:sz w:val="20"/>
          <w:lang w:eastAsia="en-GB"/>
        </w:rPr>
        <w:t>2014-2020 programming period:</w:t>
      </w:r>
    </w:p>
    <w:p w:rsidR="008C2902" w:rsidRDefault="00AD2EC1">
      <w:pPr>
        <w:spacing w:line="240" w:lineRule="auto"/>
        <w:jc w:val="both"/>
        <w:rPr>
          <w:rFonts w:ascii="Verdana" w:hAnsi="Verdana"/>
          <w:noProof/>
          <w:sz w:val="20"/>
          <w:lang w:eastAsia="en-GB"/>
        </w:rPr>
      </w:pPr>
      <w:r>
        <w:rPr>
          <w:rFonts w:ascii="Verdana" w:hAnsi="Verdana"/>
          <w:noProof/>
          <w:sz w:val="20"/>
          <w:lang w:eastAsia="en-GB"/>
        </w:rPr>
        <w:t>The first accounting period was ongoing in the course of 2014 and the designation of authorities has not yet taken place for almost all the operational programmes, therefore no audit activity related to the declaration of expenditure has yet been processed.</w:t>
      </w:r>
    </w:p>
    <w:p w:rsidR="008C2902" w:rsidRDefault="00AD2EC1">
      <w:pPr>
        <w:pStyle w:val="ManualHeading1"/>
        <w:rPr>
          <w:caps/>
          <w:noProof/>
        </w:rPr>
      </w:pPr>
      <w:bookmarkStart w:id="39" w:name="_Toc409007348"/>
      <w:bookmarkStart w:id="40" w:name="_Toc431383859"/>
      <w:bookmarkStart w:id="41" w:name="_Toc432061777"/>
      <w:r>
        <w:t>3.2.</w:t>
      </w:r>
      <w:r>
        <w:tab/>
      </w:r>
      <w:r>
        <w:rPr>
          <w:noProof/>
        </w:rPr>
        <w:t>Financial corrections in progress at 31 December 2014</w:t>
      </w:r>
      <w:bookmarkEnd w:id="39"/>
      <w:bookmarkEnd w:id="40"/>
      <w:bookmarkEnd w:id="41"/>
    </w:p>
    <w:p w:rsidR="008C2902" w:rsidRDefault="00AD2EC1">
      <w:pPr>
        <w:autoSpaceDE w:val="0"/>
        <w:autoSpaceDN w:val="0"/>
        <w:adjustRightInd w:val="0"/>
        <w:spacing w:after="0" w:line="240" w:lineRule="auto"/>
        <w:jc w:val="both"/>
        <w:rPr>
          <w:rFonts w:ascii="Verdana" w:hAnsi="Verdana" w:cs="Verdana"/>
          <w:noProof/>
          <w:sz w:val="20"/>
          <w:szCs w:val="20"/>
          <w:lang w:eastAsia="en-GB"/>
        </w:rPr>
      </w:pPr>
      <w:r>
        <w:rPr>
          <w:rFonts w:ascii="Verdana" w:hAnsi="Verdana"/>
          <w:noProof/>
          <w:sz w:val="20"/>
          <w:szCs w:val="20"/>
        </w:rPr>
        <w:t>Financial corrections in progress</w:t>
      </w:r>
      <w:r>
        <w:rPr>
          <w:rFonts w:ascii="Verdana" w:hAnsi="Verdana" w:cs="Verdana"/>
          <w:noProof/>
          <w:sz w:val="20"/>
          <w:szCs w:val="20"/>
          <w:lang w:eastAsia="en-GB"/>
        </w:rPr>
        <w:t xml:space="preserve"> are the preliminary stage where procedures for a financial correction have been opened but the contradictory procedure with the Member State concerned is still on-going. The indicated amounts are only initial estimates by the Commission services, subject to change until the final decision by the Commission.</w:t>
      </w:r>
    </w:p>
    <w:p w:rsidR="008C2902" w:rsidRDefault="00AD2EC1">
      <w:pPr>
        <w:pStyle w:val="ManualHeading1"/>
        <w:rPr>
          <w:caps/>
          <w:noProof/>
        </w:rPr>
      </w:pPr>
      <w:bookmarkStart w:id="42" w:name="_Toc431383860"/>
      <w:bookmarkStart w:id="43" w:name="_Toc432061778"/>
      <w:r>
        <w:t>3.3.</w:t>
      </w:r>
      <w:r>
        <w:tab/>
      </w:r>
      <w:r>
        <w:rPr>
          <w:noProof/>
        </w:rPr>
        <w:t>Financial corrections confirmed in 2014</w:t>
      </w:r>
      <w:bookmarkEnd w:id="42"/>
      <w:bookmarkEnd w:id="43"/>
    </w:p>
    <w:p w:rsidR="008C2902" w:rsidRDefault="00AD2EC1">
      <w:pPr>
        <w:spacing w:after="240" w:line="240" w:lineRule="auto"/>
        <w:jc w:val="both"/>
        <w:rPr>
          <w:rFonts w:ascii="Verdana" w:hAnsi="Verdana"/>
          <w:noProof/>
          <w:sz w:val="20"/>
          <w:lang w:eastAsia="en-GB"/>
        </w:rPr>
      </w:pPr>
      <w:bookmarkStart w:id="44" w:name="_Toc422840096"/>
      <w:bookmarkStart w:id="45" w:name="_Toc423524329"/>
      <w:r>
        <w:rPr>
          <w:rFonts w:ascii="Verdana" w:hAnsi="Verdana"/>
          <w:noProof/>
          <w:sz w:val="20"/>
        </w:rPr>
        <w:t>This section</w:t>
      </w:r>
      <w:r>
        <w:rPr>
          <w:rFonts w:ascii="Verdana" w:hAnsi="Verdana"/>
          <w:noProof/>
          <w:sz w:val="20"/>
          <w:lang w:eastAsia="en-GB"/>
        </w:rPr>
        <w:t xml:space="preserve"> provides different views of the financial corrections amounts confirmed in 2014. </w:t>
      </w:r>
      <w:r>
        <w:rPr>
          <w:rFonts w:ascii="Verdana" w:hAnsi="Verdana"/>
          <w:noProof/>
          <w:sz w:val="20"/>
        </w:rPr>
        <w:t>Attention is drawn to the fact that the data and maps presented below relate to one year only, 2014. The level of both the global corrections amount and the split by Member State can change significantly depending on the year. Therefore, a meaningful assessment of the corrective capacity of supervisory and control systems has to be based, in line with the nature of this expenditure, on a multi-annual perspective (see section</w:t>
      </w:r>
      <w:r>
        <w:rPr>
          <w:rFonts w:ascii="Verdana" w:hAnsi="Verdana"/>
          <w:noProof/>
          <w:sz w:val="20"/>
          <w:lang w:eastAsia="en-GB"/>
        </w:rPr>
        <w:t xml:space="preserve"> </w:t>
      </w:r>
      <w:r>
        <w:rPr>
          <w:rFonts w:ascii="Verdana" w:hAnsi="Verdana"/>
          <w:b/>
          <w:noProof/>
          <w:sz w:val="20"/>
          <w:lang w:eastAsia="en-GB"/>
        </w:rPr>
        <w:t>4</w:t>
      </w:r>
      <w:r>
        <w:rPr>
          <w:rFonts w:ascii="Verdana" w:hAnsi="Verdana"/>
          <w:noProof/>
          <w:sz w:val="20"/>
          <w:lang w:eastAsia="en-GB"/>
        </w:rPr>
        <w:t>).</w:t>
      </w:r>
    </w:p>
    <w:p w:rsidR="008C2902" w:rsidRDefault="00AD2EC1">
      <w:pPr>
        <w:spacing w:after="0" w:line="240" w:lineRule="auto"/>
        <w:rPr>
          <w:rFonts w:ascii="Verdana" w:eastAsia="Times New Roman" w:hAnsi="Verdana"/>
          <w:bCs/>
          <w:i/>
          <w:iCs/>
          <w:noProof/>
          <w:sz w:val="20"/>
          <w:szCs w:val="20"/>
          <w:lang w:eastAsia="en-GB"/>
        </w:rPr>
      </w:pPr>
      <w:bookmarkStart w:id="46" w:name="_Toc424121116"/>
      <w:bookmarkStart w:id="47" w:name="_Toc425855831"/>
      <w:bookmarkStart w:id="48" w:name="_Toc427677008"/>
      <w:bookmarkStart w:id="49" w:name="_Toc427850284"/>
      <w:bookmarkStart w:id="50" w:name="_Toc429388538"/>
      <w:bookmarkStart w:id="51" w:name="_Toc429556435"/>
      <w:r>
        <w:rPr>
          <w:rFonts w:ascii="Verdana" w:hAnsi="Verdana"/>
          <w:b/>
          <w:noProof/>
          <w:sz w:val="20"/>
          <w:szCs w:val="20"/>
          <w:lang w:eastAsia="en-GB"/>
        </w:rPr>
        <w:br w:type="page"/>
      </w:r>
    </w:p>
    <w:p w:rsidR="008C2902" w:rsidRDefault="00AD2EC1">
      <w:pPr>
        <w:rPr>
          <w:rFonts w:ascii="Verdana" w:hAnsi="Verdana"/>
          <w:b/>
          <w:i/>
          <w:noProof/>
          <w:sz w:val="20"/>
          <w:szCs w:val="20"/>
          <w:lang w:eastAsia="en-GB"/>
        </w:rPr>
      </w:pPr>
      <w:bookmarkStart w:id="52" w:name="_Toc430008695"/>
      <w:bookmarkStart w:id="53" w:name="_Toc430008842"/>
      <w:r>
        <w:rPr>
          <w:rFonts w:ascii="Verdana" w:hAnsi="Verdana"/>
          <w:i/>
          <w:noProof/>
          <w:sz w:val="20"/>
          <w:szCs w:val="20"/>
          <w:lang w:eastAsia="en-GB"/>
        </w:rPr>
        <w:lastRenderedPageBreak/>
        <w:t>3.3.1. Breakdown by Member State</w:t>
      </w:r>
      <w:bookmarkEnd w:id="44"/>
      <w:bookmarkEnd w:id="45"/>
      <w:bookmarkEnd w:id="46"/>
      <w:bookmarkEnd w:id="47"/>
      <w:bookmarkEnd w:id="48"/>
      <w:bookmarkEnd w:id="49"/>
      <w:bookmarkEnd w:id="50"/>
      <w:bookmarkEnd w:id="51"/>
      <w:bookmarkEnd w:id="52"/>
      <w:bookmarkEnd w:id="53"/>
    </w:p>
    <w:p w:rsidR="008C2902" w:rsidRDefault="00AD2EC1">
      <w:pPr>
        <w:spacing w:after="120" w:line="240" w:lineRule="auto"/>
        <w:jc w:val="both"/>
        <w:rPr>
          <w:rFonts w:ascii="Verdana" w:hAnsi="Verdana"/>
          <w:b/>
          <w:i/>
          <w:noProof/>
          <w:sz w:val="20"/>
        </w:rPr>
      </w:pPr>
      <w:r>
        <w:rPr>
          <w:rFonts w:ascii="Verdana" w:hAnsi="Verdana"/>
          <w:b/>
          <w:i/>
          <w:noProof/>
          <w:sz w:val="20"/>
        </w:rPr>
        <w:t>Map and Table 3.3.1: Financial corrections confirmed in 2014 as compared to EU payments received; Breakdown by Member State</w:t>
      </w:r>
    </w:p>
    <w:tbl>
      <w:tblPr>
        <w:tblpPr w:leftFromText="180" w:rightFromText="180" w:vertAnchor="text" w:horzAnchor="margin" w:tblpXSpec="right" w:tblpY="119"/>
        <w:tblW w:w="4624" w:type="dxa"/>
        <w:tblLayout w:type="fixed"/>
        <w:tblLook w:val="04A0" w:firstRow="1" w:lastRow="0" w:firstColumn="1" w:lastColumn="0" w:noHBand="0" w:noVBand="1"/>
      </w:tblPr>
      <w:tblGrid>
        <w:gridCol w:w="1291"/>
        <w:gridCol w:w="1228"/>
        <w:gridCol w:w="1053"/>
        <w:gridCol w:w="1052"/>
      </w:tblGrid>
      <w:tr w:rsidR="008C2902">
        <w:trPr>
          <w:trHeight w:val="1494"/>
        </w:trPr>
        <w:tc>
          <w:tcPr>
            <w:tcW w:w="1291" w:type="dxa"/>
            <w:tcBorders>
              <w:top w:val="single" w:sz="8" w:space="0" w:color="auto"/>
              <w:left w:val="single" w:sz="8" w:space="0" w:color="auto"/>
              <w:bottom w:val="single" w:sz="4"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Member State</w:t>
            </w:r>
          </w:p>
        </w:tc>
        <w:tc>
          <w:tcPr>
            <w:tcW w:w="1228" w:type="dxa"/>
            <w:tcBorders>
              <w:top w:val="single" w:sz="8" w:space="0" w:color="auto"/>
              <w:left w:val="nil"/>
              <w:bottom w:val="single" w:sz="4" w:space="0" w:color="auto"/>
              <w:right w:val="single" w:sz="4"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Payments received from the EU budget in 2014</w:t>
            </w:r>
            <w:r>
              <w:rPr>
                <w:rFonts w:ascii="Verdana" w:eastAsia="Times New Roman" w:hAnsi="Verdana"/>
                <w:b/>
                <w:bCs/>
                <w:noProof/>
                <w:color w:val="000000"/>
                <w:sz w:val="12"/>
                <w:szCs w:val="12"/>
                <w:lang w:eastAsia="en-GB"/>
              </w:rPr>
              <w:br/>
              <w:t>(EUR million)</w:t>
            </w:r>
          </w:p>
        </w:tc>
        <w:tc>
          <w:tcPr>
            <w:tcW w:w="1053" w:type="dxa"/>
            <w:tcBorders>
              <w:top w:val="single" w:sz="8" w:space="0" w:color="auto"/>
              <w:left w:val="single" w:sz="4" w:space="0" w:color="auto"/>
              <w:bottom w:val="single" w:sz="4" w:space="0" w:color="auto"/>
              <w:right w:val="single" w:sz="4"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confirmed in 2014 (EUR million)</w:t>
            </w:r>
          </w:p>
        </w:tc>
        <w:tc>
          <w:tcPr>
            <w:tcW w:w="1052" w:type="dxa"/>
            <w:tcBorders>
              <w:top w:val="single" w:sz="8" w:space="0" w:color="auto"/>
              <w:left w:val="single" w:sz="4" w:space="0" w:color="auto"/>
              <w:bottom w:val="single" w:sz="4"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confirmed in 2014 % as compared to payments received from the EU budget in 2014</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1 028</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25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2.4%</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2 096</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148</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7.1%</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4 152</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441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10.6%</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1 212</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0.7%</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9 712</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39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0.4%</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610</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2</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1 376</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18</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1.3%</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6 829</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187</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2.7%</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10 219</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379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3.7%</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11 159</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1 383</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12.4%</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407</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N/A</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9 450</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401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4.2%</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237</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N/A</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1 005</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1 774</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79</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6 342</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189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3.0%</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221</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0.2%</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1 285</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(30)*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(2.3%)</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1 301</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1.2%</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17 088</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4 772</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50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1.0%</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5 775</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295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5.1%</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1 078</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15</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1.4%</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1 577</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142</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9.0%</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866</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7</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0.8%</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1 338</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UK</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5 685</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62</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1.1%</w:t>
            </w:r>
          </w:p>
        </w:tc>
      </w:tr>
      <w:tr w:rsidR="008C2902">
        <w:trPr>
          <w:trHeight w:hRule="exact" w:val="227"/>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INTERREG</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1 866</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 xml:space="preserve"> 44</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jc w:val="right"/>
              <w:rPr>
                <w:rFonts w:ascii="Verdana" w:hAnsi="Verdana"/>
                <w:i/>
                <w:iCs/>
                <w:noProof/>
                <w:color w:val="000000"/>
                <w:sz w:val="16"/>
                <w:szCs w:val="16"/>
              </w:rPr>
            </w:pPr>
            <w:r>
              <w:rPr>
                <w:rFonts w:ascii="Verdana" w:hAnsi="Verdana"/>
                <w:i/>
                <w:iCs/>
                <w:noProof/>
                <w:color w:val="000000"/>
                <w:sz w:val="16"/>
                <w:szCs w:val="16"/>
              </w:rPr>
              <w:t>2.4%</w:t>
            </w:r>
          </w:p>
        </w:tc>
      </w:tr>
      <w:tr w:rsidR="008C2902">
        <w:trPr>
          <w:trHeight w:hRule="exact" w:val="30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TOTAL</w:t>
            </w:r>
          </w:p>
        </w:tc>
        <w:tc>
          <w:tcPr>
            <w:tcW w:w="1228" w:type="dxa"/>
            <w:tcBorders>
              <w:top w:val="single" w:sz="4" w:space="0" w:color="auto"/>
              <w:left w:val="single" w:sz="4" w:space="0" w:color="auto"/>
              <w:bottom w:val="single" w:sz="4" w:space="0" w:color="auto"/>
              <w:right w:val="single" w:sz="4" w:space="0" w:color="auto"/>
            </w:tcBorders>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110 537</w:t>
            </w:r>
          </w:p>
        </w:tc>
        <w:tc>
          <w:tcPr>
            <w:tcW w:w="1053" w:type="dxa"/>
            <w:tcBorders>
              <w:top w:val="single" w:sz="4" w:space="0" w:color="auto"/>
              <w:left w:val="single" w:sz="4" w:space="0" w:color="auto"/>
              <w:bottom w:val="single" w:sz="4" w:space="0" w:color="auto"/>
              <w:right w:val="single" w:sz="4" w:space="0" w:color="auto"/>
            </w:tcBorders>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3 890</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line="240" w:lineRule="auto"/>
              <w:jc w:val="right"/>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3.5%</w:t>
            </w:r>
          </w:p>
        </w:tc>
      </w:tr>
    </w:tbl>
    <w:p w:rsidR="008C2902" w:rsidRDefault="00AD2EC1">
      <w:pPr>
        <w:spacing w:after="120" w:line="240" w:lineRule="auto"/>
        <w:jc w:val="both"/>
        <w:rPr>
          <w:rFonts w:ascii="Verdana" w:hAnsi="Verdana"/>
          <w:b/>
          <w:i/>
          <w:noProof/>
          <w:sz w:val="20"/>
        </w:rPr>
      </w:pPr>
      <w:r>
        <w:rPr>
          <w:rFonts w:ascii="Verdana" w:hAnsi="Verdana"/>
          <w:b/>
          <w:i/>
          <w:noProof/>
          <w:sz w:val="20"/>
          <w:lang w:eastAsia="en-GB"/>
        </w:rPr>
        <w:drawing>
          <wp:inline distT="0" distB="0" distL="0" distR="0">
            <wp:extent cx="2734945" cy="28067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4945" cy="2806700"/>
                    </a:xfrm>
                    <a:prstGeom prst="rect">
                      <a:avLst/>
                    </a:prstGeom>
                    <a:noFill/>
                    <a:ln>
                      <a:noFill/>
                    </a:ln>
                  </pic:spPr>
                </pic:pic>
              </a:graphicData>
            </a:graphic>
          </wp:inline>
        </w:drawing>
      </w:r>
    </w:p>
    <w:p w:rsidR="008C2902" w:rsidRDefault="008C2902">
      <w:pPr>
        <w:spacing w:after="120" w:line="240" w:lineRule="auto"/>
        <w:jc w:val="both"/>
        <w:rPr>
          <w:rFonts w:ascii="Verdana" w:hAnsi="Verdana"/>
          <w:b/>
          <w:i/>
          <w:noProof/>
          <w:sz w:val="20"/>
        </w:rPr>
      </w:pPr>
    </w:p>
    <w:p w:rsidR="008C2902" w:rsidRDefault="00AD2EC1">
      <w:pPr>
        <w:spacing w:after="0" w:line="240" w:lineRule="auto"/>
        <w:jc w:val="both"/>
        <w:rPr>
          <w:noProof/>
          <w:lang w:eastAsia="en-GB"/>
        </w:rPr>
      </w:pPr>
      <w:r>
        <w:rPr>
          <w:rFonts w:ascii="Verdana" w:hAnsi="Verdana"/>
          <w:noProof/>
          <w:sz w:val="16"/>
          <w:szCs w:val="16"/>
        </w:rPr>
        <w:t>The map above takes into account the relative weight of the financial corrections confirmed for each Member State compared to the payments received from the EU budget in the year 2014.</w:t>
      </w:r>
    </w:p>
    <w:p w:rsidR="008C2902" w:rsidRDefault="008C2902">
      <w:pPr>
        <w:spacing w:after="0" w:line="240" w:lineRule="auto"/>
        <w:jc w:val="both"/>
        <w:rPr>
          <w:noProof/>
          <w:lang w:eastAsia="en-GB"/>
        </w:rPr>
      </w:pPr>
    </w:p>
    <w:p w:rsidR="008C2902" w:rsidRDefault="00AD2EC1">
      <w:pPr>
        <w:spacing w:after="0" w:line="240" w:lineRule="auto"/>
        <w:jc w:val="both"/>
        <w:rPr>
          <w:rFonts w:ascii="Verdana" w:hAnsi="Verdana"/>
          <w:noProof/>
          <w:sz w:val="16"/>
          <w:szCs w:val="16"/>
        </w:rPr>
      </w:pPr>
      <w:r>
        <w:rPr>
          <w:noProof/>
          <w:lang w:eastAsia="en-GB"/>
        </w:rPr>
        <w:drawing>
          <wp:inline distT="0" distB="0" distL="0" distR="0">
            <wp:extent cx="469265" cy="142875"/>
            <wp:effectExtent l="0" t="0" r="698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142875"/>
                    </a:xfrm>
                    <a:prstGeom prst="rect">
                      <a:avLst/>
                    </a:prstGeom>
                    <a:noFill/>
                    <a:ln>
                      <a:noFill/>
                    </a:ln>
                  </pic:spPr>
                </pic:pic>
              </a:graphicData>
            </a:graphic>
          </wp:inline>
        </w:drawing>
      </w:r>
      <w:r>
        <w:rPr>
          <w:rFonts w:ascii="Verdana" w:hAnsi="Verdana"/>
          <w:noProof/>
          <w:sz w:val="16"/>
          <w:szCs w:val="16"/>
        </w:rPr>
        <w:t xml:space="preserve"> Light grey shows Member States that are below the average percentage of 3.5 %.</w:t>
      </w:r>
    </w:p>
    <w:p w:rsidR="008C2902" w:rsidRDefault="00AD2EC1">
      <w:pPr>
        <w:spacing w:after="0" w:line="240" w:lineRule="auto"/>
        <w:jc w:val="both"/>
        <w:rPr>
          <w:rFonts w:ascii="Verdana" w:hAnsi="Verdana"/>
          <w:noProof/>
          <w:sz w:val="16"/>
          <w:szCs w:val="16"/>
        </w:rPr>
      </w:pPr>
      <w:r>
        <w:rPr>
          <w:noProof/>
          <w:lang w:eastAsia="en-GB"/>
        </w:rPr>
        <w:drawing>
          <wp:inline distT="0" distB="0" distL="0" distR="0">
            <wp:extent cx="461010" cy="1352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135255"/>
                    </a:xfrm>
                    <a:prstGeom prst="rect">
                      <a:avLst/>
                    </a:prstGeom>
                    <a:noFill/>
                    <a:ln>
                      <a:noFill/>
                    </a:ln>
                  </pic:spPr>
                </pic:pic>
              </a:graphicData>
            </a:graphic>
          </wp:inline>
        </w:drawing>
      </w:r>
      <w:r>
        <w:rPr>
          <w:noProof/>
          <w:lang w:eastAsia="en-GB"/>
        </w:rPr>
        <w:t xml:space="preserve"> </w:t>
      </w:r>
      <w:r>
        <w:rPr>
          <w:rFonts w:ascii="Verdana" w:hAnsi="Verdana"/>
          <w:noProof/>
          <w:sz w:val="16"/>
          <w:szCs w:val="16"/>
        </w:rPr>
        <w:t>Red highlights Member States that are above the average percentage of 3.5 %.</w:t>
      </w:r>
    </w:p>
    <w:p w:rsidR="008C2902" w:rsidRDefault="008C2902">
      <w:pPr>
        <w:spacing w:after="0" w:line="240" w:lineRule="auto"/>
        <w:jc w:val="both"/>
        <w:rPr>
          <w:noProof/>
          <w:lang w:eastAsia="en-GB"/>
        </w:rPr>
      </w:pPr>
    </w:p>
    <w:p w:rsidR="008C2902" w:rsidRDefault="008C2902">
      <w:pPr>
        <w:spacing w:after="0" w:line="240" w:lineRule="auto"/>
        <w:jc w:val="both"/>
        <w:rPr>
          <w:noProof/>
          <w:lang w:eastAsia="en-GB"/>
        </w:rPr>
      </w:pPr>
    </w:p>
    <w:p w:rsidR="008C2902" w:rsidRDefault="008C2902">
      <w:pPr>
        <w:spacing w:after="0" w:line="240" w:lineRule="auto"/>
        <w:rPr>
          <w:rFonts w:ascii="Verdana" w:hAnsi="Verdana"/>
          <w:i/>
          <w:noProof/>
          <w:sz w:val="20"/>
          <w:szCs w:val="20"/>
          <w:lang w:eastAsia="en-GB"/>
        </w:rPr>
      </w:pPr>
      <w:bookmarkStart w:id="54" w:name="_Toc422840097"/>
      <w:bookmarkStart w:id="55" w:name="_Toc423524330"/>
      <w:bookmarkStart w:id="56" w:name="_Toc424121117"/>
      <w:bookmarkStart w:id="57" w:name="_Toc425855832"/>
      <w:bookmarkStart w:id="58" w:name="_Toc427677009"/>
      <w:bookmarkStart w:id="59" w:name="_Toc427850285"/>
    </w:p>
    <w:p w:rsidR="008C2902" w:rsidRDefault="008C2902">
      <w:pPr>
        <w:spacing w:after="0" w:line="240" w:lineRule="auto"/>
        <w:rPr>
          <w:rFonts w:ascii="Verdana" w:hAnsi="Verdana"/>
          <w:i/>
          <w:noProof/>
          <w:sz w:val="20"/>
          <w:szCs w:val="20"/>
          <w:lang w:eastAsia="en-GB"/>
        </w:rPr>
      </w:pPr>
    </w:p>
    <w:p w:rsidR="008C2902" w:rsidRDefault="008C2902">
      <w:pPr>
        <w:spacing w:after="0" w:line="240" w:lineRule="auto"/>
        <w:rPr>
          <w:rFonts w:ascii="Verdana" w:hAnsi="Verdana"/>
          <w:i/>
          <w:noProof/>
          <w:sz w:val="20"/>
          <w:szCs w:val="20"/>
          <w:lang w:eastAsia="en-GB"/>
        </w:rPr>
      </w:pPr>
    </w:p>
    <w:p w:rsidR="008C2902" w:rsidRDefault="008C2902">
      <w:pPr>
        <w:spacing w:after="0" w:line="240" w:lineRule="auto"/>
        <w:rPr>
          <w:rFonts w:ascii="Verdana" w:hAnsi="Verdana"/>
          <w:i/>
          <w:noProof/>
          <w:sz w:val="20"/>
          <w:szCs w:val="20"/>
          <w:lang w:eastAsia="en-GB"/>
        </w:rPr>
      </w:pPr>
    </w:p>
    <w:p w:rsidR="008C2902" w:rsidRDefault="008C2902">
      <w:pPr>
        <w:spacing w:after="0" w:line="240" w:lineRule="auto"/>
        <w:rPr>
          <w:rFonts w:ascii="Verdana" w:hAnsi="Verdana"/>
          <w:i/>
          <w:noProof/>
          <w:sz w:val="20"/>
          <w:szCs w:val="20"/>
          <w:lang w:eastAsia="en-GB"/>
        </w:rPr>
      </w:pPr>
    </w:p>
    <w:p w:rsidR="008C2902" w:rsidRDefault="008C2902">
      <w:pPr>
        <w:spacing w:after="0" w:line="240" w:lineRule="auto"/>
        <w:rPr>
          <w:rFonts w:ascii="Verdana" w:hAnsi="Verdana"/>
          <w:i/>
          <w:noProof/>
          <w:sz w:val="20"/>
          <w:szCs w:val="20"/>
          <w:lang w:eastAsia="en-GB"/>
        </w:rPr>
      </w:pPr>
    </w:p>
    <w:p w:rsidR="008C2902" w:rsidRDefault="00AD2EC1">
      <w:pPr>
        <w:spacing w:after="0" w:line="240" w:lineRule="auto"/>
        <w:rPr>
          <w:rFonts w:ascii="Verdana" w:hAnsi="Verdana"/>
          <w:i/>
          <w:noProof/>
          <w:sz w:val="20"/>
          <w:szCs w:val="20"/>
          <w:lang w:eastAsia="en-GB"/>
        </w:rPr>
      </w:pPr>
      <w:r>
        <w:rPr>
          <w:rFonts w:ascii="Verdana" w:hAnsi="Verdana"/>
          <w:i/>
          <w:noProof/>
          <w:sz w:val="20"/>
          <w:szCs w:val="20"/>
          <w:lang w:eastAsia="en-GB"/>
        </w:rPr>
        <w:t xml:space="preserve">* </w:t>
      </w:r>
      <w:r>
        <w:rPr>
          <w:rFonts w:ascii="Verdana" w:hAnsi="Verdana"/>
          <w:i/>
          <w:noProof/>
          <w:sz w:val="16"/>
          <w:szCs w:val="20"/>
        </w:rPr>
        <w:t>The negative amount for Netherlands above arises following a judgement of the Court of Justice where the Commission needs to reimburse the Netherlands.</w:t>
      </w:r>
    </w:p>
    <w:p w:rsidR="008C2902" w:rsidRDefault="00AD2EC1">
      <w:pPr>
        <w:spacing w:after="0" w:line="240" w:lineRule="auto"/>
        <w:rPr>
          <w:rFonts w:ascii="Verdana" w:hAnsi="Verdana"/>
          <w:i/>
          <w:noProof/>
          <w:sz w:val="20"/>
          <w:szCs w:val="20"/>
          <w:lang w:eastAsia="en-GB"/>
        </w:rPr>
      </w:pPr>
      <w:r>
        <w:rPr>
          <w:rFonts w:ascii="Verdana" w:hAnsi="Verdana"/>
          <w:i/>
          <w:noProof/>
          <w:sz w:val="20"/>
          <w:szCs w:val="20"/>
          <w:lang w:eastAsia="en-GB"/>
        </w:rPr>
        <w:br w:type="page"/>
      </w:r>
    </w:p>
    <w:p w:rsidR="008C2902" w:rsidRDefault="00AD2EC1">
      <w:pPr>
        <w:spacing w:after="0" w:line="240" w:lineRule="auto"/>
        <w:rPr>
          <w:rFonts w:ascii="Verdana" w:hAnsi="Verdana"/>
          <w:i/>
          <w:noProof/>
          <w:sz w:val="20"/>
          <w:szCs w:val="20"/>
          <w:lang w:eastAsia="en-GB"/>
        </w:rPr>
      </w:pPr>
      <w:r>
        <w:rPr>
          <w:rFonts w:ascii="Verdana" w:hAnsi="Verdana"/>
          <w:i/>
          <w:noProof/>
          <w:sz w:val="20"/>
          <w:szCs w:val="20"/>
          <w:lang w:eastAsia="en-GB"/>
        </w:rPr>
        <w:lastRenderedPageBreak/>
        <w:t xml:space="preserve">3.3.2. </w:t>
      </w:r>
      <w:r>
        <w:rPr>
          <w:rFonts w:ascii="Verdana" w:hAnsi="Verdana"/>
          <w:i/>
          <w:noProof/>
          <w:sz w:val="20"/>
          <w:szCs w:val="20"/>
          <w:lang w:eastAsia="en-GB"/>
        </w:rPr>
        <w:tab/>
        <w:t>Breakdown of flat-rate corrections confirmed in 2014</w:t>
      </w:r>
      <w:bookmarkEnd w:id="54"/>
      <w:bookmarkEnd w:id="55"/>
      <w:bookmarkEnd w:id="56"/>
      <w:bookmarkEnd w:id="57"/>
      <w:bookmarkEnd w:id="58"/>
      <w:bookmarkEnd w:id="59"/>
    </w:p>
    <w:p w:rsidR="008C2902" w:rsidRDefault="008C2902">
      <w:pPr>
        <w:spacing w:after="0" w:line="240" w:lineRule="auto"/>
        <w:rPr>
          <w:rFonts w:ascii="Verdana" w:hAnsi="Verdana"/>
          <w:i/>
          <w:noProof/>
          <w:sz w:val="20"/>
          <w:szCs w:val="20"/>
          <w:lang w:eastAsia="en-GB"/>
        </w:rPr>
      </w:pPr>
    </w:p>
    <w:p w:rsidR="008C2902" w:rsidRDefault="00AD2EC1">
      <w:pPr>
        <w:spacing w:after="240" w:line="240" w:lineRule="auto"/>
        <w:jc w:val="both"/>
        <w:rPr>
          <w:rFonts w:ascii="Verdana" w:hAnsi="Verdana"/>
          <w:b/>
          <w:i/>
          <w:noProof/>
          <w:sz w:val="20"/>
        </w:rPr>
      </w:pPr>
      <w:r>
        <w:rPr>
          <w:rFonts w:ascii="Verdana" w:hAnsi="Verdana"/>
          <w:b/>
          <w:i/>
          <w:noProof/>
          <w:sz w:val="20"/>
        </w:rPr>
        <w:t>Table 3.3.2: Breakdown of flat-rate corrections confirmed in 2014</w:t>
      </w:r>
    </w:p>
    <w:tbl>
      <w:tblPr>
        <w:tblW w:w="5812" w:type="dxa"/>
        <w:tblInd w:w="1242" w:type="dxa"/>
        <w:tblLook w:val="04A0" w:firstRow="1" w:lastRow="0" w:firstColumn="1" w:lastColumn="0" w:noHBand="0" w:noVBand="1"/>
      </w:tblPr>
      <w:tblGrid>
        <w:gridCol w:w="1995"/>
        <w:gridCol w:w="1734"/>
        <w:gridCol w:w="2083"/>
      </w:tblGrid>
      <w:tr w:rsidR="008C2902">
        <w:trPr>
          <w:trHeight w:val="300"/>
        </w:trPr>
        <w:tc>
          <w:tcPr>
            <w:tcW w:w="1995"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8C2902" w:rsidRDefault="008C2902">
            <w:pPr>
              <w:spacing w:after="0" w:line="240" w:lineRule="auto"/>
              <w:jc w:val="center"/>
              <w:rPr>
                <w:rFonts w:ascii="Verdana" w:eastAsia="Times New Roman" w:hAnsi="Verdana"/>
                <w:b/>
                <w:bCs/>
                <w:noProof/>
                <w:color w:val="000000"/>
                <w:sz w:val="16"/>
                <w:szCs w:val="16"/>
                <w:lang w:eastAsia="en-GB"/>
              </w:rPr>
            </w:pPr>
          </w:p>
        </w:tc>
        <w:tc>
          <w:tcPr>
            <w:tcW w:w="1734" w:type="dxa"/>
            <w:tcBorders>
              <w:top w:val="single" w:sz="8" w:space="0" w:color="auto"/>
              <w:left w:val="nil"/>
              <w:bottom w:val="single" w:sz="8" w:space="0" w:color="auto"/>
              <w:right w:val="single" w:sz="4" w:space="0" w:color="auto"/>
            </w:tcBorders>
            <w:shd w:val="clear" w:color="000000" w:fill="99CCFF"/>
          </w:tcPr>
          <w:p w:rsidR="008C2902" w:rsidRDefault="00AD2EC1">
            <w:pPr>
              <w:spacing w:after="0" w:line="240" w:lineRule="auto"/>
              <w:jc w:val="center"/>
              <w:rPr>
                <w:rFonts w:ascii="Verdana" w:eastAsia="Times New Roman" w:hAnsi="Verdana"/>
                <w:b/>
                <w:bCs/>
                <w:noProof/>
                <w:color w:val="000000"/>
                <w:sz w:val="16"/>
                <w:szCs w:val="16"/>
                <w:lang w:val="fr-BE" w:eastAsia="en-GB"/>
              </w:rPr>
            </w:pPr>
            <w:r>
              <w:rPr>
                <w:rFonts w:ascii="Verdana" w:eastAsia="Times New Roman" w:hAnsi="Verdana"/>
                <w:b/>
                <w:bCs/>
                <w:noProof/>
                <w:color w:val="000000"/>
                <w:sz w:val="16"/>
                <w:szCs w:val="16"/>
                <w:lang w:val="fr-BE" w:eastAsia="en-GB"/>
              </w:rPr>
              <w:t>Total financial corrections  (EUR million)</w:t>
            </w:r>
          </w:p>
        </w:tc>
        <w:tc>
          <w:tcPr>
            <w:tcW w:w="2083" w:type="dxa"/>
            <w:tcBorders>
              <w:top w:val="single" w:sz="8" w:space="0" w:color="auto"/>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Flat-rate financial corrections* confirmed in 2014 (EUR million)</w:t>
            </w:r>
          </w:p>
        </w:tc>
      </w:tr>
      <w:tr w:rsidR="008C2902">
        <w:trPr>
          <w:trHeight w:val="287"/>
        </w:trPr>
        <w:tc>
          <w:tcPr>
            <w:tcW w:w="1995"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Agriculture</w:t>
            </w:r>
          </w:p>
        </w:tc>
        <w:tc>
          <w:tcPr>
            <w:tcW w:w="1734" w:type="dxa"/>
            <w:tcBorders>
              <w:top w:val="nil"/>
              <w:left w:val="nil"/>
              <w:bottom w:val="nil"/>
              <w:right w:val="single" w:sz="4" w:space="0" w:color="auto"/>
            </w:tcBorders>
          </w:tcPr>
          <w:p w:rsidR="008C2902" w:rsidRDefault="008C2902">
            <w:pPr>
              <w:spacing w:after="0" w:line="240" w:lineRule="auto"/>
              <w:jc w:val="right"/>
              <w:rPr>
                <w:rFonts w:ascii="Verdana" w:eastAsia="Times New Roman" w:hAnsi="Verdana"/>
                <w:noProof/>
                <w:color w:val="000000"/>
                <w:sz w:val="16"/>
                <w:szCs w:val="16"/>
                <w:lang w:eastAsia="en-GB"/>
              </w:rPr>
            </w:pPr>
          </w:p>
        </w:tc>
        <w:tc>
          <w:tcPr>
            <w:tcW w:w="2083" w:type="dxa"/>
            <w:tcBorders>
              <w:top w:val="nil"/>
              <w:left w:val="single" w:sz="4" w:space="0" w:color="auto"/>
              <w:bottom w:val="nil"/>
              <w:right w:val="single" w:sz="8" w:space="0" w:color="auto"/>
            </w:tcBorders>
            <w:shd w:val="clear" w:color="auto" w:fill="auto"/>
            <w:vAlign w:val="center"/>
            <w:hideMark/>
          </w:tcPr>
          <w:p w:rsidR="008C2902" w:rsidRDefault="008C2902">
            <w:pPr>
              <w:spacing w:after="0" w:line="240" w:lineRule="auto"/>
              <w:jc w:val="right"/>
              <w:rPr>
                <w:rFonts w:ascii="Verdana" w:eastAsia="Times New Roman" w:hAnsi="Verdana"/>
                <w:noProof/>
                <w:color w:val="000000"/>
                <w:sz w:val="16"/>
                <w:szCs w:val="16"/>
                <w:lang w:eastAsia="en-GB"/>
              </w:rPr>
            </w:pPr>
          </w:p>
        </w:tc>
      </w:tr>
      <w:tr w:rsidR="008C2902">
        <w:trPr>
          <w:trHeight w:val="239"/>
        </w:trPr>
        <w:tc>
          <w:tcPr>
            <w:tcW w:w="1995"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EAGF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1 649</w:t>
            </w:r>
          </w:p>
        </w:tc>
        <w:tc>
          <w:tcPr>
            <w:tcW w:w="2083" w:type="dxa"/>
            <w:tcBorders>
              <w:top w:val="nil"/>
              <w:left w:val="single" w:sz="4"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644**</w:t>
            </w:r>
          </w:p>
        </w:tc>
      </w:tr>
      <w:tr w:rsidR="008C2902">
        <w:trPr>
          <w:trHeight w:val="143"/>
        </w:trPr>
        <w:tc>
          <w:tcPr>
            <w:tcW w:w="1995"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EAFRD</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220</w:t>
            </w:r>
          </w:p>
        </w:tc>
        <w:tc>
          <w:tcPr>
            <w:tcW w:w="2083" w:type="dxa"/>
            <w:tcBorders>
              <w:top w:val="nil"/>
              <w:left w:val="single" w:sz="4"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168**</w:t>
            </w:r>
          </w:p>
        </w:tc>
      </w:tr>
      <w:tr w:rsidR="008C2902">
        <w:trPr>
          <w:trHeight w:val="300"/>
        </w:trPr>
        <w:tc>
          <w:tcPr>
            <w:tcW w:w="1995"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Cohesion</w:t>
            </w:r>
          </w:p>
        </w:tc>
        <w:tc>
          <w:tcPr>
            <w:tcW w:w="1734" w:type="dxa"/>
            <w:tcBorders>
              <w:top w:val="nil"/>
              <w:left w:val="nil"/>
              <w:bottom w:val="nil"/>
              <w:right w:val="single" w:sz="4" w:space="0" w:color="auto"/>
            </w:tcBorders>
          </w:tcPr>
          <w:p w:rsidR="008C2902" w:rsidRDefault="008C2902">
            <w:pPr>
              <w:spacing w:after="0" w:line="240" w:lineRule="auto"/>
              <w:jc w:val="right"/>
              <w:rPr>
                <w:rFonts w:ascii="Verdana" w:eastAsia="Times New Roman" w:hAnsi="Verdana"/>
                <w:noProof/>
                <w:color w:val="000000"/>
                <w:sz w:val="16"/>
                <w:szCs w:val="16"/>
                <w:lang w:eastAsia="en-GB"/>
              </w:rPr>
            </w:pPr>
          </w:p>
        </w:tc>
        <w:tc>
          <w:tcPr>
            <w:tcW w:w="2083" w:type="dxa"/>
            <w:tcBorders>
              <w:top w:val="nil"/>
              <w:left w:val="single" w:sz="4" w:space="0" w:color="auto"/>
              <w:bottom w:val="nil"/>
              <w:right w:val="single" w:sz="8" w:space="0" w:color="auto"/>
            </w:tcBorders>
            <w:shd w:val="clear" w:color="auto" w:fill="auto"/>
            <w:vAlign w:val="center"/>
          </w:tcPr>
          <w:p w:rsidR="008C2902" w:rsidRDefault="008C2902">
            <w:pPr>
              <w:spacing w:after="0" w:line="240" w:lineRule="auto"/>
              <w:jc w:val="right"/>
              <w:rPr>
                <w:rFonts w:ascii="Verdana" w:eastAsia="Times New Roman" w:hAnsi="Verdana"/>
                <w:noProof/>
                <w:color w:val="000000"/>
                <w:sz w:val="16"/>
                <w:szCs w:val="16"/>
                <w:lang w:eastAsia="en-GB"/>
              </w:rPr>
            </w:pPr>
          </w:p>
        </w:tc>
      </w:tr>
      <w:tr w:rsidR="008C2902">
        <w:trPr>
          <w:trHeight w:val="110"/>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ERDF &amp; CF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1 622</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890</w:t>
            </w:r>
          </w:p>
        </w:tc>
      </w:tr>
      <w:tr w:rsidR="008C2902">
        <w:trPr>
          <w:trHeight w:val="19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342</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223</w:t>
            </w:r>
          </w:p>
        </w:tc>
      </w:tr>
      <w:tr w:rsidR="008C2902">
        <w:trPr>
          <w:trHeight w:val="15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EAGGF guidance</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231"/>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EFF/FIFG</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39</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w:t>
            </w:r>
          </w:p>
        </w:tc>
      </w:tr>
      <w:tr w:rsidR="008C2902">
        <w:trPr>
          <w:trHeight w:val="231"/>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Internal policies</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r>
      <w:tr w:rsidR="008C2902">
        <w:trPr>
          <w:trHeight w:hRule="exact" w:val="270"/>
        </w:trPr>
        <w:tc>
          <w:tcPr>
            <w:tcW w:w="19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734" w:type="dxa"/>
            <w:tcBorders>
              <w:top w:val="single" w:sz="8" w:space="0" w:color="auto"/>
              <w:left w:val="nil"/>
              <w:bottom w:val="single" w:sz="8" w:space="0" w:color="auto"/>
              <w:right w:val="single" w:sz="4" w:space="0" w:color="auto"/>
            </w:tcBorders>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3 890</w:t>
            </w:r>
          </w:p>
        </w:tc>
        <w:tc>
          <w:tcPr>
            <w:tcW w:w="2083" w:type="dxa"/>
            <w:tcBorders>
              <w:top w:val="single" w:sz="8" w:space="0" w:color="auto"/>
              <w:left w:val="single" w:sz="4" w:space="0" w:color="auto"/>
              <w:bottom w:val="single" w:sz="8" w:space="0" w:color="auto"/>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1 933</w:t>
            </w:r>
          </w:p>
        </w:tc>
      </w:tr>
    </w:tbl>
    <w:p w:rsidR="008C2902" w:rsidRDefault="00AD2EC1">
      <w:pPr>
        <w:tabs>
          <w:tab w:val="left" w:pos="1418"/>
        </w:tabs>
        <w:spacing w:after="0" w:line="240" w:lineRule="auto"/>
        <w:ind w:firstLine="1134"/>
        <w:rPr>
          <w:rFonts w:ascii="Verdana" w:eastAsia="Times New Roman" w:hAnsi="Verdana"/>
          <w:bCs/>
          <w:i/>
          <w:iCs/>
          <w:noProof/>
          <w:sz w:val="16"/>
          <w:szCs w:val="16"/>
          <w:lang w:eastAsia="en-GB"/>
        </w:rPr>
      </w:pPr>
      <w:bookmarkStart w:id="60" w:name="_Toc422840098"/>
      <w:bookmarkStart w:id="61" w:name="_Toc423524331"/>
      <w:bookmarkStart w:id="62" w:name="_Toc424121118"/>
      <w:bookmarkStart w:id="63" w:name="_Toc425855833"/>
      <w:bookmarkStart w:id="64" w:name="_Toc427677010"/>
      <w:bookmarkStart w:id="65" w:name="_Toc427850286"/>
      <w:r>
        <w:rPr>
          <w:rFonts w:ascii="Verdana" w:eastAsia="Times New Roman" w:hAnsi="Verdana"/>
          <w:bCs/>
          <w:i/>
          <w:iCs/>
          <w:noProof/>
          <w:sz w:val="16"/>
          <w:szCs w:val="16"/>
          <w:lang w:eastAsia="en-GB"/>
        </w:rPr>
        <w:t xml:space="preserve">* </w:t>
      </w:r>
      <w:r>
        <w:rPr>
          <w:rFonts w:ascii="Verdana" w:eastAsia="Times New Roman" w:hAnsi="Verdana"/>
          <w:bCs/>
          <w:i/>
          <w:iCs/>
          <w:noProof/>
          <w:sz w:val="16"/>
          <w:szCs w:val="16"/>
          <w:lang w:eastAsia="en-GB"/>
        </w:rPr>
        <w:tab/>
        <w:t>Includes extrapolated corrections</w:t>
      </w:r>
    </w:p>
    <w:p w:rsidR="008C2902" w:rsidRDefault="00AD2EC1">
      <w:pPr>
        <w:spacing w:after="0" w:line="240" w:lineRule="auto"/>
        <w:ind w:left="1418" w:hanging="284"/>
        <w:rPr>
          <w:rFonts w:ascii="Verdana" w:eastAsia="Times New Roman" w:hAnsi="Verdana"/>
          <w:bCs/>
          <w:i/>
          <w:iCs/>
          <w:noProof/>
          <w:sz w:val="16"/>
          <w:szCs w:val="16"/>
          <w:lang w:eastAsia="en-GB"/>
        </w:rPr>
      </w:pPr>
      <w:r>
        <w:rPr>
          <w:rFonts w:ascii="Verdana" w:eastAsia="Times New Roman" w:hAnsi="Verdana"/>
          <w:bCs/>
          <w:i/>
          <w:iCs/>
          <w:noProof/>
          <w:sz w:val="16"/>
          <w:szCs w:val="16"/>
          <w:lang w:eastAsia="en-GB"/>
        </w:rPr>
        <w:t>**</w:t>
      </w:r>
      <w:r>
        <w:rPr>
          <w:rFonts w:ascii="Verdana" w:eastAsia="Times New Roman" w:hAnsi="Verdana"/>
          <w:bCs/>
          <w:i/>
          <w:iCs/>
          <w:noProof/>
          <w:sz w:val="16"/>
          <w:szCs w:val="16"/>
          <w:lang w:eastAsia="en-GB"/>
        </w:rPr>
        <w:tab/>
        <w:t>This represents a best estimate. The majority of financial corrections integrate amounts based on precise calculations and flat rates.</w:t>
      </w:r>
    </w:p>
    <w:p w:rsidR="008C2902" w:rsidRDefault="008C2902">
      <w:pPr>
        <w:spacing w:after="0" w:line="240" w:lineRule="auto"/>
        <w:rPr>
          <w:rFonts w:ascii="Verdana" w:hAnsi="Verdana"/>
          <w:noProof/>
          <w:sz w:val="20"/>
          <w:szCs w:val="20"/>
          <w:lang w:eastAsia="en-GB"/>
        </w:rPr>
      </w:pPr>
    </w:p>
    <w:p w:rsidR="008C2902" w:rsidRDefault="00AD2EC1">
      <w:pPr>
        <w:spacing w:after="0" w:line="240" w:lineRule="auto"/>
        <w:jc w:val="both"/>
        <w:rPr>
          <w:rFonts w:ascii="Verdana" w:hAnsi="Verdana"/>
          <w:noProof/>
          <w:sz w:val="20"/>
          <w:lang w:eastAsia="en-GB"/>
        </w:rPr>
      </w:pPr>
      <w:r>
        <w:rPr>
          <w:rFonts w:ascii="Verdana" w:hAnsi="Verdana"/>
          <w:noProof/>
          <w:sz w:val="20"/>
          <w:szCs w:val="20"/>
          <w:lang w:eastAsia="en-GB"/>
        </w:rPr>
        <w:t>Flat rate corrections are a valuable tool that is used when the related amount cannot be quantified on the basis of a representative statistical sample or when the impact on expenditure of individual errors cannot be quantified precisely. However, t</w:t>
      </w:r>
      <w:r>
        <w:rPr>
          <w:rFonts w:ascii="Verdana" w:hAnsi="Verdana"/>
          <w:noProof/>
          <w:sz w:val="20"/>
          <w:lang w:eastAsia="en-GB"/>
        </w:rPr>
        <w:t>his means that the Member State subject to the flat correction bears the financial consequences as the corrections are not directly linked to individual irregularities at project level, i.e. there is no individual final beneficiary to recover monies from.</w:t>
      </w:r>
    </w:p>
    <w:p w:rsidR="008C2902" w:rsidRDefault="008C2902">
      <w:pPr>
        <w:spacing w:after="0" w:line="240" w:lineRule="auto"/>
        <w:jc w:val="both"/>
        <w:rPr>
          <w:rFonts w:ascii="Verdana" w:hAnsi="Verdana"/>
          <w:noProof/>
          <w:sz w:val="20"/>
          <w:szCs w:val="20"/>
          <w:lang w:eastAsia="en-GB"/>
        </w:rPr>
      </w:pPr>
    </w:p>
    <w:p w:rsidR="008C2902" w:rsidRDefault="00AD2EC1">
      <w:pPr>
        <w:rPr>
          <w:rFonts w:ascii="Verdana" w:hAnsi="Verdana"/>
          <w:b/>
          <w:i/>
          <w:noProof/>
          <w:sz w:val="20"/>
          <w:szCs w:val="20"/>
          <w:lang w:eastAsia="en-GB"/>
        </w:rPr>
      </w:pPr>
      <w:bookmarkStart w:id="66" w:name="_Toc429388539"/>
      <w:bookmarkStart w:id="67" w:name="_Toc429556436"/>
      <w:bookmarkStart w:id="68" w:name="_Toc430008696"/>
      <w:bookmarkStart w:id="69" w:name="_Toc430008843"/>
      <w:r>
        <w:rPr>
          <w:rFonts w:ascii="Verdana" w:hAnsi="Verdana"/>
          <w:i/>
          <w:noProof/>
          <w:sz w:val="20"/>
          <w:szCs w:val="20"/>
          <w:lang w:eastAsia="en-GB"/>
        </w:rPr>
        <w:t>3.3.3. Breakdown of financial corrections made at source</w:t>
      </w:r>
      <w:bookmarkEnd w:id="60"/>
      <w:bookmarkEnd w:id="61"/>
      <w:bookmarkEnd w:id="62"/>
      <w:bookmarkEnd w:id="63"/>
      <w:bookmarkEnd w:id="64"/>
      <w:bookmarkEnd w:id="65"/>
      <w:bookmarkEnd w:id="66"/>
      <w:bookmarkEnd w:id="67"/>
      <w:bookmarkEnd w:id="68"/>
      <w:bookmarkEnd w:id="69"/>
    </w:p>
    <w:p w:rsidR="008C2902" w:rsidRDefault="00AD2EC1">
      <w:pPr>
        <w:spacing w:after="240" w:line="240" w:lineRule="auto"/>
        <w:jc w:val="both"/>
        <w:rPr>
          <w:rFonts w:ascii="Verdana" w:hAnsi="Verdana"/>
          <w:b/>
          <w:i/>
          <w:noProof/>
          <w:sz w:val="20"/>
        </w:rPr>
      </w:pPr>
      <w:r>
        <w:rPr>
          <w:rFonts w:ascii="Verdana" w:hAnsi="Verdana"/>
          <w:b/>
          <w:i/>
          <w:noProof/>
          <w:sz w:val="20"/>
        </w:rPr>
        <w:t>Table 3.3.3: Breakdown of financial corrections at source confirmed in 2014</w:t>
      </w:r>
    </w:p>
    <w:tbl>
      <w:tblPr>
        <w:tblpPr w:leftFromText="180" w:rightFromText="180" w:vertAnchor="text" w:horzAnchor="page" w:tblpX="3148" w:tblpY="58"/>
        <w:tblW w:w="3816" w:type="dxa"/>
        <w:tblLayout w:type="fixed"/>
        <w:tblLook w:val="04A0" w:firstRow="1" w:lastRow="0" w:firstColumn="1" w:lastColumn="0" w:noHBand="0" w:noVBand="1"/>
      </w:tblPr>
      <w:tblGrid>
        <w:gridCol w:w="1674"/>
        <w:gridCol w:w="2142"/>
      </w:tblGrid>
      <w:tr w:rsidR="008C2902">
        <w:trPr>
          <w:trHeight w:val="975"/>
        </w:trPr>
        <w:tc>
          <w:tcPr>
            <w:tcW w:w="1674" w:type="dxa"/>
            <w:tcBorders>
              <w:top w:val="single" w:sz="8" w:space="0" w:color="auto"/>
              <w:left w:val="single" w:sz="8" w:space="0" w:color="auto"/>
              <w:bottom w:val="single" w:sz="4"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Member State</w:t>
            </w:r>
          </w:p>
        </w:tc>
        <w:tc>
          <w:tcPr>
            <w:tcW w:w="2142" w:type="dxa"/>
            <w:tcBorders>
              <w:top w:val="single" w:sz="8" w:space="0" w:color="auto"/>
              <w:left w:val="single" w:sz="4" w:space="0" w:color="auto"/>
              <w:bottom w:val="single" w:sz="4" w:space="0" w:color="auto"/>
              <w:right w:val="single" w:sz="8"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At source financial corrections confirmed in 2014 (EUR million)</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2142" w:type="dxa"/>
            <w:tcBorders>
              <w:top w:val="single" w:sz="4" w:space="0" w:color="auto"/>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28</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407</w:t>
            </w:r>
          </w:p>
        </w:tc>
      </w:tr>
      <w:tr w:rsidR="008C2902">
        <w:trPr>
          <w:trHeight w:hRule="exact" w:val="228"/>
        </w:trPr>
        <w:tc>
          <w:tcPr>
            <w:tcW w:w="1674" w:type="dxa"/>
            <w:tcBorders>
              <w:left w:val="single" w:sz="4" w:space="0" w:color="auto"/>
              <w:right w:val="single" w:sz="4"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0</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88</w:t>
            </w:r>
          </w:p>
        </w:tc>
      </w:tr>
      <w:tr w:rsidR="008C2902">
        <w:trPr>
          <w:trHeight w:hRule="exact" w:val="228"/>
        </w:trPr>
        <w:tc>
          <w:tcPr>
            <w:tcW w:w="1674" w:type="dxa"/>
            <w:tcBorders>
              <w:left w:val="single" w:sz="4" w:space="0" w:color="auto"/>
              <w:right w:val="single" w:sz="4"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0</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20</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4</w:t>
            </w:r>
          </w:p>
        </w:tc>
      </w:tr>
      <w:tr w:rsidR="008C2902">
        <w:trPr>
          <w:trHeight w:hRule="exact" w:val="228"/>
        </w:trPr>
        <w:tc>
          <w:tcPr>
            <w:tcW w:w="1674" w:type="dxa"/>
            <w:tcBorders>
              <w:left w:val="single" w:sz="4" w:space="0" w:color="auto"/>
              <w:right w:val="single" w:sz="4"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0</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152</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14</w:t>
            </w:r>
          </w:p>
        </w:tc>
      </w:tr>
      <w:tr w:rsidR="008C2902">
        <w:trPr>
          <w:trHeight w:hRule="exact" w:val="228"/>
        </w:trPr>
        <w:tc>
          <w:tcPr>
            <w:tcW w:w="1674" w:type="dxa"/>
            <w:tcBorders>
              <w:left w:val="single" w:sz="4" w:space="0" w:color="auto"/>
              <w:right w:val="single" w:sz="4"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0</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133</w:t>
            </w:r>
          </w:p>
        </w:tc>
      </w:tr>
      <w:tr w:rsidR="008C2902">
        <w:trPr>
          <w:trHeight w:hRule="exact" w:val="228"/>
        </w:trPr>
        <w:tc>
          <w:tcPr>
            <w:tcW w:w="1674" w:type="dxa"/>
            <w:tcBorders>
              <w:left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56</w:t>
            </w:r>
          </w:p>
        </w:tc>
      </w:tr>
      <w:tr w:rsidR="008C2902">
        <w:trPr>
          <w:trHeight w:hRule="exact" w:val="228"/>
        </w:trPr>
        <w:tc>
          <w:tcPr>
            <w:tcW w:w="1674" w:type="dxa"/>
            <w:tcBorders>
              <w:left w:val="single" w:sz="4" w:space="0" w:color="auto"/>
              <w:right w:val="single" w:sz="4"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UK</w:t>
            </w:r>
          </w:p>
        </w:tc>
        <w:tc>
          <w:tcPr>
            <w:tcW w:w="2142" w:type="dxa"/>
            <w:tcBorders>
              <w:left w:val="single" w:sz="4" w:space="0" w:color="auto"/>
              <w:right w:val="single" w:sz="8" w:space="0" w:color="auto"/>
            </w:tcBorders>
            <w:vAlign w:val="center"/>
          </w:tcPr>
          <w:p w:rsidR="008C2902" w:rsidRDefault="00AD2EC1">
            <w:pPr>
              <w:jc w:val="right"/>
              <w:rPr>
                <w:rFonts w:ascii="Verdana" w:hAnsi="Verdana"/>
                <w:noProof/>
                <w:color w:val="000000"/>
                <w:sz w:val="16"/>
                <w:szCs w:val="16"/>
              </w:rPr>
            </w:pPr>
            <w:r>
              <w:rPr>
                <w:rFonts w:ascii="Verdana" w:hAnsi="Verdana"/>
                <w:noProof/>
                <w:color w:val="000000"/>
                <w:sz w:val="16"/>
                <w:szCs w:val="16"/>
              </w:rPr>
              <w:t>0</w:t>
            </w:r>
          </w:p>
        </w:tc>
      </w:tr>
      <w:tr w:rsidR="008C2902">
        <w:trPr>
          <w:trHeight w:hRule="exact" w:val="307"/>
        </w:trPr>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TOTAL</w:t>
            </w:r>
          </w:p>
        </w:tc>
        <w:tc>
          <w:tcPr>
            <w:tcW w:w="2142" w:type="dxa"/>
            <w:tcBorders>
              <w:top w:val="single" w:sz="4" w:space="0" w:color="auto"/>
              <w:left w:val="single" w:sz="4" w:space="0" w:color="auto"/>
              <w:bottom w:val="single" w:sz="4" w:space="0" w:color="auto"/>
              <w:right w:val="single" w:sz="8" w:space="0" w:color="auto"/>
            </w:tcBorders>
            <w:vAlign w:val="center"/>
          </w:tcPr>
          <w:p w:rsidR="008C2902" w:rsidRDefault="00AD2EC1">
            <w:pPr>
              <w:spacing w:after="0"/>
              <w:jc w:val="right"/>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903</w:t>
            </w:r>
          </w:p>
        </w:tc>
      </w:tr>
    </w:tbl>
    <w:p w:rsidR="008C2902" w:rsidRDefault="008C2902">
      <w:pPr>
        <w:rPr>
          <w:noProof/>
          <w:lang w:eastAsia="en-GB"/>
        </w:rPr>
      </w:pPr>
    </w:p>
    <w:p w:rsidR="008C2902" w:rsidRDefault="008C2902">
      <w:pPr>
        <w:rPr>
          <w:noProof/>
          <w:lang w:eastAsia="en-GB"/>
        </w:rPr>
      </w:pPr>
    </w:p>
    <w:p w:rsidR="008C2902" w:rsidRDefault="008C2902">
      <w:pPr>
        <w:rPr>
          <w:noProof/>
          <w:lang w:eastAsia="en-GB"/>
        </w:rPr>
      </w:pPr>
    </w:p>
    <w:p w:rsidR="008C2902" w:rsidRDefault="008C2902">
      <w:pPr>
        <w:rPr>
          <w:noProof/>
          <w:lang w:eastAsia="en-GB"/>
        </w:rPr>
      </w:pPr>
    </w:p>
    <w:p w:rsidR="008C2902" w:rsidRDefault="008C2902">
      <w:pPr>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lang w:eastAsia="en-GB"/>
        </w:rPr>
      </w:pPr>
    </w:p>
    <w:p w:rsidR="008C2902" w:rsidRDefault="008C2902">
      <w:pPr>
        <w:spacing w:after="0" w:line="240" w:lineRule="auto"/>
        <w:rPr>
          <w:noProof/>
          <w:sz w:val="16"/>
          <w:szCs w:val="16"/>
          <w:lang w:eastAsia="en-GB"/>
        </w:rPr>
      </w:pPr>
    </w:p>
    <w:p w:rsidR="008C2902" w:rsidRDefault="008C2902">
      <w:pPr>
        <w:spacing w:after="0" w:line="240" w:lineRule="auto"/>
        <w:jc w:val="both"/>
        <w:rPr>
          <w:rFonts w:ascii="Verdana" w:hAnsi="Verdana"/>
          <w:noProof/>
          <w:sz w:val="20"/>
        </w:rPr>
      </w:pPr>
    </w:p>
    <w:p w:rsidR="008C2902" w:rsidRDefault="00AD2EC1">
      <w:pPr>
        <w:spacing w:after="0" w:line="240" w:lineRule="auto"/>
        <w:jc w:val="both"/>
        <w:rPr>
          <w:noProof/>
          <w:lang w:eastAsia="en-GB"/>
        </w:rPr>
      </w:pPr>
      <w:r>
        <w:rPr>
          <w:rFonts w:ascii="Verdana" w:hAnsi="Verdana"/>
          <w:noProof/>
          <w:sz w:val="20"/>
        </w:rPr>
        <w:lastRenderedPageBreak/>
        <w:t xml:space="preserve">At source corrections for 2007-2013 </w:t>
      </w:r>
      <w:r>
        <w:rPr>
          <w:rFonts w:ascii="Verdana" w:hAnsi="Verdana"/>
          <w:b/>
          <w:noProof/>
          <w:sz w:val="20"/>
        </w:rPr>
        <w:t>ERDF/CF</w:t>
      </w:r>
      <w:r>
        <w:rPr>
          <w:rFonts w:ascii="Verdana" w:hAnsi="Verdana"/>
          <w:noProof/>
          <w:sz w:val="20"/>
        </w:rPr>
        <w:t xml:space="preserve"> programmes have been reported for the first time in 2014. They relate to amounts reported by the Member States</w:t>
      </w:r>
      <w:r>
        <w:rPr>
          <w:rStyle w:val="FootnoteReference"/>
          <w:rFonts w:ascii="Verdana" w:hAnsi="Verdana"/>
          <w:noProof/>
          <w:sz w:val="20"/>
        </w:rPr>
        <w:footnoteReference w:id="12"/>
      </w:r>
      <w:r>
        <w:rPr>
          <w:rFonts w:ascii="Verdana" w:hAnsi="Verdana"/>
          <w:noProof/>
          <w:sz w:val="20"/>
        </w:rPr>
        <w:t xml:space="preserve"> in 2014, following a specific request from the Commission services (requests targeted on the main cases in which flat rates corrections have been applied for problems linked to public procurement procedures or deficiencies in the Member States’ management and control systems). As a result of this exercise, EUR 782 million of financial corrections at source have been identified in 6 Member States cumulatively since 2012 and up to the end of 2014. Being the first year of reporting such information, the full amount of at source corrections have been attributed to 2014, even though some of the amounts were included in payment claims sent to the Commission in 2012 and 2013. </w:t>
      </w:r>
    </w:p>
    <w:p w:rsidR="008C2902" w:rsidRDefault="008C2902">
      <w:pPr>
        <w:spacing w:after="0" w:line="240" w:lineRule="auto"/>
        <w:jc w:val="both"/>
        <w:rPr>
          <w:noProof/>
          <w:lang w:eastAsia="en-GB"/>
        </w:rPr>
      </w:pPr>
    </w:p>
    <w:p w:rsidR="008C2902" w:rsidRDefault="00AD2EC1">
      <w:pPr>
        <w:spacing w:line="240" w:lineRule="auto"/>
        <w:jc w:val="both"/>
        <w:rPr>
          <w:rFonts w:ascii="Verdana" w:hAnsi="Verdana"/>
          <w:noProof/>
          <w:sz w:val="20"/>
        </w:rPr>
      </w:pPr>
      <w:r>
        <w:rPr>
          <w:rFonts w:ascii="Verdana" w:hAnsi="Verdana"/>
          <w:noProof/>
          <w:sz w:val="20"/>
        </w:rPr>
        <w:t>The main at source financial corrections for ERDF/CF concern the Czech Republic (EUR 398 million), Hungary (EUR 136 million), Romania (EUR 92 million), Greece (EUR 72 million) and Slovakia (EUR 56 million).</w:t>
      </w:r>
    </w:p>
    <w:p w:rsidR="008C2902" w:rsidRDefault="00AD2EC1">
      <w:pPr>
        <w:spacing w:line="240" w:lineRule="auto"/>
        <w:jc w:val="both"/>
        <w:rPr>
          <w:rFonts w:ascii="Verdana" w:hAnsi="Verdana"/>
          <w:noProof/>
          <w:sz w:val="20"/>
        </w:rPr>
      </w:pPr>
      <w:r>
        <w:rPr>
          <w:rFonts w:ascii="Verdana" w:hAnsi="Verdana"/>
          <w:noProof/>
          <w:sz w:val="20"/>
        </w:rPr>
        <w:t xml:space="preserve">For </w:t>
      </w:r>
      <w:r>
        <w:rPr>
          <w:rFonts w:ascii="Verdana" w:hAnsi="Verdana"/>
          <w:b/>
          <w:noProof/>
          <w:sz w:val="20"/>
        </w:rPr>
        <w:t>ESF</w:t>
      </w:r>
      <w:r>
        <w:rPr>
          <w:rFonts w:ascii="Verdana" w:hAnsi="Verdana"/>
          <w:noProof/>
          <w:sz w:val="20"/>
        </w:rPr>
        <w:t xml:space="preserve">, the main Member States concerned by flat rate corrections applied at the same time as the declaration of the expenditure to the Commission, and consequently correcting new expenditure are: Romania (EUR 41 million), France (EUR 20 million), Hungary (EUR 16 million) and Poland (EUR 14 million), with a total of EUR 100 million of at source financial corrections </w:t>
      </w:r>
      <w:r>
        <w:rPr>
          <w:rFonts w:ascii="Verdana" w:hAnsi="Verdana"/>
          <w:noProof/>
          <w:sz w:val="20"/>
          <w:lang w:eastAsia="en-GB"/>
        </w:rPr>
        <w:t>confirmed</w:t>
      </w:r>
      <w:r>
        <w:rPr>
          <w:rFonts w:ascii="Verdana" w:hAnsi="Verdana"/>
          <w:noProof/>
          <w:sz w:val="20"/>
        </w:rPr>
        <w:t xml:space="preserve"> in 2014.</w:t>
      </w:r>
    </w:p>
    <w:p w:rsidR="008C2902" w:rsidRDefault="00AD2EC1">
      <w:pPr>
        <w:spacing w:after="240" w:line="240" w:lineRule="auto"/>
        <w:jc w:val="both"/>
        <w:rPr>
          <w:rFonts w:ascii="Verdana" w:hAnsi="Verdana" w:cs="Calibri"/>
          <w:noProof/>
          <w:sz w:val="20"/>
          <w:szCs w:val="20"/>
        </w:rPr>
      </w:pPr>
      <w:r>
        <w:rPr>
          <w:rFonts w:ascii="Verdana" w:hAnsi="Verdana"/>
          <w:noProof/>
          <w:sz w:val="20"/>
          <w:lang w:val="en-US"/>
        </w:rPr>
        <w:t>Concerning Romania</w:t>
      </w:r>
      <w:r>
        <w:rPr>
          <w:rFonts w:ascii="Verdana" w:hAnsi="Verdana"/>
          <w:noProof/>
          <w:sz w:val="20"/>
        </w:rPr>
        <w:t xml:space="preserve">, </w:t>
      </w:r>
      <w:r>
        <w:rPr>
          <w:rFonts w:ascii="Verdana" w:hAnsi="Verdana"/>
          <w:noProof/>
          <w:sz w:val="20"/>
          <w:szCs w:val="20"/>
        </w:rPr>
        <w:t>i</w:t>
      </w:r>
      <w:r>
        <w:rPr>
          <w:rFonts w:ascii="Verdana" w:hAnsi="Verdana" w:cs="Calibri"/>
          <w:noProof/>
          <w:sz w:val="20"/>
          <w:szCs w:val="20"/>
        </w:rPr>
        <w:t xml:space="preserve">n order to address the root causes of the recurring problems identified </w:t>
      </w:r>
      <w:r>
        <w:rPr>
          <w:rFonts w:ascii="Verdana" w:hAnsi="Verdana"/>
          <w:noProof/>
          <w:sz w:val="20"/>
          <w:lang w:val="en-US"/>
        </w:rPr>
        <w:t>under ESF</w:t>
      </w:r>
      <w:r>
        <w:rPr>
          <w:rFonts w:ascii="Verdana" w:hAnsi="Verdana" w:cs="Calibri"/>
          <w:noProof/>
          <w:sz w:val="20"/>
          <w:szCs w:val="20"/>
        </w:rPr>
        <w:t>, the Commission is working with national authorities in order to strengthen their management and control systems and is closely following-up on the implementation of the agreed action plan. In addition, the national audit authority has checked procurement issues for a number of high risk projects and the errors detected are being corrected through financial corrections at the level of the projects concerned (replacing the 25 % flat rate correction). The Commission is also supporting the Ro</w:t>
      </w:r>
      <w:r>
        <w:rPr>
          <w:rFonts w:ascii="Verdana" w:hAnsi="Verdana" w:cs="Calibri"/>
          <w:noProof/>
          <w:sz w:val="20"/>
          <w:szCs w:val="20"/>
          <w:lang w:val="en-US"/>
        </w:rPr>
        <w:t>manian</w:t>
      </w:r>
      <w:r>
        <w:rPr>
          <w:rFonts w:ascii="Verdana" w:hAnsi="Verdana" w:cs="Calibri"/>
          <w:noProof/>
          <w:sz w:val="20"/>
          <w:szCs w:val="20"/>
        </w:rPr>
        <w:t xml:space="preserve"> authorities in improving simplification and the use of the fraud prevention and detection tool, Arachne.</w:t>
      </w:r>
    </w:p>
    <w:p w:rsidR="008C2902" w:rsidRDefault="00AD2EC1">
      <w:pPr>
        <w:pStyle w:val="ManualHeading1"/>
        <w:rPr>
          <w:caps/>
          <w:noProof/>
        </w:rPr>
      </w:pPr>
      <w:bookmarkStart w:id="70" w:name="_Toc431383861"/>
      <w:bookmarkStart w:id="71" w:name="_Toc432061779"/>
      <w:r>
        <w:t>3.4.</w:t>
      </w:r>
      <w:r>
        <w:tab/>
      </w:r>
      <w:r>
        <w:rPr>
          <w:noProof/>
        </w:rPr>
        <w:t>Financial corrections implemented in 2014</w:t>
      </w:r>
      <w:bookmarkEnd w:id="70"/>
      <w:bookmarkEnd w:id="71"/>
    </w:p>
    <w:p w:rsidR="008C2902" w:rsidRDefault="00AD2EC1">
      <w:pPr>
        <w:spacing w:after="240" w:line="240" w:lineRule="auto"/>
        <w:jc w:val="both"/>
        <w:rPr>
          <w:rFonts w:ascii="Verdana" w:hAnsi="Verdana"/>
          <w:noProof/>
          <w:sz w:val="20"/>
        </w:rPr>
      </w:pPr>
      <w:bookmarkStart w:id="72" w:name="_Toc422840101"/>
      <w:bookmarkStart w:id="73" w:name="_Toc423524334"/>
      <w:r>
        <w:rPr>
          <w:rFonts w:ascii="Verdana" w:hAnsi="Verdana"/>
          <w:noProof/>
          <w:sz w:val="20"/>
        </w:rPr>
        <w:t>This section</w:t>
      </w:r>
      <w:r>
        <w:rPr>
          <w:rFonts w:ascii="Verdana" w:hAnsi="Verdana"/>
          <w:noProof/>
          <w:sz w:val="20"/>
          <w:lang w:eastAsia="en-GB"/>
        </w:rPr>
        <w:t xml:space="preserve"> provides different views of the financial corrections amounts implemented in 2014. </w:t>
      </w:r>
      <w:r>
        <w:rPr>
          <w:rFonts w:ascii="Verdana" w:hAnsi="Verdana"/>
          <w:noProof/>
          <w:sz w:val="20"/>
        </w:rPr>
        <w:t xml:space="preserve">Attention is drawn to the fact that the data and maps presented below relate to one year only, 2014. The level of the global corrections amount and the split by Member State change significantly depending on the year – see section </w:t>
      </w:r>
      <w:r>
        <w:rPr>
          <w:rFonts w:ascii="Verdana" w:hAnsi="Verdana"/>
          <w:b/>
          <w:noProof/>
          <w:sz w:val="20"/>
        </w:rPr>
        <w:t>4</w:t>
      </w:r>
      <w:r>
        <w:rPr>
          <w:rFonts w:ascii="Verdana" w:hAnsi="Verdana"/>
          <w:noProof/>
          <w:sz w:val="20"/>
        </w:rPr>
        <w:t xml:space="preserve"> for the multi-annual picture.</w:t>
      </w:r>
    </w:p>
    <w:p w:rsidR="008C2902" w:rsidRDefault="00AD2EC1">
      <w:pPr>
        <w:spacing w:after="0" w:line="240" w:lineRule="auto"/>
        <w:rPr>
          <w:rFonts w:ascii="Verdana" w:eastAsia="Times New Roman" w:hAnsi="Verdana"/>
          <w:bCs/>
          <w:i/>
          <w:iCs/>
          <w:noProof/>
          <w:sz w:val="20"/>
          <w:szCs w:val="20"/>
          <w:lang w:eastAsia="en-GB"/>
        </w:rPr>
      </w:pPr>
      <w:bookmarkStart w:id="74" w:name="_Toc424121120"/>
      <w:bookmarkStart w:id="75" w:name="_Toc425855835"/>
      <w:bookmarkStart w:id="76" w:name="_Toc427677012"/>
      <w:bookmarkStart w:id="77" w:name="_Toc427850288"/>
      <w:r>
        <w:rPr>
          <w:rFonts w:ascii="Verdana" w:hAnsi="Verdana"/>
          <w:b/>
          <w:noProof/>
          <w:sz w:val="20"/>
          <w:szCs w:val="20"/>
          <w:lang w:eastAsia="en-GB"/>
        </w:rPr>
        <w:br w:type="page"/>
      </w:r>
    </w:p>
    <w:p w:rsidR="008C2902" w:rsidRDefault="00AD2EC1">
      <w:pPr>
        <w:rPr>
          <w:rFonts w:ascii="Verdana" w:hAnsi="Verdana"/>
          <w:b/>
          <w:i/>
          <w:noProof/>
          <w:sz w:val="20"/>
          <w:szCs w:val="20"/>
          <w:lang w:eastAsia="en-GB"/>
        </w:rPr>
      </w:pPr>
      <w:bookmarkStart w:id="78" w:name="_Toc429388541"/>
      <w:bookmarkStart w:id="79" w:name="_Toc429556438"/>
      <w:bookmarkStart w:id="80" w:name="_Toc430008698"/>
      <w:bookmarkStart w:id="81" w:name="_Toc430008845"/>
      <w:r>
        <w:rPr>
          <w:rFonts w:ascii="Verdana" w:hAnsi="Verdana"/>
          <w:i/>
          <w:noProof/>
          <w:sz w:val="20"/>
          <w:szCs w:val="20"/>
          <w:lang w:eastAsia="en-GB"/>
        </w:rPr>
        <w:lastRenderedPageBreak/>
        <w:t>3.4.1. Breakdown by Member State</w:t>
      </w:r>
      <w:bookmarkEnd w:id="72"/>
      <w:bookmarkEnd w:id="73"/>
      <w:bookmarkEnd w:id="74"/>
      <w:bookmarkEnd w:id="75"/>
      <w:bookmarkEnd w:id="76"/>
      <w:bookmarkEnd w:id="77"/>
      <w:bookmarkEnd w:id="78"/>
      <w:bookmarkEnd w:id="79"/>
      <w:bookmarkEnd w:id="80"/>
      <w:bookmarkEnd w:id="81"/>
    </w:p>
    <w:p w:rsidR="008C2902" w:rsidRDefault="00AD2EC1">
      <w:pPr>
        <w:spacing w:after="120" w:line="240" w:lineRule="auto"/>
        <w:jc w:val="both"/>
        <w:rPr>
          <w:rFonts w:ascii="Verdana" w:hAnsi="Verdana"/>
          <w:b/>
          <w:i/>
          <w:noProof/>
          <w:sz w:val="20"/>
        </w:rPr>
      </w:pPr>
      <w:r>
        <w:rPr>
          <w:rFonts w:ascii="Verdana" w:hAnsi="Verdana"/>
          <w:b/>
          <w:i/>
          <w:noProof/>
          <w:sz w:val="20"/>
        </w:rPr>
        <w:t>Map and Table 3.4.1: Financial corrections implemented in 2014 as compared to EU payments received; Breakdown by Member State</w:t>
      </w:r>
    </w:p>
    <w:tbl>
      <w:tblPr>
        <w:tblpPr w:leftFromText="180" w:rightFromText="180" w:vertAnchor="text" w:horzAnchor="margin" w:tblpXSpec="right" w:tblpY="61"/>
        <w:tblW w:w="4397"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246"/>
        <w:gridCol w:w="1130"/>
        <w:gridCol w:w="896"/>
        <w:gridCol w:w="1125"/>
      </w:tblGrid>
      <w:tr w:rsidR="008C2902">
        <w:trPr>
          <w:trHeight w:val="1398"/>
        </w:trPr>
        <w:tc>
          <w:tcPr>
            <w:tcW w:w="1246" w:type="dxa"/>
            <w:tcBorders>
              <w:top w:val="single" w:sz="8" w:space="0" w:color="auto"/>
              <w:bottom w:val="single" w:sz="4"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Member State</w:t>
            </w:r>
          </w:p>
        </w:tc>
        <w:tc>
          <w:tcPr>
            <w:tcW w:w="1130" w:type="dxa"/>
            <w:tcBorders>
              <w:top w:val="single" w:sz="8" w:space="0" w:color="auto"/>
              <w:left w:val="single" w:sz="8" w:space="0" w:color="auto"/>
              <w:bottom w:val="single" w:sz="4" w:space="0" w:color="auto"/>
              <w:right w:val="single" w:sz="8"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Payments received from the EU budget in 2014 (EUR million)</w:t>
            </w:r>
          </w:p>
        </w:tc>
        <w:tc>
          <w:tcPr>
            <w:tcW w:w="896" w:type="dxa"/>
            <w:tcBorders>
              <w:top w:val="single" w:sz="8" w:space="0" w:color="auto"/>
              <w:left w:val="single" w:sz="8" w:space="0" w:color="auto"/>
              <w:bottom w:val="single" w:sz="4" w:space="0" w:color="auto"/>
              <w:right w:val="single" w:sz="8"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implemented in 2014 (EUR million)</w:t>
            </w:r>
          </w:p>
        </w:tc>
        <w:tc>
          <w:tcPr>
            <w:tcW w:w="1125" w:type="dxa"/>
            <w:tcBorders>
              <w:top w:val="single" w:sz="8" w:space="0" w:color="auto"/>
              <w:left w:val="single" w:sz="8" w:space="0" w:color="auto"/>
              <w:bottom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implemented in 2014 as % of payments received from the EU budget in 2014</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1 028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2 096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1.5%</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4 152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336</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8.1%</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1 212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9 712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28</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610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0.2%</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1 376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2.7%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6 829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321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4.7%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10 219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391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3.8%</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11 159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462</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4.1%</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407</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N/A</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9 450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324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3.4%</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237</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N/A</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1 005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1 774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79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0.2%</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6 342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0.4%</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221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1 285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2.7%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1 301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17 088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65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0.4%</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4 772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73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1.5%</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5 775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1.6%</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1 078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0.6%</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1 577</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137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8.7%</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866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8</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0.9%</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1 338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UK</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5 685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89</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1.6%</w:t>
            </w:r>
          </w:p>
        </w:tc>
      </w:tr>
      <w:tr w:rsidR="008C2902">
        <w:trPr>
          <w:trHeight w:hRule="exact" w:val="222"/>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INTERREG</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1 866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902" w:rsidRDefault="00AD2EC1">
            <w:pPr>
              <w:spacing w:after="0"/>
              <w:jc w:val="right"/>
              <w:rPr>
                <w:rFonts w:ascii="Verdana" w:hAnsi="Verdana"/>
                <w:i/>
                <w:iCs/>
                <w:noProof/>
                <w:sz w:val="16"/>
                <w:szCs w:val="16"/>
              </w:rPr>
            </w:pPr>
            <w:r>
              <w:rPr>
                <w:rFonts w:ascii="Verdana" w:hAnsi="Verdana"/>
                <w:i/>
                <w:iCs/>
                <w:noProof/>
                <w:sz w:val="16"/>
                <w:szCs w:val="16"/>
              </w:rPr>
              <w:t>2.3%</w:t>
            </w:r>
          </w:p>
        </w:tc>
      </w:tr>
      <w:tr w:rsidR="008C2902">
        <w:trPr>
          <w:trHeight w:hRule="exact" w:val="358"/>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100" w:afterAutospacing="1"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TOTAL</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100" w:afterAutospacing="1"/>
              <w:jc w:val="right"/>
              <w:rPr>
                <w:rFonts w:ascii="Verdana" w:hAnsi="Verdana"/>
                <w:b/>
                <w:bCs/>
                <w:noProof/>
                <w:color w:val="000000"/>
                <w:sz w:val="16"/>
                <w:szCs w:val="16"/>
              </w:rPr>
            </w:pPr>
            <w:r>
              <w:rPr>
                <w:rFonts w:ascii="Verdana" w:hAnsi="Verdana"/>
                <w:b/>
                <w:bCs/>
                <w:noProof/>
                <w:color w:val="000000"/>
                <w:sz w:val="16"/>
                <w:szCs w:val="16"/>
              </w:rPr>
              <w:t>110 537</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100" w:afterAutospacing="1"/>
              <w:jc w:val="right"/>
              <w:rPr>
                <w:rFonts w:ascii="Verdana" w:hAnsi="Verdana"/>
                <w:b/>
                <w:bCs/>
                <w:noProof/>
                <w:color w:val="000000"/>
                <w:sz w:val="16"/>
                <w:szCs w:val="16"/>
              </w:rPr>
            </w:pPr>
            <w:r>
              <w:rPr>
                <w:rFonts w:ascii="Verdana" w:hAnsi="Verdana"/>
                <w:b/>
                <w:bCs/>
                <w:noProof/>
                <w:color w:val="000000"/>
                <w:sz w:val="16"/>
                <w:szCs w:val="16"/>
              </w:rPr>
              <w:t>2 549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C2902" w:rsidRDefault="00AD2EC1">
            <w:pPr>
              <w:spacing w:after="100" w:afterAutospacing="1"/>
              <w:jc w:val="right"/>
              <w:rPr>
                <w:rFonts w:ascii="Verdana" w:hAnsi="Verdana"/>
                <w:b/>
                <w:bCs/>
                <w:i/>
                <w:iCs/>
                <w:noProof/>
                <w:color w:val="000000"/>
                <w:sz w:val="16"/>
                <w:szCs w:val="16"/>
              </w:rPr>
            </w:pPr>
            <w:r>
              <w:rPr>
                <w:rFonts w:ascii="Verdana" w:hAnsi="Verdana"/>
                <w:b/>
                <w:bCs/>
                <w:i/>
                <w:iCs/>
                <w:noProof/>
                <w:color w:val="000000"/>
                <w:sz w:val="16"/>
                <w:szCs w:val="16"/>
              </w:rPr>
              <w:t>2.3%</w:t>
            </w:r>
          </w:p>
        </w:tc>
      </w:tr>
    </w:tbl>
    <w:p w:rsidR="008C2902" w:rsidRDefault="00AD2EC1">
      <w:pPr>
        <w:spacing w:after="120" w:line="240" w:lineRule="auto"/>
        <w:jc w:val="both"/>
        <w:rPr>
          <w:rFonts w:ascii="Verdana" w:hAnsi="Verdana"/>
          <w:b/>
          <w:i/>
          <w:noProof/>
          <w:sz w:val="20"/>
        </w:rPr>
      </w:pPr>
      <w:r>
        <w:rPr>
          <w:noProof/>
          <w:lang w:eastAsia="en-GB"/>
        </w:rPr>
        <w:drawing>
          <wp:inline distT="0" distB="0" distL="0" distR="0">
            <wp:extent cx="3124835" cy="310070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835" cy="3100705"/>
                    </a:xfrm>
                    <a:prstGeom prst="rect">
                      <a:avLst/>
                    </a:prstGeom>
                    <a:noFill/>
                    <a:ln>
                      <a:noFill/>
                    </a:ln>
                  </pic:spPr>
                </pic:pic>
              </a:graphicData>
            </a:graphic>
          </wp:inline>
        </w:drawing>
      </w:r>
    </w:p>
    <w:p w:rsidR="008C2902" w:rsidRDefault="008C2902">
      <w:pPr>
        <w:spacing w:after="120" w:line="240" w:lineRule="auto"/>
        <w:jc w:val="both"/>
        <w:rPr>
          <w:rFonts w:ascii="Verdana" w:hAnsi="Verdana"/>
          <w:b/>
          <w:i/>
          <w:noProof/>
          <w:sz w:val="20"/>
        </w:rPr>
      </w:pPr>
    </w:p>
    <w:p w:rsidR="008C2902" w:rsidRDefault="00AD2EC1">
      <w:pPr>
        <w:spacing w:after="0" w:line="240" w:lineRule="auto"/>
        <w:jc w:val="both"/>
        <w:rPr>
          <w:rFonts w:ascii="Verdana" w:hAnsi="Verdana"/>
          <w:noProof/>
          <w:sz w:val="16"/>
          <w:szCs w:val="16"/>
        </w:rPr>
      </w:pPr>
      <w:r>
        <w:rPr>
          <w:rFonts w:ascii="Verdana" w:hAnsi="Verdana"/>
          <w:noProof/>
          <w:sz w:val="16"/>
          <w:szCs w:val="16"/>
        </w:rPr>
        <w:t xml:space="preserve">The map above takes into account the relative weight of the financial corrections implemented for each Member State compared to the payments received from the EU budget in the year 2014. </w:t>
      </w:r>
    </w:p>
    <w:p w:rsidR="008C2902" w:rsidRDefault="008C2902">
      <w:pPr>
        <w:spacing w:after="0" w:line="240" w:lineRule="auto"/>
        <w:jc w:val="both"/>
        <w:rPr>
          <w:rFonts w:ascii="Verdana" w:hAnsi="Verdana"/>
          <w:noProof/>
          <w:sz w:val="16"/>
          <w:szCs w:val="16"/>
        </w:rPr>
      </w:pPr>
    </w:p>
    <w:p w:rsidR="008C2902" w:rsidRDefault="00AD2EC1">
      <w:pPr>
        <w:spacing w:after="0" w:line="240" w:lineRule="auto"/>
        <w:jc w:val="both"/>
        <w:rPr>
          <w:rFonts w:ascii="Verdana" w:hAnsi="Verdana"/>
          <w:noProof/>
          <w:sz w:val="16"/>
          <w:szCs w:val="16"/>
        </w:rPr>
      </w:pPr>
      <w:r>
        <w:rPr>
          <w:noProof/>
          <w:lang w:eastAsia="en-GB"/>
        </w:rPr>
        <w:drawing>
          <wp:inline distT="0" distB="0" distL="0" distR="0">
            <wp:extent cx="469265" cy="142875"/>
            <wp:effectExtent l="0" t="0" r="698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142875"/>
                    </a:xfrm>
                    <a:prstGeom prst="rect">
                      <a:avLst/>
                    </a:prstGeom>
                    <a:noFill/>
                    <a:ln>
                      <a:noFill/>
                    </a:ln>
                  </pic:spPr>
                </pic:pic>
              </a:graphicData>
            </a:graphic>
          </wp:inline>
        </w:drawing>
      </w:r>
      <w:r>
        <w:rPr>
          <w:noProof/>
          <w:lang w:eastAsia="en-GB"/>
        </w:rPr>
        <w:t xml:space="preserve"> </w:t>
      </w:r>
      <w:r>
        <w:rPr>
          <w:rFonts w:ascii="Verdana" w:hAnsi="Verdana"/>
          <w:noProof/>
          <w:sz w:val="16"/>
          <w:szCs w:val="16"/>
        </w:rPr>
        <w:t>Light grey shows Member States that are below the average percentage of 2.3 %.</w:t>
      </w:r>
    </w:p>
    <w:p w:rsidR="008C2902" w:rsidRDefault="008C2902">
      <w:pPr>
        <w:spacing w:after="0" w:line="240" w:lineRule="auto"/>
        <w:jc w:val="both"/>
        <w:rPr>
          <w:rFonts w:ascii="Verdana" w:hAnsi="Verdana"/>
          <w:noProof/>
          <w:sz w:val="16"/>
          <w:szCs w:val="16"/>
        </w:rPr>
      </w:pPr>
    </w:p>
    <w:p w:rsidR="008C2902" w:rsidRDefault="00AD2EC1">
      <w:pPr>
        <w:spacing w:after="120" w:line="240" w:lineRule="auto"/>
        <w:jc w:val="both"/>
        <w:rPr>
          <w:rFonts w:ascii="Verdana" w:hAnsi="Verdana"/>
          <w:b/>
          <w:i/>
          <w:noProof/>
          <w:sz w:val="20"/>
        </w:rPr>
      </w:pPr>
      <w:r>
        <w:rPr>
          <w:noProof/>
          <w:lang w:eastAsia="en-GB"/>
        </w:rPr>
        <w:drawing>
          <wp:inline distT="0" distB="0" distL="0" distR="0">
            <wp:extent cx="461010" cy="1352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135255"/>
                    </a:xfrm>
                    <a:prstGeom prst="rect">
                      <a:avLst/>
                    </a:prstGeom>
                    <a:noFill/>
                    <a:ln>
                      <a:noFill/>
                    </a:ln>
                  </pic:spPr>
                </pic:pic>
              </a:graphicData>
            </a:graphic>
          </wp:inline>
        </w:drawing>
      </w:r>
      <w:r>
        <w:rPr>
          <w:noProof/>
          <w:lang w:eastAsia="en-GB"/>
        </w:rPr>
        <w:t xml:space="preserve"> </w:t>
      </w:r>
      <w:r>
        <w:rPr>
          <w:rFonts w:ascii="Verdana" w:hAnsi="Verdana"/>
          <w:noProof/>
          <w:sz w:val="16"/>
          <w:szCs w:val="16"/>
        </w:rPr>
        <w:t>Red highlights Member States that are above the average percentage of 2.3 %.</w:t>
      </w:r>
    </w:p>
    <w:p w:rsidR="008C2902" w:rsidRDefault="008C2902">
      <w:pPr>
        <w:spacing w:after="0" w:line="240" w:lineRule="auto"/>
        <w:jc w:val="both"/>
        <w:rPr>
          <w:noProof/>
          <w:lang w:eastAsia="en-GB"/>
        </w:rPr>
      </w:pPr>
    </w:p>
    <w:p w:rsidR="008C2902" w:rsidRDefault="00AD2EC1">
      <w:pPr>
        <w:pStyle w:val="ManualHeading2"/>
        <w:rPr>
          <w:rFonts w:ascii="Verdana" w:hAnsi="Verdana"/>
          <w:noProof/>
          <w:sz w:val="20"/>
          <w:szCs w:val="20"/>
          <w:lang w:eastAsia="en-GB"/>
        </w:rPr>
      </w:pPr>
      <w:bookmarkStart w:id="82" w:name="_Toc422840102"/>
      <w:bookmarkStart w:id="83" w:name="_Toc423524335"/>
      <w:bookmarkStart w:id="84" w:name="_Toc424121121"/>
      <w:bookmarkStart w:id="85" w:name="_Toc425855836"/>
      <w:bookmarkStart w:id="86" w:name="_Toc427677013"/>
      <w:bookmarkStart w:id="87" w:name="_Toc427850289"/>
      <w:r>
        <w:tab/>
      </w:r>
    </w:p>
    <w:p w:rsidR="008C2902" w:rsidRDefault="00AD2EC1">
      <w:pPr>
        <w:rPr>
          <w:rFonts w:ascii="Verdana" w:hAnsi="Verdana"/>
          <w:i/>
          <w:noProof/>
          <w:sz w:val="20"/>
          <w:szCs w:val="20"/>
          <w:lang w:eastAsia="en-GB"/>
        </w:rPr>
      </w:pPr>
      <w:bookmarkStart w:id="88" w:name="_Toc429388542"/>
      <w:bookmarkStart w:id="89" w:name="_Toc429556439"/>
      <w:r>
        <w:rPr>
          <w:rFonts w:ascii="Verdana" w:hAnsi="Verdana"/>
          <w:i/>
          <w:noProof/>
          <w:sz w:val="20"/>
          <w:szCs w:val="20"/>
          <w:lang w:eastAsia="en-GB"/>
        </w:rPr>
        <w:t>3.4.2. Breakdown of flat-rate corrections implemented in 2014</w:t>
      </w:r>
      <w:bookmarkEnd w:id="82"/>
      <w:bookmarkEnd w:id="83"/>
      <w:bookmarkEnd w:id="84"/>
      <w:bookmarkEnd w:id="85"/>
      <w:bookmarkEnd w:id="86"/>
      <w:bookmarkEnd w:id="87"/>
      <w:bookmarkEnd w:id="88"/>
      <w:bookmarkEnd w:id="89"/>
    </w:p>
    <w:p w:rsidR="008C2902" w:rsidRDefault="00AD2EC1">
      <w:pPr>
        <w:spacing w:after="240" w:line="240" w:lineRule="auto"/>
        <w:jc w:val="both"/>
        <w:rPr>
          <w:rFonts w:ascii="Verdana" w:hAnsi="Verdana"/>
          <w:b/>
          <w:i/>
          <w:noProof/>
          <w:sz w:val="20"/>
        </w:rPr>
      </w:pPr>
      <w:r>
        <w:rPr>
          <w:rFonts w:ascii="Verdana" w:hAnsi="Verdana"/>
          <w:b/>
          <w:i/>
          <w:noProof/>
          <w:sz w:val="20"/>
        </w:rPr>
        <w:t>Table 3.4.2: Breakdown of flat-rate corrections implemented in 2014</w:t>
      </w:r>
    </w:p>
    <w:tbl>
      <w:tblPr>
        <w:tblW w:w="5812" w:type="dxa"/>
        <w:tblInd w:w="1242" w:type="dxa"/>
        <w:tblLook w:val="04A0" w:firstRow="1" w:lastRow="0" w:firstColumn="1" w:lastColumn="0" w:noHBand="0" w:noVBand="1"/>
      </w:tblPr>
      <w:tblGrid>
        <w:gridCol w:w="1995"/>
        <w:gridCol w:w="1734"/>
        <w:gridCol w:w="2083"/>
      </w:tblGrid>
      <w:tr w:rsidR="008C2902">
        <w:trPr>
          <w:trHeight w:val="300"/>
        </w:trPr>
        <w:tc>
          <w:tcPr>
            <w:tcW w:w="1995"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8C2902" w:rsidRDefault="008C2902">
            <w:pPr>
              <w:spacing w:after="0" w:line="240" w:lineRule="auto"/>
              <w:jc w:val="center"/>
              <w:rPr>
                <w:rFonts w:ascii="Verdana" w:eastAsia="Times New Roman" w:hAnsi="Verdana"/>
                <w:b/>
                <w:bCs/>
                <w:noProof/>
                <w:color w:val="000000"/>
                <w:sz w:val="16"/>
                <w:szCs w:val="16"/>
                <w:lang w:eastAsia="en-GB"/>
              </w:rPr>
            </w:pPr>
          </w:p>
        </w:tc>
        <w:tc>
          <w:tcPr>
            <w:tcW w:w="1734" w:type="dxa"/>
            <w:tcBorders>
              <w:top w:val="single" w:sz="8" w:space="0" w:color="auto"/>
              <w:left w:val="nil"/>
              <w:bottom w:val="single" w:sz="8" w:space="0" w:color="auto"/>
              <w:right w:val="single" w:sz="4" w:space="0" w:color="auto"/>
            </w:tcBorders>
            <w:shd w:val="clear" w:color="000000" w:fill="99CCFF"/>
          </w:tcPr>
          <w:p w:rsidR="008C2902" w:rsidRDefault="00AD2EC1">
            <w:pPr>
              <w:spacing w:after="0" w:line="240" w:lineRule="auto"/>
              <w:jc w:val="center"/>
              <w:rPr>
                <w:rFonts w:ascii="Verdana" w:eastAsia="Times New Roman" w:hAnsi="Verdana"/>
                <w:b/>
                <w:bCs/>
                <w:noProof/>
                <w:color w:val="000000"/>
                <w:sz w:val="16"/>
                <w:szCs w:val="16"/>
                <w:lang w:val="fr-BE" w:eastAsia="en-GB"/>
              </w:rPr>
            </w:pPr>
            <w:r>
              <w:rPr>
                <w:rFonts w:ascii="Verdana" w:eastAsia="Times New Roman" w:hAnsi="Verdana"/>
                <w:b/>
                <w:bCs/>
                <w:noProof/>
                <w:color w:val="000000"/>
                <w:sz w:val="16"/>
                <w:szCs w:val="16"/>
                <w:lang w:val="fr-BE" w:eastAsia="en-GB"/>
              </w:rPr>
              <w:t>Total financial corrections  (EUR million)</w:t>
            </w:r>
          </w:p>
        </w:tc>
        <w:tc>
          <w:tcPr>
            <w:tcW w:w="2083" w:type="dxa"/>
            <w:tcBorders>
              <w:top w:val="single" w:sz="8" w:space="0" w:color="auto"/>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Flat-rate financial corrections* implemented in 2014 (EUR million)</w:t>
            </w:r>
          </w:p>
        </w:tc>
      </w:tr>
      <w:tr w:rsidR="008C2902">
        <w:trPr>
          <w:trHeight w:val="300"/>
        </w:trPr>
        <w:tc>
          <w:tcPr>
            <w:tcW w:w="1995"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noProof/>
                <w:color w:val="000000"/>
                <w:sz w:val="16"/>
                <w:szCs w:val="16"/>
                <w:lang w:eastAsia="en-GB"/>
              </w:rPr>
            </w:pPr>
            <w:r>
              <w:rPr>
                <w:rFonts w:ascii="Verdana" w:eastAsia="Times New Roman" w:hAnsi="Verdana"/>
                <w:b/>
                <w:noProof/>
                <w:color w:val="000000"/>
                <w:sz w:val="16"/>
                <w:szCs w:val="16"/>
                <w:lang w:eastAsia="en-GB"/>
              </w:rPr>
              <w:t>Cohesion</w:t>
            </w:r>
          </w:p>
        </w:tc>
        <w:tc>
          <w:tcPr>
            <w:tcW w:w="1734" w:type="dxa"/>
            <w:tcBorders>
              <w:top w:val="nil"/>
              <w:left w:val="nil"/>
              <w:bottom w:val="nil"/>
              <w:right w:val="single" w:sz="4" w:space="0" w:color="auto"/>
            </w:tcBorders>
          </w:tcPr>
          <w:p w:rsidR="008C2902" w:rsidRDefault="008C2902">
            <w:pPr>
              <w:spacing w:after="0" w:line="240" w:lineRule="auto"/>
              <w:jc w:val="right"/>
              <w:rPr>
                <w:rFonts w:ascii="Verdana" w:eastAsia="Times New Roman" w:hAnsi="Verdana"/>
                <w:noProof/>
                <w:color w:val="000000"/>
                <w:sz w:val="16"/>
                <w:szCs w:val="16"/>
                <w:lang w:eastAsia="en-GB"/>
              </w:rPr>
            </w:pPr>
          </w:p>
        </w:tc>
        <w:tc>
          <w:tcPr>
            <w:tcW w:w="2083" w:type="dxa"/>
            <w:tcBorders>
              <w:top w:val="nil"/>
              <w:left w:val="single" w:sz="4" w:space="0" w:color="auto"/>
              <w:bottom w:val="nil"/>
              <w:right w:val="single" w:sz="8" w:space="0" w:color="auto"/>
            </w:tcBorders>
            <w:shd w:val="clear" w:color="auto" w:fill="auto"/>
            <w:vAlign w:val="center"/>
          </w:tcPr>
          <w:p w:rsidR="008C2902" w:rsidRDefault="008C2902">
            <w:pPr>
              <w:spacing w:after="0" w:line="240" w:lineRule="auto"/>
              <w:jc w:val="right"/>
              <w:rPr>
                <w:rFonts w:ascii="Verdana" w:eastAsia="Times New Roman" w:hAnsi="Verdana"/>
                <w:noProof/>
                <w:color w:val="000000"/>
                <w:sz w:val="16"/>
                <w:szCs w:val="16"/>
                <w:lang w:eastAsia="en-GB"/>
              </w:rPr>
            </w:pPr>
          </w:p>
        </w:tc>
      </w:tr>
      <w:tr w:rsidR="008C2902">
        <w:trPr>
          <w:trHeight w:val="12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ERDF &amp; CF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1 319</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520</w:t>
            </w:r>
          </w:p>
        </w:tc>
      </w:tr>
      <w:tr w:rsidR="008C2902">
        <w:trPr>
          <w:trHeight w:val="215"/>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289</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185</w:t>
            </w:r>
          </w:p>
        </w:tc>
      </w:tr>
      <w:tr w:rsidR="008C2902">
        <w:trPr>
          <w:trHeight w:val="14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EFF/FIFG</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41</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w:t>
            </w:r>
          </w:p>
        </w:tc>
      </w:tr>
      <w:tr w:rsidR="008C2902">
        <w:trPr>
          <w:trHeight w:val="14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EAGGF</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147"/>
        </w:trPr>
        <w:tc>
          <w:tcPr>
            <w:tcW w:w="1995" w:type="dxa"/>
            <w:tcBorders>
              <w:top w:val="nil"/>
              <w:left w:val="single" w:sz="8" w:space="0" w:color="auto"/>
              <w:bottom w:val="nil"/>
              <w:right w:val="single" w:sz="8" w:space="0" w:color="auto"/>
            </w:tcBorders>
            <w:shd w:val="clear" w:color="auto" w:fill="auto"/>
            <w:vAlign w:val="center"/>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Internal polices</w:t>
            </w:r>
          </w:p>
        </w:tc>
        <w:tc>
          <w:tcPr>
            <w:tcW w:w="1734" w:type="dxa"/>
            <w:tcBorders>
              <w:top w:val="nil"/>
              <w:left w:val="nil"/>
              <w:bottom w:val="nil"/>
              <w:right w:val="single" w:sz="4" w:space="0" w:color="auto"/>
            </w:tcBorders>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c>
          <w:tcPr>
            <w:tcW w:w="2083" w:type="dxa"/>
            <w:tcBorders>
              <w:top w:val="nil"/>
              <w:left w:val="single" w:sz="4" w:space="0" w:color="auto"/>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r>
      <w:tr w:rsidR="008C2902">
        <w:trPr>
          <w:trHeight w:hRule="exact" w:val="270"/>
        </w:trPr>
        <w:tc>
          <w:tcPr>
            <w:tcW w:w="19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734" w:type="dxa"/>
            <w:tcBorders>
              <w:top w:val="single" w:sz="8" w:space="0" w:color="auto"/>
              <w:left w:val="nil"/>
              <w:bottom w:val="single" w:sz="8" w:space="0" w:color="auto"/>
              <w:right w:val="single" w:sz="4" w:space="0" w:color="auto"/>
            </w:tcBorders>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1 667</w:t>
            </w:r>
          </w:p>
        </w:tc>
        <w:tc>
          <w:tcPr>
            <w:tcW w:w="2083" w:type="dxa"/>
            <w:tcBorders>
              <w:top w:val="single" w:sz="8" w:space="0" w:color="auto"/>
              <w:left w:val="single" w:sz="4" w:space="0" w:color="auto"/>
              <w:bottom w:val="single" w:sz="8" w:space="0" w:color="auto"/>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714</w:t>
            </w:r>
          </w:p>
        </w:tc>
      </w:tr>
    </w:tbl>
    <w:p w:rsidR="008C2902" w:rsidRDefault="00AD2EC1">
      <w:pPr>
        <w:spacing w:after="0" w:line="240" w:lineRule="auto"/>
        <w:rPr>
          <w:rFonts w:ascii="Verdana" w:eastAsia="Times New Roman" w:hAnsi="Verdana"/>
          <w:bCs/>
          <w:i/>
          <w:iCs/>
          <w:noProof/>
          <w:sz w:val="16"/>
          <w:szCs w:val="16"/>
          <w:lang w:eastAsia="en-GB"/>
        </w:rPr>
      </w:pPr>
      <w:bookmarkStart w:id="90" w:name="_Toc422840103"/>
      <w:bookmarkStart w:id="91" w:name="_Toc423524336"/>
      <w:bookmarkStart w:id="92" w:name="_Toc424121122"/>
      <w:bookmarkStart w:id="93" w:name="_Toc425855837"/>
      <w:r>
        <w:rPr>
          <w:rFonts w:ascii="Verdana" w:eastAsia="Times New Roman" w:hAnsi="Verdana"/>
          <w:bCs/>
          <w:iCs/>
          <w:noProof/>
          <w:sz w:val="20"/>
          <w:szCs w:val="20"/>
          <w:lang w:eastAsia="en-GB"/>
        </w:rPr>
        <w:tab/>
      </w:r>
      <w:r>
        <w:rPr>
          <w:rFonts w:ascii="Verdana" w:eastAsia="Times New Roman" w:hAnsi="Verdana"/>
          <w:bCs/>
          <w:iCs/>
          <w:noProof/>
          <w:sz w:val="20"/>
          <w:szCs w:val="20"/>
          <w:lang w:eastAsia="en-GB"/>
        </w:rPr>
        <w:tab/>
      </w:r>
      <w:r>
        <w:rPr>
          <w:rFonts w:ascii="Verdana" w:eastAsia="Times New Roman" w:hAnsi="Verdana"/>
          <w:bCs/>
          <w:i/>
          <w:iCs/>
          <w:noProof/>
          <w:sz w:val="16"/>
          <w:szCs w:val="16"/>
          <w:lang w:eastAsia="en-GB"/>
        </w:rPr>
        <w:t>* Includes extrapolated corrections</w:t>
      </w:r>
    </w:p>
    <w:p w:rsidR="008C2902" w:rsidRDefault="008C2902">
      <w:pPr>
        <w:spacing w:after="0" w:line="240" w:lineRule="auto"/>
        <w:rPr>
          <w:rFonts w:ascii="Verdana" w:eastAsia="Times New Roman" w:hAnsi="Verdana"/>
          <w:bCs/>
          <w:iCs/>
          <w:noProof/>
          <w:sz w:val="20"/>
          <w:szCs w:val="20"/>
          <w:lang w:eastAsia="en-GB"/>
        </w:rPr>
      </w:pPr>
    </w:p>
    <w:p w:rsidR="008C2902" w:rsidRDefault="00AD2EC1">
      <w:pPr>
        <w:spacing w:after="0" w:line="240" w:lineRule="auto"/>
        <w:rPr>
          <w:rFonts w:ascii="Verdana" w:eastAsia="Times New Roman" w:hAnsi="Verdana"/>
          <w:bCs/>
          <w:iCs/>
          <w:noProof/>
          <w:sz w:val="20"/>
          <w:szCs w:val="20"/>
          <w:lang w:eastAsia="en-GB"/>
        </w:rPr>
      </w:pPr>
      <w:r>
        <w:rPr>
          <w:rFonts w:ascii="Verdana" w:eastAsia="Times New Roman" w:hAnsi="Verdana"/>
          <w:bCs/>
          <w:iCs/>
          <w:noProof/>
          <w:sz w:val="20"/>
          <w:szCs w:val="20"/>
          <w:lang w:eastAsia="en-GB"/>
        </w:rPr>
        <w:t>Figures for Agriculture are not available.</w:t>
      </w:r>
    </w:p>
    <w:p w:rsidR="008C2902" w:rsidRDefault="00AD2EC1">
      <w:pPr>
        <w:rPr>
          <w:rFonts w:ascii="Verdana" w:hAnsi="Verdana"/>
          <w:i/>
          <w:noProof/>
          <w:sz w:val="20"/>
          <w:szCs w:val="20"/>
          <w:lang w:eastAsia="en-GB"/>
        </w:rPr>
      </w:pPr>
      <w:bookmarkStart w:id="94" w:name="_Toc427677014"/>
      <w:bookmarkStart w:id="95" w:name="_Toc427850290"/>
      <w:bookmarkStart w:id="96" w:name="_Toc429388543"/>
      <w:bookmarkStart w:id="97" w:name="_Toc429556440"/>
      <w:r>
        <w:rPr>
          <w:rFonts w:ascii="Verdana" w:hAnsi="Verdana"/>
          <w:i/>
          <w:noProof/>
          <w:sz w:val="20"/>
          <w:szCs w:val="20"/>
          <w:lang w:eastAsia="en-GB"/>
        </w:rPr>
        <w:t xml:space="preserve">3.4.3. Breakdown of financial corrections made </w:t>
      </w:r>
      <w:bookmarkEnd w:id="90"/>
      <w:r>
        <w:rPr>
          <w:rFonts w:ascii="Verdana" w:hAnsi="Verdana"/>
          <w:i/>
          <w:noProof/>
          <w:sz w:val="20"/>
          <w:szCs w:val="20"/>
          <w:lang w:eastAsia="en-GB"/>
        </w:rPr>
        <w:t>at source</w:t>
      </w:r>
      <w:bookmarkEnd w:id="91"/>
      <w:bookmarkEnd w:id="92"/>
      <w:bookmarkEnd w:id="93"/>
      <w:bookmarkEnd w:id="94"/>
      <w:bookmarkEnd w:id="95"/>
      <w:bookmarkEnd w:id="96"/>
      <w:bookmarkEnd w:id="97"/>
    </w:p>
    <w:p w:rsidR="008C2902" w:rsidRDefault="00AD2EC1">
      <w:pPr>
        <w:spacing w:after="120" w:line="240" w:lineRule="auto"/>
        <w:jc w:val="both"/>
        <w:rPr>
          <w:rFonts w:ascii="Verdana" w:hAnsi="Verdana"/>
          <w:b/>
          <w:i/>
          <w:noProof/>
          <w:sz w:val="20"/>
        </w:rPr>
      </w:pPr>
      <w:r>
        <w:rPr>
          <w:rFonts w:ascii="Verdana" w:hAnsi="Verdana"/>
          <w:b/>
          <w:i/>
          <w:noProof/>
          <w:sz w:val="20"/>
        </w:rPr>
        <w:lastRenderedPageBreak/>
        <w:t>Table 3.4.3: Breakdown of Cohesion corrections at source implemented in 2014</w:t>
      </w:r>
    </w:p>
    <w:tbl>
      <w:tblPr>
        <w:tblW w:w="4288" w:type="dxa"/>
        <w:tblInd w:w="1242" w:type="dxa"/>
        <w:tblLook w:val="04A0" w:firstRow="1" w:lastRow="0" w:firstColumn="1" w:lastColumn="0" w:noHBand="0" w:noVBand="1"/>
      </w:tblPr>
      <w:tblGrid>
        <w:gridCol w:w="2230"/>
        <w:gridCol w:w="2058"/>
      </w:tblGrid>
      <w:tr w:rsidR="008C2902">
        <w:trPr>
          <w:trHeight w:val="301"/>
        </w:trPr>
        <w:tc>
          <w:tcPr>
            <w:tcW w:w="2230"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Member State</w:t>
            </w:r>
          </w:p>
        </w:tc>
        <w:tc>
          <w:tcPr>
            <w:tcW w:w="2058"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At source financial corrections implemented in 2014 (EUR million)</w:t>
            </w:r>
          </w:p>
        </w:tc>
      </w:tr>
      <w:tr w:rsidR="008C2902">
        <w:trPr>
          <w:trHeight w:val="157"/>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sz w:val="16"/>
                <w:szCs w:val="16"/>
                <w:lang w:eastAsia="en-GB"/>
              </w:rPr>
              <w:t>274</w:t>
            </w:r>
          </w:p>
        </w:tc>
      </w:tr>
      <w:tr w:rsidR="008C2902">
        <w:trPr>
          <w:trHeight w:val="109"/>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141"/>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60</w:t>
            </w:r>
          </w:p>
        </w:tc>
      </w:tr>
      <w:tr w:rsidR="008C2902">
        <w:trPr>
          <w:trHeight w:val="144"/>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89"/>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20</w:t>
            </w:r>
          </w:p>
        </w:tc>
      </w:tr>
      <w:tr w:rsidR="008C2902">
        <w:trPr>
          <w:trHeight w:val="177"/>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w:t>
            </w:r>
          </w:p>
        </w:tc>
      </w:tr>
      <w:tr w:rsidR="008C2902">
        <w:trPr>
          <w:trHeight w:val="123"/>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212"/>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21</w:t>
            </w:r>
          </w:p>
        </w:tc>
      </w:tr>
      <w:tr w:rsidR="008C2902">
        <w:trPr>
          <w:trHeight w:val="143"/>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w:t>
            </w:r>
          </w:p>
        </w:tc>
      </w:tr>
      <w:tr w:rsidR="008C2902">
        <w:trPr>
          <w:trHeight w:val="232"/>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val="149"/>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50</w:t>
            </w:r>
          </w:p>
        </w:tc>
      </w:tr>
      <w:tr w:rsidR="008C2902">
        <w:trPr>
          <w:trHeight w:val="239"/>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56</w:t>
            </w:r>
          </w:p>
        </w:tc>
      </w:tr>
      <w:tr w:rsidR="008C2902">
        <w:trPr>
          <w:trHeight w:val="127"/>
        </w:trPr>
        <w:tc>
          <w:tcPr>
            <w:tcW w:w="2230"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2058"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r>
      <w:tr w:rsidR="008C2902">
        <w:trPr>
          <w:trHeight w:hRule="exact" w:val="271"/>
        </w:trPr>
        <w:tc>
          <w:tcPr>
            <w:tcW w:w="22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2058"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499</w:t>
            </w:r>
          </w:p>
        </w:tc>
      </w:tr>
    </w:tbl>
    <w:p w:rsidR="008C2902" w:rsidRDefault="00AD2EC1">
      <w:pPr>
        <w:spacing w:before="120" w:after="120" w:line="240" w:lineRule="auto"/>
        <w:jc w:val="both"/>
        <w:rPr>
          <w:rFonts w:ascii="Verdana" w:hAnsi="Verdana"/>
          <w:noProof/>
          <w:sz w:val="20"/>
          <w:lang w:eastAsia="en-GB"/>
        </w:rPr>
      </w:pPr>
      <w:r>
        <w:rPr>
          <w:rFonts w:ascii="Verdana" w:hAnsi="Verdana"/>
          <w:noProof/>
          <w:sz w:val="20"/>
          <w:lang w:eastAsia="en-GB"/>
        </w:rPr>
        <w:t xml:space="preserve">For </w:t>
      </w:r>
      <w:r>
        <w:rPr>
          <w:rFonts w:ascii="Verdana" w:hAnsi="Verdana"/>
          <w:b/>
          <w:noProof/>
          <w:sz w:val="20"/>
          <w:lang w:eastAsia="en-GB"/>
        </w:rPr>
        <w:t>ERDF/CF</w:t>
      </w:r>
      <w:r>
        <w:rPr>
          <w:rFonts w:ascii="Verdana" w:hAnsi="Verdana"/>
          <w:noProof/>
          <w:sz w:val="20"/>
          <w:lang w:eastAsia="en-GB"/>
        </w:rPr>
        <w:t>, out of EUR 782 million of financial corrections at source reported in 2014</w:t>
      </w:r>
      <w:r>
        <w:rPr>
          <w:rFonts w:ascii="Verdana" w:hAnsi="Verdana"/>
          <w:noProof/>
          <w:sz w:val="16"/>
          <w:lang w:eastAsia="en-GB"/>
        </w:rPr>
        <w:t xml:space="preserve"> </w:t>
      </w:r>
      <w:r>
        <w:rPr>
          <w:rFonts w:ascii="Verdana" w:hAnsi="Verdana"/>
          <w:noProof/>
          <w:sz w:val="20"/>
          <w:lang w:eastAsia="en-GB"/>
        </w:rPr>
        <w:t xml:space="preserve">EUR 430 million (55 %) can be considered as already implemented. The main Member States concerned are Czech Republic (EUR 271 million), Greece (EUR 60 million) and Slovakia (EUR 56 million). For </w:t>
      </w:r>
      <w:r>
        <w:rPr>
          <w:rFonts w:ascii="Verdana" w:hAnsi="Verdana"/>
          <w:b/>
          <w:noProof/>
          <w:sz w:val="20"/>
          <w:lang w:eastAsia="en-GB"/>
        </w:rPr>
        <w:t>ESF</w:t>
      </w:r>
      <w:r>
        <w:rPr>
          <w:rFonts w:ascii="Verdana" w:hAnsi="Verdana"/>
          <w:noProof/>
          <w:sz w:val="20"/>
          <w:lang w:eastAsia="en-GB"/>
        </w:rPr>
        <w:t>, in the context of at source corrections, the Member States concerned by flat rate corrections applied at the same time as the declaration of the expenditure to the Commission and consequently correcting new expenditure are: France (EUR 20 million), Hungary (EUR 16 million), Poland (EUR 13 million) and Romania (EUR 11 million).</w:t>
      </w:r>
    </w:p>
    <w:p w:rsidR="008C2902" w:rsidRDefault="00AD2EC1">
      <w:pPr>
        <w:pStyle w:val="ManualHeading1"/>
        <w:rPr>
          <w:caps/>
          <w:noProof/>
        </w:rPr>
      </w:pPr>
      <w:bookmarkStart w:id="98" w:name="_Toc431383862"/>
      <w:bookmarkStart w:id="99" w:name="_Toc432061780"/>
      <w:r>
        <w:t>3.5.</w:t>
      </w:r>
      <w:r>
        <w:tab/>
      </w:r>
      <w:r>
        <w:rPr>
          <w:noProof/>
        </w:rPr>
        <w:t>Recoveries</w:t>
      </w:r>
      <w:bookmarkEnd w:id="98"/>
      <w:bookmarkEnd w:id="99"/>
      <w:r>
        <w:rPr>
          <w:noProof/>
        </w:rPr>
        <w:t xml:space="preserve"> </w:t>
      </w:r>
    </w:p>
    <w:p w:rsidR="008C2902" w:rsidRDefault="00AD2EC1">
      <w:pPr>
        <w:spacing w:after="120" w:line="240" w:lineRule="auto"/>
        <w:jc w:val="both"/>
        <w:rPr>
          <w:rFonts w:ascii="Verdana" w:hAnsi="Verdana"/>
          <w:b/>
          <w:i/>
          <w:noProof/>
          <w:sz w:val="20"/>
        </w:rPr>
      </w:pPr>
      <w:r>
        <w:rPr>
          <w:rFonts w:ascii="Verdana" w:hAnsi="Verdana"/>
          <w:b/>
          <w:i/>
          <w:noProof/>
          <w:sz w:val="20"/>
        </w:rPr>
        <w:t>Table 3.5: Recoveries confirmed and implemented in 2014</w:t>
      </w:r>
    </w:p>
    <w:tbl>
      <w:tblPr>
        <w:tblW w:w="2931" w:type="pct"/>
        <w:tblInd w:w="1101" w:type="dxa"/>
        <w:tblLayout w:type="fixed"/>
        <w:tblLook w:val="04A0" w:firstRow="1" w:lastRow="0" w:firstColumn="1" w:lastColumn="0" w:noHBand="0" w:noVBand="1"/>
      </w:tblPr>
      <w:tblGrid>
        <w:gridCol w:w="2576"/>
        <w:gridCol w:w="1396"/>
        <w:gridCol w:w="1413"/>
        <w:gridCol w:w="143"/>
      </w:tblGrid>
      <w:tr w:rsidR="008C2902">
        <w:trPr>
          <w:gridAfter w:val="1"/>
          <w:wAfter w:w="129" w:type="pct"/>
          <w:trHeight w:val="127"/>
        </w:trPr>
        <w:tc>
          <w:tcPr>
            <w:tcW w:w="4871" w:type="pct"/>
            <w:gridSpan w:val="3"/>
            <w:tcBorders>
              <w:top w:val="nil"/>
              <w:left w:val="nil"/>
              <w:bottom w:val="nil"/>
              <w:right w:val="nil"/>
            </w:tcBorders>
            <w:shd w:val="clear" w:color="auto" w:fill="auto"/>
            <w:noWrap/>
            <w:vAlign w:val="bottom"/>
            <w:hideMark/>
          </w:tcPr>
          <w:p w:rsidR="008C2902" w:rsidRDefault="00AD2EC1">
            <w:pPr>
              <w:spacing w:after="0" w:line="240" w:lineRule="auto"/>
              <w:ind w:left="-227"/>
              <w:contextualSpacing/>
              <w:jc w:val="right"/>
              <w:rPr>
                <w:rFonts w:ascii="Verdana" w:eastAsia="Times New Roman" w:hAnsi="Verdana"/>
                <w:i/>
                <w:iCs/>
                <w:noProof/>
                <w:color w:val="000000"/>
                <w:sz w:val="12"/>
                <w:szCs w:val="12"/>
                <w:lang w:eastAsia="en-GB"/>
              </w:rPr>
            </w:pPr>
            <w:r>
              <w:rPr>
                <w:rFonts w:ascii="Verdana" w:eastAsia="Times New Roman" w:hAnsi="Verdana"/>
                <w:i/>
                <w:iCs/>
                <w:noProof/>
                <w:color w:val="000000"/>
                <w:sz w:val="12"/>
                <w:szCs w:val="12"/>
                <w:lang w:eastAsia="en-GB"/>
              </w:rPr>
              <w:t>EUR millions</w:t>
            </w:r>
          </w:p>
        </w:tc>
      </w:tr>
      <w:tr w:rsidR="008C2902">
        <w:trPr>
          <w:trHeight w:val="1100"/>
        </w:trPr>
        <w:tc>
          <w:tcPr>
            <w:tcW w:w="2330" w:type="pct"/>
            <w:tcBorders>
              <w:top w:val="single" w:sz="8" w:space="0" w:color="auto"/>
              <w:left w:val="single" w:sz="8" w:space="0" w:color="auto"/>
              <w:bottom w:val="single" w:sz="8" w:space="0" w:color="000000"/>
              <w:right w:val="single" w:sz="8" w:space="0" w:color="auto"/>
            </w:tcBorders>
            <w:shd w:val="clear" w:color="000000" w:fill="99CCFF"/>
            <w:noWrap/>
            <w:vAlign w:val="center"/>
            <w:hideMark/>
          </w:tcPr>
          <w:p w:rsidR="008C2902" w:rsidRDefault="00AD2EC1">
            <w:pPr>
              <w:spacing w:after="0" w:line="240" w:lineRule="auto"/>
              <w:contextualSpacing/>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MFF Heading</w:t>
            </w:r>
          </w:p>
        </w:tc>
        <w:tc>
          <w:tcPr>
            <w:tcW w:w="1263" w:type="pct"/>
            <w:tcBorders>
              <w:top w:val="single" w:sz="8" w:space="0" w:color="auto"/>
              <w:left w:val="single" w:sz="8" w:space="0" w:color="auto"/>
              <w:bottom w:val="single" w:sz="8" w:space="0" w:color="auto"/>
              <w:right w:val="nil"/>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recoveries </w:t>
            </w:r>
            <w:r>
              <w:rPr>
                <w:rFonts w:ascii="Verdana" w:eastAsia="Times New Roman" w:hAnsi="Verdana"/>
                <w:b/>
                <w:bCs/>
                <w:noProof/>
                <w:color w:val="000000"/>
                <w:sz w:val="16"/>
                <w:szCs w:val="16"/>
                <w:u w:val="single"/>
                <w:lang w:eastAsia="en-GB"/>
              </w:rPr>
              <w:t>confirmed</w:t>
            </w:r>
            <w:r>
              <w:rPr>
                <w:rFonts w:ascii="Verdana" w:eastAsia="Times New Roman" w:hAnsi="Verdana"/>
                <w:b/>
                <w:bCs/>
                <w:noProof/>
                <w:color w:val="000000"/>
                <w:sz w:val="16"/>
                <w:szCs w:val="16"/>
                <w:lang w:eastAsia="en-GB"/>
              </w:rPr>
              <w:t xml:space="preserve"> in 2014</w:t>
            </w:r>
          </w:p>
        </w:tc>
        <w:tc>
          <w:tcPr>
            <w:tcW w:w="1407" w:type="pct"/>
            <w:gridSpan w:val="2"/>
            <w:tcBorders>
              <w:top w:val="single" w:sz="8" w:space="0" w:color="auto"/>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contextualSpacing/>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recoveries </w:t>
            </w:r>
            <w:r>
              <w:rPr>
                <w:rFonts w:ascii="Verdana" w:eastAsia="Times New Roman" w:hAnsi="Verdana"/>
                <w:b/>
                <w:bCs/>
                <w:noProof/>
                <w:color w:val="000000"/>
                <w:sz w:val="16"/>
                <w:szCs w:val="16"/>
                <w:u w:val="single"/>
                <w:lang w:eastAsia="en-GB"/>
              </w:rPr>
              <w:t>implemented</w:t>
            </w:r>
            <w:r>
              <w:rPr>
                <w:rFonts w:ascii="Verdana" w:eastAsia="Times New Roman" w:hAnsi="Verdana"/>
                <w:b/>
                <w:bCs/>
                <w:noProof/>
                <w:color w:val="000000"/>
                <w:sz w:val="16"/>
                <w:szCs w:val="16"/>
                <w:lang w:eastAsia="en-GB"/>
              </w:rPr>
              <w:t xml:space="preserve"> in 2014</w:t>
            </w:r>
          </w:p>
        </w:tc>
      </w:tr>
      <w:tr w:rsidR="008C2902">
        <w:trPr>
          <w:trHeight w:val="300"/>
        </w:trPr>
        <w:tc>
          <w:tcPr>
            <w:tcW w:w="2330" w:type="pct"/>
            <w:tcBorders>
              <w:top w:val="nil"/>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Smart &amp; inclusive growth</w:t>
            </w:r>
          </w:p>
        </w:tc>
        <w:tc>
          <w:tcPr>
            <w:tcW w:w="1263"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233</w:t>
            </w:r>
          </w:p>
        </w:tc>
        <w:tc>
          <w:tcPr>
            <w:tcW w:w="1407" w:type="pct"/>
            <w:gridSpan w:val="2"/>
            <w:tcBorders>
              <w:top w:val="single" w:sz="8" w:space="0" w:color="auto"/>
              <w:left w:val="nil"/>
              <w:bottom w:val="single" w:sz="4" w:space="0" w:color="auto"/>
              <w:right w:val="single" w:sz="8" w:space="0" w:color="auto"/>
            </w:tcBorders>
            <w:shd w:val="clear" w:color="000000" w:fill="D9D9D9"/>
            <w:vAlign w:val="center"/>
            <w:hideMark/>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220</w:t>
            </w:r>
          </w:p>
        </w:tc>
      </w:tr>
      <w:tr w:rsidR="008C2902">
        <w:trPr>
          <w:trHeight w:val="159"/>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ERDF</w:t>
            </w:r>
          </w:p>
        </w:tc>
        <w:tc>
          <w:tcPr>
            <w:tcW w:w="1263" w:type="pct"/>
            <w:tcBorders>
              <w:top w:val="single" w:sz="4" w:space="0" w:color="auto"/>
              <w:left w:val="single" w:sz="8" w:space="0" w:color="auto"/>
              <w:right w:val="nil"/>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1407" w:type="pct"/>
            <w:gridSpan w:val="2"/>
            <w:tcBorders>
              <w:top w:val="single" w:sz="4" w:space="0" w:color="auto"/>
              <w:left w:val="single" w:sz="4" w:space="0" w:color="auto"/>
              <w:right w:val="single" w:sz="8" w:space="0" w:color="auto"/>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r>
      <w:tr w:rsidR="008C2902">
        <w:trPr>
          <w:trHeight w:val="159"/>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Cohesion Fund</w:t>
            </w:r>
          </w:p>
        </w:tc>
        <w:tc>
          <w:tcPr>
            <w:tcW w:w="1263" w:type="pct"/>
            <w:tcBorders>
              <w:top w:val="nil"/>
              <w:left w:val="single" w:sz="8" w:space="0" w:color="auto"/>
              <w:right w:val="nil"/>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1407" w:type="pct"/>
            <w:gridSpan w:val="2"/>
            <w:tcBorders>
              <w:top w:val="nil"/>
              <w:left w:val="single" w:sz="4" w:space="0" w:color="auto"/>
              <w:right w:val="single" w:sz="8" w:space="0" w:color="auto"/>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r>
      <w:tr w:rsidR="008C2902">
        <w:trPr>
          <w:trHeight w:val="159"/>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ESF</w:t>
            </w:r>
          </w:p>
        </w:tc>
        <w:tc>
          <w:tcPr>
            <w:tcW w:w="1263" w:type="pct"/>
            <w:tcBorders>
              <w:top w:val="nil"/>
              <w:left w:val="single" w:sz="8" w:space="0" w:color="auto"/>
              <w:right w:val="nil"/>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1407" w:type="pct"/>
            <w:gridSpan w:val="2"/>
            <w:tcBorders>
              <w:top w:val="nil"/>
              <w:left w:val="single" w:sz="4" w:space="0" w:color="auto"/>
              <w:right w:val="single" w:sz="8" w:space="0" w:color="auto"/>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r>
      <w:tr w:rsidR="008C2902">
        <w:trPr>
          <w:trHeight w:val="159"/>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Internal policies</w:t>
            </w:r>
          </w:p>
        </w:tc>
        <w:tc>
          <w:tcPr>
            <w:tcW w:w="1263" w:type="pct"/>
            <w:tcBorders>
              <w:top w:val="nil"/>
              <w:left w:val="single" w:sz="8" w:space="0" w:color="auto"/>
              <w:bottom w:val="single" w:sz="4" w:space="0" w:color="auto"/>
              <w:right w:val="nil"/>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232</w:t>
            </w:r>
          </w:p>
        </w:tc>
        <w:tc>
          <w:tcPr>
            <w:tcW w:w="1407" w:type="pct"/>
            <w:gridSpan w:val="2"/>
            <w:tcBorders>
              <w:top w:val="nil"/>
              <w:left w:val="single" w:sz="4" w:space="0" w:color="auto"/>
              <w:bottom w:val="single" w:sz="4" w:space="0" w:color="auto"/>
              <w:right w:val="single" w:sz="8" w:space="0" w:color="auto"/>
            </w:tcBorders>
            <w:shd w:val="clear" w:color="000000"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218</w:t>
            </w:r>
          </w:p>
        </w:tc>
      </w:tr>
      <w:tr w:rsidR="008C2902">
        <w:trPr>
          <w:trHeight w:val="300"/>
        </w:trPr>
        <w:tc>
          <w:tcPr>
            <w:tcW w:w="2330"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Sustainable growth: natural resources</w:t>
            </w:r>
          </w:p>
        </w:tc>
        <w:tc>
          <w:tcPr>
            <w:tcW w:w="1263" w:type="pct"/>
            <w:tcBorders>
              <w:top w:val="single" w:sz="4" w:space="0" w:color="auto"/>
              <w:left w:val="single" w:sz="8" w:space="0" w:color="auto"/>
              <w:bottom w:val="single" w:sz="4" w:space="0" w:color="auto"/>
              <w:right w:val="single" w:sz="4" w:space="0" w:color="auto"/>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435</w:t>
            </w:r>
          </w:p>
        </w:tc>
        <w:tc>
          <w:tcPr>
            <w:tcW w:w="1407" w:type="pct"/>
            <w:gridSpan w:val="2"/>
            <w:tcBorders>
              <w:top w:val="single" w:sz="4" w:space="0" w:color="auto"/>
              <w:left w:val="nil"/>
              <w:bottom w:val="single" w:sz="4" w:space="0" w:color="auto"/>
              <w:right w:val="single" w:sz="8" w:space="0" w:color="auto"/>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366</w:t>
            </w:r>
          </w:p>
        </w:tc>
      </w:tr>
      <w:tr w:rsidR="008C2902">
        <w:trPr>
          <w:trHeight w:val="66"/>
        </w:trPr>
        <w:tc>
          <w:tcPr>
            <w:tcW w:w="233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1263" w:type="pct"/>
            <w:tcBorders>
              <w:top w:val="single" w:sz="4" w:space="0" w:color="auto"/>
              <w:left w:val="single" w:sz="8" w:space="0" w:color="auto"/>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213</w:t>
            </w:r>
          </w:p>
        </w:tc>
        <w:tc>
          <w:tcPr>
            <w:tcW w:w="1407" w:type="pct"/>
            <w:gridSpan w:val="2"/>
            <w:tcBorders>
              <w:top w:val="single" w:sz="4" w:space="0" w:color="auto"/>
              <w:left w:val="single" w:sz="4" w:space="0" w:color="auto"/>
              <w:bottom w:val="nil"/>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150</w:t>
            </w:r>
          </w:p>
        </w:tc>
      </w:tr>
      <w:tr w:rsidR="008C2902">
        <w:trPr>
          <w:trHeight w:val="137"/>
        </w:trPr>
        <w:tc>
          <w:tcPr>
            <w:tcW w:w="233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1263" w:type="pct"/>
            <w:tcBorders>
              <w:left w:val="single" w:sz="8" w:space="0" w:color="auto"/>
              <w:bottom w:val="nil"/>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165</w:t>
            </w:r>
          </w:p>
        </w:tc>
        <w:tc>
          <w:tcPr>
            <w:tcW w:w="1407" w:type="pct"/>
            <w:gridSpan w:val="2"/>
            <w:tcBorders>
              <w:top w:val="nil"/>
              <w:left w:val="single" w:sz="4" w:space="0" w:color="auto"/>
              <w:bottom w:val="nil"/>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167</w:t>
            </w:r>
          </w:p>
        </w:tc>
      </w:tr>
      <w:tr w:rsidR="008C2902">
        <w:trPr>
          <w:trHeight w:val="137"/>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FIFG/EFF</w:t>
            </w:r>
          </w:p>
        </w:tc>
        <w:tc>
          <w:tcPr>
            <w:tcW w:w="1263" w:type="pct"/>
            <w:tcBorders>
              <w:top w:val="nil"/>
              <w:left w:val="single" w:sz="8" w:space="0" w:color="auto"/>
              <w:bottom w:val="nil"/>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29</w:t>
            </w:r>
          </w:p>
        </w:tc>
        <w:tc>
          <w:tcPr>
            <w:tcW w:w="1407" w:type="pct"/>
            <w:gridSpan w:val="2"/>
            <w:tcBorders>
              <w:top w:val="nil"/>
              <w:left w:val="single" w:sz="4" w:space="0" w:color="auto"/>
              <w:bottom w:val="nil"/>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25</w:t>
            </w:r>
          </w:p>
        </w:tc>
      </w:tr>
      <w:tr w:rsidR="008C2902">
        <w:trPr>
          <w:trHeight w:val="137"/>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EAGGF Guidance</w:t>
            </w:r>
          </w:p>
        </w:tc>
        <w:tc>
          <w:tcPr>
            <w:tcW w:w="1263" w:type="pct"/>
            <w:tcBorders>
              <w:top w:val="nil"/>
              <w:left w:val="single" w:sz="8" w:space="0" w:color="auto"/>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5</w:t>
            </w:r>
          </w:p>
        </w:tc>
        <w:tc>
          <w:tcPr>
            <w:tcW w:w="1407" w:type="pct"/>
            <w:gridSpan w:val="2"/>
            <w:tcBorders>
              <w:top w:val="nil"/>
              <w:left w:val="single" w:sz="4" w:space="0" w:color="auto"/>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5</w:t>
            </w:r>
          </w:p>
        </w:tc>
      </w:tr>
      <w:tr w:rsidR="008C2902">
        <w:trPr>
          <w:trHeight w:val="147"/>
        </w:trPr>
        <w:tc>
          <w:tcPr>
            <w:tcW w:w="233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contextualSpacing/>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Internal policies</w:t>
            </w:r>
          </w:p>
        </w:tc>
        <w:tc>
          <w:tcPr>
            <w:tcW w:w="1263" w:type="pct"/>
            <w:tcBorders>
              <w:top w:val="nil"/>
              <w:left w:val="single" w:sz="8" w:space="0" w:color="auto"/>
              <w:bottom w:val="single" w:sz="4" w:space="0" w:color="auto"/>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23</w:t>
            </w:r>
          </w:p>
        </w:tc>
        <w:tc>
          <w:tcPr>
            <w:tcW w:w="1407" w:type="pct"/>
            <w:gridSpan w:val="2"/>
            <w:tcBorders>
              <w:top w:val="nil"/>
              <w:left w:val="single" w:sz="4" w:space="0" w:color="auto"/>
              <w:bottom w:val="single" w:sz="4" w:space="0" w:color="auto"/>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19</w:t>
            </w:r>
          </w:p>
        </w:tc>
      </w:tr>
      <w:tr w:rsidR="008C2902">
        <w:trPr>
          <w:trHeight w:val="300"/>
        </w:trPr>
        <w:tc>
          <w:tcPr>
            <w:tcW w:w="2330"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Security &amp; citizenship </w:t>
            </w:r>
          </w:p>
        </w:tc>
        <w:tc>
          <w:tcPr>
            <w:tcW w:w="1263"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37</w:t>
            </w:r>
          </w:p>
        </w:tc>
        <w:tc>
          <w:tcPr>
            <w:tcW w:w="1407" w:type="pct"/>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37</w:t>
            </w:r>
          </w:p>
        </w:tc>
      </w:tr>
      <w:tr w:rsidR="008C2902">
        <w:trPr>
          <w:trHeight w:val="145"/>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Internal policies</w:t>
            </w:r>
          </w:p>
        </w:tc>
        <w:tc>
          <w:tcPr>
            <w:tcW w:w="1263" w:type="pct"/>
            <w:tcBorders>
              <w:top w:val="nil"/>
              <w:left w:val="single" w:sz="8" w:space="0" w:color="auto"/>
              <w:bottom w:val="single" w:sz="4" w:space="0" w:color="auto"/>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37</w:t>
            </w:r>
          </w:p>
        </w:tc>
        <w:tc>
          <w:tcPr>
            <w:tcW w:w="1407" w:type="pct"/>
            <w:gridSpan w:val="2"/>
            <w:tcBorders>
              <w:top w:val="nil"/>
              <w:left w:val="single" w:sz="4" w:space="0" w:color="auto"/>
              <w:bottom w:val="single" w:sz="4" w:space="0" w:color="auto"/>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37</w:t>
            </w:r>
          </w:p>
        </w:tc>
      </w:tr>
      <w:tr w:rsidR="008C2902">
        <w:trPr>
          <w:trHeight w:val="300"/>
        </w:trPr>
        <w:tc>
          <w:tcPr>
            <w:tcW w:w="2330"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Global Europe </w:t>
            </w:r>
          </w:p>
        </w:tc>
        <w:tc>
          <w:tcPr>
            <w:tcW w:w="1263"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127</w:t>
            </w:r>
          </w:p>
        </w:tc>
        <w:tc>
          <w:tcPr>
            <w:tcW w:w="1407" w:type="pct"/>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108</w:t>
            </w:r>
          </w:p>
        </w:tc>
      </w:tr>
      <w:tr w:rsidR="008C2902">
        <w:trPr>
          <w:trHeight w:val="255"/>
        </w:trPr>
        <w:tc>
          <w:tcPr>
            <w:tcW w:w="2330" w:type="pct"/>
            <w:tcBorders>
              <w:top w:val="nil"/>
              <w:left w:val="single" w:sz="8" w:space="0" w:color="auto"/>
              <w:bottom w:val="nil"/>
              <w:right w:val="single" w:sz="8" w:space="0" w:color="auto"/>
            </w:tcBorders>
            <w:shd w:val="clear" w:color="auto" w:fill="auto"/>
            <w:noWrap/>
            <w:vAlign w:val="center"/>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External policies</w:t>
            </w:r>
          </w:p>
        </w:tc>
        <w:tc>
          <w:tcPr>
            <w:tcW w:w="1263" w:type="pct"/>
            <w:tcBorders>
              <w:top w:val="single" w:sz="4" w:space="0" w:color="auto"/>
              <w:left w:val="single" w:sz="8" w:space="0" w:color="auto"/>
              <w:right w:val="nil"/>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127</w:t>
            </w:r>
          </w:p>
        </w:tc>
        <w:tc>
          <w:tcPr>
            <w:tcW w:w="1407" w:type="pct"/>
            <w:gridSpan w:val="2"/>
            <w:tcBorders>
              <w:top w:val="single" w:sz="4" w:space="0" w:color="auto"/>
              <w:left w:val="single" w:sz="4" w:space="0" w:color="auto"/>
              <w:right w:val="single" w:sz="8" w:space="0" w:color="auto"/>
            </w:tcBorders>
            <w:shd w:val="clear" w:color="000000" w:fill="FFFFFF"/>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108</w:t>
            </w:r>
          </w:p>
        </w:tc>
      </w:tr>
      <w:tr w:rsidR="008C2902">
        <w:trPr>
          <w:trHeight w:val="300"/>
        </w:trPr>
        <w:tc>
          <w:tcPr>
            <w:tcW w:w="2330"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8C2902" w:rsidRDefault="00AD2EC1">
            <w:pPr>
              <w:spacing w:after="0" w:line="240" w:lineRule="auto"/>
              <w:contextualSpacing/>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Administration </w:t>
            </w:r>
          </w:p>
        </w:tc>
        <w:tc>
          <w:tcPr>
            <w:tcW w:w="1263" w:type="pct"/>
            <w:tcBorders>
              <w:top w:val="single" w:sz="4" w:space="0" w:color="auto"/>
              <w:left w:val="single" w:sz="8" w:space="0" w:color="auto"/>
              <w:bottom w:val="single" w:sz="4" w:space="0" w:color="auto"/>
              <w:right w:val="nil"/>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5</w:t>
            </w:r>
          </w:p>
        </w:tc>
        <w:tc>
          <w:tcPr>
            <w:tcW w:w="1407" w:type="pct"/>
            <w:gridSpan w:val="2"/>
            <w:tcBorders>
              <w:top w:val="single" w:sz="4" w:space="0" w:color="auto"/>
              <w:left w:val="single" w:sz="4" w:space="0" w:color="auto"/>
              <w:bottom w:val="single" w:sz="4" w:space="0" w:color="auto"/>
              <w:right w:val="single" w:sz="8" w:space="0" w:color="auto"/>
            </w:tcBorders>
            <w:shd w:val="clear" w:color="000000" w:fill="D9D9D9"/>
            <w:vAlign w:val="center"/>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5</w:t>
            </w:r>
          </w:p>
        </w:tc>
      </w:tr>
      <w:tr w:rsidR="008C2902">
        <w:trPr>
          <w:trHeight w:val="315"/>
        </w:trPr>
        <w:tc>
          <w:tcPr>
            <w:tcW w:w="2330" w:type="pct"/>
            <w:tcBorders>
              <w:top w:val="single" w:sz="4"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contextualSpacing/>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263" w:type="pct"/>
            <w:tcBorders>
              <w:top w:val="single" w:sz="8" w:space="0" w:color="auto"/>
              <w:left w:val="single" w:sz="8" w:space="0" w:color="auto"/>
              <w:bottom w:val="single" w:sz="8" w:space="0" w:color="auto"/>
              <w:right w:val="nil"/>
            </w:tcBorders>
            <w:shd w:val="clear" w:color="000000" w:fill="D9D9D9"/>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838</w:t>
            </w:r>
          </w:p>
        </w:tc>
        <w:tc>
          <w:tcPr>
            <w:tcW w:w="1407" w:type="pct"/>
            <w:gridSpan w:val="2"/>
            <w:tcBorders>
              <w:top w:val="single" w:sz="8" w:space="0" w:color="auto"/>
              <w:left w:val="single" w:sz="4" w:space="0" w:color="auto"/>
              <w:bottom w:val="single" w:sz="8" w:space="0" w:color="auto"/>
              <w:right w:val="single" w:sz="8" w:space="0" w:color="auto"/>
            </w:tcBorders>
            <w:shd w:val="clear" w:color="000000" w:fill="D9D9D9"/>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736</w:t>
            </w:r>
          </w:p>
        </w:tc>
      </w:tr>
    </w:tbl>
    <w:p w:rsidR="008C2902" w:rsidRDefault="008C2902">
      <w:pPr>
        <w:spacing w:after="120" w:line="240" w:lineRule="auto"/>
        <w:jc w:val="both"/>
        <w:rPr>
          <w:rFonts w:ascii="Verdana" w:hAnsi="Verdana"/>
          <w:b/>
          <w:i/>
          <w:noProof/>
          <w:sz w:val="20"/>
        </w:rPr>
      </w:pPr>
    </w:p>
    <w:p w:rsidR="008C2902" w:rsidRDefault="00AD2EC1">
      <w:pPr>
        <w:spacing w:after="120" w:line="240" w:lineRule="auto"/>
        <w:jc w:val="both"/>
        <w:rPr>
          <w:rFonts w:ascii="Verdana" w:hAnsi="Verdana"/>
          <w:b/>
          <w:i/>
          <w:noProof/>
          <w:sz w:val="20"/>
        </w:rPr>
      </w:pPr>
      <w:r>
        <w:rPr>
          <w:rFonts w:ascii="Verdana" w:hAnsi="Verdana"/>
          <w:b/>
          <w:i/>
          <w:noProof/>
          <w:sz w:val="20"/>
        </w:rPr>
        <w:t>Agriculture:</w:t>
      </w:r>
    </w:p>
    <w:p w:rsidR="008C2902" w:rsidRDefault="00AD2EC1">
      <w:pPr>
        <w:widowControl w:val="0"/>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lastRenderedPageBreak/>
        <w:t xml:space="preserve">During the period 2008-2014, the Commission audited the correct application of the rules on recoveries through 32 audit missions in 19 Member States (including all EU-15 Member States with a low recovery rate for the cases detected since 2007). Deficiencies found during these audits are being followed up in the context of conformity clearance procedures. Except for two cases, (Italy and Ireland), in general the Member States' authorities have adequate procedures in place to protect the financial interest of the EU. </w:t>
      </w:r>
    </w:p>
    <w:p w:rsidR="008C2902" w:rsidRDefault="00AD2EC1">
      <w:pPr>
        <w:widowControl w:val="0"/>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The diligence of the Member States' authorities in the recovery of the most significant individual irregularity cases is assessed in the context of a further 25 on-going conformity clearance procedures (desk audits).</w:t>
      </w:r>
    </w:p>
    <w:p w:rsidR="008C2902" w:rsidRDefault="00AD2EC1">
      <w:pPr>
        <w:widowControl w:val="0"/>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In 2012, an OLAF investigation revealed some serious issues for the Italian Paying Agency regarding the completeness of the debtors' ledger, the prescription of certain debts, and some national schemes allegedly funded by the EU budget. In addition, the ECA, in the framework of the 2013 audit exercise, also raised serious concerns regarding the debt management systems implemented in Italy (AGEA), and Ireland (DAFF). The Commission took this into account in its risk analysis and carried out an audit mission in Italy in September 2014, while an audit to Ireland will take place in the 2015-2016 audit year.</w:t>
      </w:r>
    </w:p>
    <w:p w:rsidR="008C2902" w:rsidRDefault="00AD2EC1">
      <w:pPr>
        <w:pStyle w:val="ManualHeading1"/>
        <w:rPr>
          <w:caps/>
          <w:noProof/>
        </w:rPr>
      </w:pPr>
      <w:bookmarkStart w:id="100" w:name="_Toc431383863"/>
      <w:bookmarkStart w:id="101" w:name="_Toc432061781"/>
      <w:r>
        <w:t>3.6.</w:t>
      </w:r>
      <w:r>
        <w:tab/>
      </w:r>
      <w:r>
        <w:rPr>
          <w:noProof/>
        </w:rPr>
        <w:t>Deficiencies in Member States' management and control identified in 2014 and measures undertaken</w:t>
      </w:r>
      <w:bookmarkEnd w:id="100"/>
      <w:bookmarkEnd w:id="101"/>
      <w:r>
        <w:rPr>
          <w:noProof/>
        </w:rPr>
        <w:t xml:space="preserve"> </w:t>
      </w:r>
    </w:p>
    <w:p w:rsidR="008C2902" w:rsidRDefault="00AD2EC1">
      <w:pPr>
        <w:rPr>
          <w:rFonts w:ascii="Verdana" w:hAnsi="Verdana"/>
          <w:b/>
          <w:i/>
          <w:noProof/>
          <w:sz w:val="20"/>
          <w:szCs w:val="20"/>
          <w:lang w:eastAsia="en-GB"/>
        </w:rPr>
      </w:pPr>
      <w:bookmarkStart w:id="102" w:name="_Toc427850293"/>
      <w:bookmarkStart w:id="103" w:name="_Toc429388546"/>
      <w:bookmarkStart w:id="104" w:name="_Toc429556443"/>
      <w:bookmarkStart w:id="105" w:name="_Toc430008701"/>
      <w:bookmarkStart w:id="106" w:name="_Toc430008848"/>
      <w:r>
        <w:rPr>
          <w:rFonts w:ascii="Verdana" w:hAnsi="Verdana"/>
          <w:i/>
          <w:noProof/>
          <w:sz w:val="20"/>
          <w:szCs w:val="20"/>
          <w:lang w:eastAsia="en-GB"/>
        </w:rPr>
        <w:t>3.6.1.</w:t>
      </w:r>
      <w:r>
        <w:rPr>
          <w:rFonts w:ascii="Verdana" w:hAnsi="Verdana"/>
          <w:i/>
          <w:noProof/>
          <w:sz w:val="20"/>
          <w:szCs w:val="20"/>
          <w:lang w:eastAsia="en-GB"/>
        </w:rPr>
        <w:tab/>
        <w:t xml:space="preserve"> Agriculture and Rural Development</w:t>
      </w:r>
      <w:bookmarkEnd w:id="102"/>
      <w:bookmarkEnd w:id="103"/>
      <w:bookmarkEnd w:id="104"/>
      <w:bookmarkEnd w:id="105"/>
      <w:bookmarkEnd w:id="106"/>
    </w:p>
    <w:p w:rsidR="008C2902" w:rsidRDefault="00AD2EC1">
      <w:pPr>
        <w:autoSpaceDE w:val="0"/>
        <w:autoSpaceDN w:val="0"/>
        <w:adjustRightInd w:val="0"/>
        <w:spacing w:line="240" w:lineRule="auto"/>
        <w:jc w:val="both"/>
        <w:rPr>
          <w:rFonts w:ascii="Verdana" w:hAnsi="Verdana"/>
          <w:noProof/>
          <w:sz w:val="20"/>
        </w:rPr>
      </w:pPr>
      <w:r>
        <w:rPr>
          <w:rFonts w:ascii="Verdana" w:hAnsi="Verdana"/>
          <w:noProof/>
          <w:sz w:val="20"/>
        </w:rPr>
        <w:t>Material deficiencies noted in Member States’ management and control systems, as identified by them, the Commission, the ECA, and/or OLAF (fraud investigations) are closely followed up by the Commission until it has obtained reliable evidence that the weaknesses have been remedied through the implementation of appropriate actions by the Member State, the irregular expenditure declared in the past has been corrected, and the new system has proved its reliability in practice.</w:t>
      </w:r>
    </w:p>
    <w:p w:rsidR="008C2902" w:rsidRDefault="00AD2EC1">
      <w:pPr>
        <w:tabs>
          <w:tab w:val="num" w:pos="0"/>
        </w:tabs>
        <w:spacing w:line="240" w:lineRule="auto"/>
        <w:jc w:val="both"/>
        <w:rPr>
          <w:rFonts w:ascii="Verdana" w:hAnsi="Verdana"/>
          <w:noProof/>
          <w:sz w:val="20"/>
          <w:szCs w:val="20"/>
        </w:rPr>
      </w:pPr>
      <w:r>
        <w:rPr>
          <w:rFonts w:ascii="Verdana" w:hAnsi="Verdana"/>
          <w:noProof/>
          <w:sz w:val="20"/>
          <w:szCs w:val="20"/>
        </w:rPr>
        <w:t xml:space="preserve">For direct payments, DG AGRI in its 2013 AAR made reservations in respect of 15 Spanish Paying Agencies, France, UK (England), Hungary, Greece and Portugal. For France, Spain and England, remedial action plans established by the national authorities continue to be monitored by the Commission. For Portugal, the action plan has been implemented. For Greece, </w:t>
      </w:r>
      <w:r>
        <w:rPr>
          <w:rFonts w:ascii="Verdana" w:eastAsia="Times New Roman" w:hAnsi="Verdana"/>
          <w:noProof/>
          <w:sz w:val="20"/>
          <w:szCs w:val="20"/>
          <w:lang w:eastAsia="en-GB"/>
        </w:rPr>
        <w:t xml:space="preserve">although the situation had significantly improved, the action plan was found not to have been fully implemented according to the set milestones and deadlines which led the Commission to adopt an implementing decision to reduce the claim year 2014 monthly payments for expenditure concerned by the deficiencies. </w:t>
      </w:r>
      <w:r>
        <w:rPr>
          <w:rFonts w:ascii="Verdana" w:hAnsi="Verdana"/>
          <w:noProof/>
          <w:sz w:val="20"/>
          <w:szCs w:val="20"/>
        </w:rPr>
        <w:t>For Hungary it was not considered necessary to establish a formal action plan for the specific problems which existed for 2013 and 2014. These relate to the control set up which is to be overhauled in the context of the new direct payments regime as of claim year 2015. For France, the action plan finalised on 15 November 2013 is being followed-up by quarterly reporting and, where necessary, audit missions.</w:t>
      </w:r>
    </w:p>
    <w:p w:rsidR="008C2902" w:rsidRDefault="00AD2EC1">
      <w:pPr>
        <w:autoSpaceDE w:val="0"/>
        <w:autoSpaceDN w:val="0"/>
        <w:adjustRightInd w:val="0"/>
        <w:spacing w:line="240" w:lineRule="auto"/>
        <w:jc w:val="both"/>
        <w:rPr>
          <w:rFonts w:ascii="Verdana" w:hAnsi="Verdana" w:cs="Calibri"/>
          <w:noProof/>
          <w:color w:val="000000"/>
          <w:sz w:val="20"/>
          <w:szCs w:val="20"/>
        </w:rPr>
      </w:pPr>
      <w:r>
        <w:rPr>
          <w:rFonts w:ascii="Verdana" w:hAnsi="Verdana" w:cs="Calibri"/>
          <w:noProof/>
          <w:color w:val="000000"/>
          <w:sz w:val="20"/>
          <w:szCs w:val="20"/>
        </w:rPr>
        <w:t>For the 2013 AAR, DG AGRI adjusted Member States' control statistics to reflect undetected and thus unreported error and calculated an error rate of 5.2 %. As this work was carried out at Paying Agency level, a targeted approach was possible with regard to reservations and this resulted in the Director General being able to issue reservations for 31 Paying Agencies instead of for the entire ABB activity.</w:t>
      </w:r>
    </w:p>
    <w:p w:rsidR="008C2902" w:rsidRDefault="00AD2EC1">
      <w:pPr>
        <w:autoSpaceDE w:val="0"/>
        <w:autoSpaceDN w:val="0"/>
        <w:adjustRightInd w:val="0"/>
        <w:spacing w:line="240" w:lineRule="auto"/>
        <w:jc w:val="both"/>
        <w:rPr>
          <w:rFonts w:ascii="Verdana" w:hAnsi="Verdana" w:cs="Calibri"/>
          <w:noProof/>
          <w:color w:val="000000"/>
          <w:sz w:val="20"/>
          <w:szCs w:val="20"/>
        </w:rPr>
      </w:pPr>
      <w:r>
        <w:rPr>
          <w:rFonts w:ascii="Verdana" w:hAnsi="Verdana" w:cs="Calibri"/>
          <w:noProof/>
          <w:color w:val="000000"/>
          <w:sz w:val="20"/>
          <w:szCs w:val="20"/>
        </w:rPr>
        <w:t xml:space="preserve">In 2014, </w:t>
      </w:r>
      <w:r>
        <w:rPr>
          <w:rFonts w:ascii="Verdana" w:hAnsi="Verdana"/>
          <w:noProof/>
          <w:sz w:val="20"/>
        </w:rPr>
        <w:t>the Commission</w:t>
      </w:r>
      <w:r>
        <w:rPr>
          <w:rFonts w:ascii="Verdana" w:hAnsi="Verdana" w:cs="Calibri"/>
          <w:noProof/>
          <w:color w:val="000000"/>
          <w:sz w:val="20"/>
          <w:szCs w:val="20"/>
        </w:rPr>
        <w:t xml:space="preserve"> further reinforced the existing action plans to address the above mentioned reservations, on the basis of improved cooperation and analysis within Commission services and intensive dialogue with Member States. Following this approach, the ad-hoc AGRI Task Force created in 2012 continued to meet and develop analysis and strategy within </w:t>
      </w:r>
      <w:r>
        <w:rPr>
          <w:rFonts w:ascii="Verdana" w:hAnsi="Verdana"/>
          <w:noProof/>
          <w:sz w:val="20"/>
        </w:rPr>
        <w:t>the Commission</w:t>
      </w:r>
      <w:r>
        <w:rPr>
          <w:rFonts w:ascii="Verdana" w:hAnsi="Verdana" w:cs="Calibri"/>
          <w:noProof/>
          <w:color w:val="000000"/>
          <w:sz w:val="20"/>
          <w:szCs w:val="20"/>
        </w:rPr>
        <w:t xml:space="preserve">, while an improved system of reporting by all Member States on their national action plans for the reduction of error rates was put in place. This </w:t>
      </w:r>
      <w:r>
        <w:rPr>
          <w:rFonts w:ascii="Verdana" w:hAnsi="Verdana" w:cs="Calibri"/>
          <w:noProof/>
          <w:color w:val="000000"/>
          <w:sz w:val="20"/>
          <w:szCs w:val="20"/>
        </w:rPr>
        <w:lastRenderedPageBreak/>
        <w:t xml:space="preserve">includes a reinforced focus on regular follow-up on audit findings, as well as improved indicators and milestones for monitoring purposes. In 2014, </w:t>
      </w:r>
      <w:r>
        <w:rPr>
          <w:rFonts w:ascii="Verdana" w:hAnsi="Verdana"/>
          <w:noProof/>
          <w:sz w:val="20"/>
        </w:rPr>
        <w:t>the Commission</w:t>
      </w:r>
      <w:r>
        <w:rPr>
          <w:rFonts w:ascii="Verdana" w:hAnsi="Verdana" w:cs="Calibri"/>
          <w:noProof/>
          <w:color w:val="000000"/>
          <w:sz w:val="20"/>
          <w:szCs w:val="20"/>
        </w:rPr>
        <w:t xml:space="preserve"> also developed a new IT tool which enables it to collect and handle the information extracted from the national action plans in a more efficient and consistent manner.</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color w:val="000000"/>
          <w:sz w:val="20"/>
          <w:szCs w:val="20"/>
        </w:rPr>
        <w:t xml:space="preserve">Since 2013, four seminars on error rates have been organised, two of which took place in 2014, to present the state of play regarding the implementation of the action plans, to share good practices and to provide guidance. These biannual seminars are organised jointly in the framework of the Rural Development Committee and the Agricultural Funds </w:t>
      </w:r>
      <w:r>
        <w:rPr>
          <w:rFonts w:ascii="Verdana" w:hAnsi="Verdana" w:cs="Calibri"/>
          <w:noProof/>
          <w:sz w:val="20"/>
          <w:szCs w:val="20"/>
        </w:rPr>
        <w:t xml:space="preserve">Committee, in order to ensure the involvement of both Managing Authorities and Paying Agencies. Therefore, a stock taking of the closely monitored follow up process is conducted every semester. In the meantime, the geographical desks ensured the follow up of the issue with Member States in annual and ad-hoc meetings, monitoring committees and if relevant in the context of programme amendments. </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 xml:space="preserve">In parallel, the relevant audit capacity in the Commission was reinforced. The number of audit missions was increased and the audits target specific issues related to error rates. </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 xml:space="preserve">Furthermore, the legal framework allows for interruption and suspension of payments in case of serious deficiencies in the management and control systems for the expenditure committed under EAFRD during the 2007-2013 or the 2014-2020 periods. As for the new legal framework (Regulation 1305/2013), Article 62 ensures that both Managing Authorities and Paying Agency undertake an ex-ante assessment of each programme proposal, stating that the measures programmed are verifiable and controllable. Commission services thoroughly analyse this assessment before approving programmes. </w:t>
      </w:r>
    </w:p>
    <w:p w:rsidR="008C2902" w:rsidRDefault="00AD2EC1">
      <w:pPr>
        <w:autoSpaceDE w:val="0"/>
        <w:autoSpaceDN w:val="0"/>
        <w:adjustRightInd w:val="0"/>
        <w:spacing w:line="240" w:lineRule="auto"/>
        <w:jc w:val="both"/>
        <w:rPr>
          <w:rFonts w:ascii="Verdana" w:hAnsi="Verdana"/>
          <w:noProof/>
          <w:sz w:val="20"/>
        </w:rPr>
      </w:pPr>
      <w:r>
        <w:rPr>
          <w:rFonts w:ascii="Verdana" w:hAnsi="Verdana" w:cs="Calibri"/>
          <w:noProof/>
          <w:sz w:val="20"/>
          <w:szCs w:val="20"/>
        </w:rPr>
        <w:t>Finally, the European Network for Rural Development will play an enhanced role in disseminating good practices related to the reduction of error rates. In the first semester of 2015, training for Managing Authorities was arranged on the following topics: simplified cost options, reasonableness or costs, public procurement and result-oriented agro-environment payments: a collective approach.</w:t>
      </w:r>
    </w:p>
    <w:p w:rsidR="008C2902" w:rsidRDefault="00AD2EC1">
      <w:pPr>
        <w:rPr>
          <w:rFonts w:ascii="Verdana" w:hAnsi="Verdana"/>
          <w:b/>
          <w:i/>
          <w:noProof/>
          <w:sz w:val="20"/>
          <w:szCs w:val="20"/>
          <w:lang w:eastAsia="en-GB"/>
        </w:rPr>
      </w:pPr>
      <w:bookmarkStart w:id="107" w:name="_Toc427850294"/>
      <w:bookmarkStart w:id="108" w:name="_Toc429388547"/>
      <w:bookmarkStart w:id="109" w:name="_Toc429556444"/>
      <w:bookmarkStart w:id="110" w:name="_Toc430008702"/>
      <w:bookmarkStart w:id="111" w:name="_Toc430008849"/>
      <w:r>
        <w:rPr>
          <w:rFonts w:ascii="Verdana" w:hAnsi="Verdana"/>
          <w:i/>
          <w:noProof/>
          <w:sz w:val="20"/>
          <w:szCs w:val="20"/>
          <w:lang w:eastAsia="en-GB"/>
        </w:rPr>
        <w:t>3.6.2.</w:t>
      </w:r>
      <w:r>
        <w:rPr>
          <w:rFonts w:ascii="Verdana" w:hAnsi="Verdana"/>
          <w:i/>
          <w:noProof/>
          <w:sz w:val="20"/>
          <w:szCs w:val="20"/>
          <w:lang w:eastAsia="en-GB"/>
        </w:rPr>
        <w:tab/>
        <w:t xml:space="preserve"> Cohesion</w:t>
      </w:r>
      <w:bookmarkEnd w:id="107"/>
      <w:bookmarkEnd w:id="108"/>
      <w:bookmarkEnd w:id="109"/>
      <w:bookmarkEnd w:id="110"/>
      <w:bookmarkEnd w:id="111"/>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 xml:space="preserve">For </w:t>
      </w:r>
      <w:r>
        <w:rPr>
          <w:rFonts w:ascii="Verdana" w:hAnsi="Verdana" w:cs="Calibri"/>
          <w:b/>
          <w:noProof/>
          <w:sz w:val="20"/>
          <w:szCs w:val="20"/>
        </w:rPr>
        <w:t>ERDF and Cohesion Fund</w:t>
      </w:r>
      <w:r>
        <w:rPr>
          <w:rFonts w:ascii="Verdana" w:hAnsi="Verdana" w:cs="Calibri"/>
          <w:noProof/>
          <w:sz w:val="20"/>
          <w:szCs w:val="20"/>
        </w:rPr>
        <w:t xml:space="preserve"> 2007-2013, the Commission's audit work focused in 2014 on five audit enquiries, as well as specific fact finding missions to validate selected ACR error rates. In order to be able to validate the audit results of the audit authorities, on-the-spot audits are carried out at the level of programmes authorities and/or intermediate bodies, and usually include verifications of audit evidence down to the source, on the spot, at the level of beneficiaries/projects. The result of this audit work is that the Commission can generally rely on the work of 42 out of the 47 audit authorities audited, in charge of auditing 91 % of ERDF/CF allocations for 2007-2013 programming period.</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The audit work carried out from 2010 to 2014 confirms that the management verifications (first level controls) conducted by Member States continue to be a key issue. In fact, the management verification audits performed in 2014 by the Commission confirmed that weaknesses in the execution of these controls have been identified in 66 % of the missions performed, in particular in the area of public procurement (issues identified in 58 % of the missions).</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t xml:space="preserve">Other issues were identified in areas such as eligibility of operations (audits carried out on selection of operations in Hungary, Romania, Greece, Italy and Slovenia) and State Aid (addressed in audits on competitiveness programmes in Slovenia, Hungary, Greece, Romania, Italy and in the mission to Spain at the level of the two intermediate bodies). In these three areas (public procurement, eligibility, State Aid) problems are also reported in audits by the ECA. </w:t>
      </w:r>
    </w:p>
    <w:p w:rsidR="008C2902" w:rsidRDefault="00AD2EC1">
      <w:pPr>
        <w:autoSpaceDE w:val="0"/>
        <w:autoSpaceDN w:val="0"/>
        <w:adjustRightInd w:val="0"/>
        <w:spacing w:line="240" w:lineRule="auto"/>
        <w:jc w:val="both"/>
        <w:rPr>
          <w:rFonts w:ascii="Verdana" w:hAnsi="Verdana" w:cs="Calibri"/>
          <w:noProof/>
          <w:sz w:val="20"/>
          <w:szCs w:val="20"/>
        </w:rPr>
      </w:pPr>
      <w:r>
        <w:rPr>
          <w:rFonts w:ascii="Verdana" w:hAnsi="Verdana" w:cs="Calibri"/>
          <w:noProof/>
          <w:sz w:val="20"/>
          <w:szCs w:val="20"/>
        </w:rPr>
        <w:lastRenderedPageBreak/>
        <w:t>A detailed analysis of the reservations issued by the Director General and the related action plans at programme level is disclosed in the DG REGIO 2014 AAR.</w:t>
      </w:r>
    </w:p>
    <w:p w:rsidR="008C2902" w:rsidRDefault="00AD2EC1">
      <w:pPr>
        <w:spacing w:line="240" w:lineRule="auto"/>
        <w:jc w:val="both"/>
        <w:rPr>
          <w:rFonts w:ascii="Verdana" w:hAnsi="Verdana" w:cs="Calibri"/>
          <w:noProof/>
          <w:sz w:val="20"/>
          <w:szCs w:val="20"/>
        </w:rPr>
      </w:pPr>
      <w:r>
        <w:rPr>
          <w:rFonts w:ascii="Verdana" w:hAnsi="Verdana"/>
          <w:noProof/>
          <w:sz w:val="20"/>
          <w:szCs w:val="20"/>
        </w:rPr>
        <w:t xml:space="preserve">For </w:t>
      </w:r>
      <w:r>
        <w:rPr>
          <w:rFonts w:ascii="Verdana" w:hAnsi="Verdana"/>
          <w:b/>
          <w:noProof/>
          <w:sz w:val="20"/>
          <w:szCs w:val="20"/>
        </w:rPr>
        <w:t>ESF</w:t>
      </w:r>
      <w:r>
        <w:rPr>
          <w:rFonts w:ascii="Verdana" w:hAnsi="Verdana"/>
          <w:noProof/>
          <w:sz w:val="20"/>
          <w:szCs w:val="20"/>
        </w:rPr>
        <w:t>, t</w:t>
      </w:r>
      <w:r>
        <w:rPr>
          <w:rFonts w:ascii="Verdana" w:hAnsi="Verdana" w:cs="Calibri"/>
          <w:noProof/>
          <w:sz w:val="20"/>
          <w:szCs w:val="20"/>
        </w:rPr>
        <w:t>he main findings in system audits concern: selection of operations, inadequate management verifications, lack of audit trail, unreliable IT systems, flaws in the certification process, insufficient reliability of the national system audit reports, breaches in public procurement and ineligibility of expenditure.</w:t>
      </w:r>
    </w:p>
    <w:p w:rsidR="008C2902" w:rsidRDefault="00AD2EC1">
      <w:pPr>
        <w:spacing w:line="240" w:lineRule="auto"/>
        <w:jc w:val="both"/>
        <w:rPr>
          <w:rFonts w:ascii="Verdana" w:hAnsi="Verdana" w:cs="Calibri"/>
          <w:noProof/>
          <w:sz w:val="20"/>
          <w:szCs w:val="20"/>
        </w:rPr>
      </w:pPr>
      <w:r>
        <w:rPr>
          <w:rFonts w:ascii="Verdana" w:hAnsi="Verdana" w:cs="Calibri"/>
          <w:noProof/>
          <w:sz w:val="20"/>
          <w:szCs w:val="20"/>
        </w:rPr>
        <w:t>Management verifications conducted by Member States continue to be a key issue. The management verification audits</w:t>
      </w:r>
      <w:r>
        <w:rPr>
          <w:rFonts w:ascii="Verdana" w:hAnsi="Verdana" w:cs="Calibri"/>
          <w:b/>
          <w:noProof/>
          <w:sz w:val="20"/>
          <w:szCs w:val="20"/>
        </w:rPr>
        <w:t xml:space="preserve"> </w:t>
      </w:r>
      <w:r>
        <w:rPr>
          <w:rFonts w:ascii="Verdana" w:hAnsi="Verdana" w:cs="Calibri"/>
          <w:noProof/>
          <w:sz w:val="20"/>
          <w:szCs w:val="20"/>
        </w:rPr>
        <w:t xml:space="preserve">performed in 2014 by the Commission confirmed the following main weaknesses in the execution of these controls, already identified in 2013: the formal nature of management verifications, insufficient verifications of public procurement procedures, insufficient structure/organisation of the managing authority or intermediate body, lack of training and supervision in case of delegation of responsibilities,  management verifications carried out after the certification of expenditure and insufficient guidance and training for beneficiaries. </w:t>
      </w:r>
    </w:p>
    <w:p w:rsidR="008C2902" w:rsidRDefault="00AD2EC1">
      <w:pPr>
        <w:spacing w:after="120" w:line="240" w:lineRule="auto"/>
        <w:jc w:val="both"/>
        <w:rPr>
          <w:rFonts w:ascii="Verdana" w:hAnsi="Verdana"/>
          <w:noProof/>
          <w:sz w:val="20"/>
        </w:rPr>
      </w:pPr>
      <w:r>
        <w:rPr>
          <w:rFonts w:ascii="Verdana" w:hAnsi="Verdana"/>
          <w:noProof/>
          <w:sz w:val="20"/>
          <w:szCs w:val="20"/>
        </w:rPr>
        <w:t xml:space="preserve">In 2014, AAR reservations were made due to deficiencies in the management and control systems of the following </w:t>
      </w:r>
      <w:r>
        <w:rPr>
          <w:rFonts w:ascii="Verdana" w:hAnsi="Verdana"/>
          <w:b/>
          <w:noProof/>
          <w:sz w:val="20"/>
          <w:szCs w:val="20"/>
        </w:rPr>
        <w:t>EFF</w:t>
      </w:r>
      <w:r>
        <w:rPr>
          <w:rFonts w:ascii="Verdana" w:hAnsi="Verdana"/>
          <w:noProof/>
          <w:sz w:val="20"/>
          <w:szCs w:val="20"/>
        </w:rPr>
        <w:t xml:space="preserve"> operational programmes: Germany (</w:t>
      </w:r>
      <w:r>
        <w:rPr>
          <w:rFonts w:ascii="Verdana" w:hAnsi="Verdana" w:cs="Arial"/>
          <w:noProof/>
          <w:sz w:val="20"/>
          <w:szCs w:val="20"/>
        </w:rPr>
        <w:t>Mecklenburg-Vorpommern)</w:t>
      </w:r>
      <w:r>
        <w:rPr>
          <w:rFonts w:ascii="Verdana" w:hAnsi="Verdana"/>
          <w:noProof/>
          <w:sz w:val="20"/>
          <w:szCs w:val="20"/>
        </w:rPr>
        <w:t xml:space="preserve">, Italy, the Netherlands, Poland and Romania. </w:t>
      </w:r>
      <w:r>
        <w:rPr>
          <w:rFonts w:ascii="Verdana" w:hAnsi="Verdana"/>
          <w:noProof/>
          <w:sz w:val="20"/>
        </w:rPr>
        <w:t>The 5 operational programmes concerned were all affected by material error, as reported in the ACRs. Letters with clear action plans were sent to all affected Member States, specifying the necessary corrective action to be taken to allow payments to resume.</w:t>
      </w:r>
    </w:p>
    <w:p w:rsidR="008C2902" w:rsidRDefault="008C2902">
      <w:pPr>
        <w:spacing w:line="240" w:lineRule="auto"/>
        <w:jc w:val="both"/>
        <w:rPr>
          <w:rFonts w:ascii="Verdana" w:hAnsi="Verdana" w:cs="Calibri"/>
          <w:noProof/>
          <w:sz w:val="20"/>
          <w:szCs w:val="20"/>
        </w:rPr>
      </w:pPr>
    </w:p>
    <w:p w:rsidR="008C2902" w:rsidRDefault="00AD2EC1">
      <w:pPr>
        <w:pStyle w:val="ManualHeading1"/>
        <w:rPr>
          <w:noProof/>
        </w:rPr>
      </w:pPr>
      <w:bookmarkStart w:id="112" w:name="_Toc431383864"/>
      <w:bookmarkStart w:id="113" w:name="_Toc432061782"/>
      <w:r>
        <w:t>4.</w:t>
      </w:r>
      <w:r>
        <w:tab/>
      </w:r>
      <w:r>
        <w:rPr>
          <w:noProof/>
        </w:rPr>
        <w:t>CUMULATIVE FINANCIAL CORRECTIONS &amp; RECOVERIES TO END 2014</w:t>
      </w:r>
      <w:bookmarkEnd w:id="112"/>
      <w:bookmarkEnd w:id="113"/>
    </w:p>
    <w:p w:rsidR="008C2902" w:rsidRDefault="00AD2EC1">
      <w:pPr>
        <w:pStyle w:val="ManualHeading2"/>
        <w:rPr>
          <w:noProof/>
        </w:rPr>
      </w:pPr>
      <w:bookmarkStart w:id="114" w:name="_Toc431383865"/>
      <w:bookmarkStart w:id="115" w:name="_Toc432061783"/>
      <w:r>
        <w:t>4.1.</w:t>
      </w:r>
      <w:r>
        <w:tab/>
      </w:r>
      <w:r>
        <w:rPr>
          <w:noProof/>
        </w:rPr>
        <w:t>Overview</w:t>
      </w:r>
      <w:bookmarkEnd w:id="114"/>
      <w:bookmarkEnd w:id="115"/>
    </w:p>
    <w:p w:rsidR="008C2902" w:rsidRDefault="00AD2EC1">
      <w:pPr>
        <w:spacing w:after="120" w:line="240" w:lineRule="auto"/>
        <w:jc w:val="both"/>
        <w:rPr>
          <w:rFonts w:ascii="Verdana" w:hAnsi="Verdana"/>
          <w:noProof/>
          <w:sz w:val="20"/>
        </w:rPr>
      </w:pPr>
      <w:r>
        <w:rPr>
          <w:rFonts w:ascii="Verdana" w:hAnsi="Verdana"/>
          <w:noProof/>
          <w:sz w:val="20"/>
        </w:rPr>
        <w:t xml:space="preserve">Cumulative figures provide useful information on the significance of the corrective mechanisms used by the Commission, in particular as they take into account the multi-annual character of programmes and projects and neutralise the impact of one-off events. </w:t>
      </w:r>
    </w:p>
    <w:p w:rsidR="008C2902" w:rsidRDefault="00AD2EC1">
      <w:pPr>
        <w:spacing w:after="0" w:line="240" w:lineRule="auto"/>
        <w:rPr>
          <w:rFonts w:ascii="Verdana" w:hAnsi="Verdana"/>
          <w:i/>
          <w:noProof/>
          <w:sz w:val="20"/>
        </w:rPr>
      </w:pPr>
      <w:r>
        <w:rPr>
          <w:rFonts w:ascii="Verdana" w:hAnsi="Verdana"/>
          <w:i/>
          <w:noProof/>
          <w:sz w:val="20"/>
        </w:rPr>
        <w:br w:type="page"/>
      </w:r>
    </w:p>
    <w:p w:rsidR="008C2902" w:rsidRDefault="00AD2EC1">
      <w:pPr>
        <w:spacing w:after="120"/>
        <w:jc w:val="both"/>
        <w:rPr>
          <w:rFonts w:ascii="Verdana" w:hAnsi="Verdana"/>
          <w:i/>
          <w:noProof/>
          <w:sz w:val="20"/>
        </w:rPr>
      </w:pPr>
      <w:r>
        <w:rPr>
          <w:rFonts w:ascii="Verdana" w:hAnsi="Verdana"/>
          <w:i/>
          <w:noProof/>
          <w:sz w:val="20"/>
        </w:rPr>
        <w:lastRenderedPageBreak/>
        <w:t>4.1.1.</w:t>
      </w:r>
      <w:r>
        <w:rPr>
          <w:rFonts w:ascii="Verdana" w:hAnsi="Verdana"/>
          <w:i/>
          <w:noProof/>
          <w:sz w:val="20"/>
        </w:rPr>
        <w:tab/>
        <w:t>Period 2009-2014</w:t>
      </w:r>
    </w:p>
    <w:p w:rsidR="008C2902" w:rsidRDefault="00AD2EC1">
      <w:pPr>
        <w:spacing w:before="240" w:after="240" w:line="240" w:lineRule="auto"/>
        <w:jc w:val="both"/>
        <w:rPr>
          <w:rFonts w:ascii="Verdana" w:hAnsi="Verdana"/>
          <w:noProof/>
          <w:sz w:val="20"/>
        </w:rPr>
      </w:pPr>
      <w:r>
        <w:rPr>
          <w:rFonts w:ascii="Verdana" w:hAnsi="Verdana"/>
          <w:noProof/>
          <w:sz w:val="20"/>
        </w:rPr>
        <w:t>The graphs below show the evolution of financial corrections and recoveries confirmed and implemented during the last 6 years:</w:t>
      </w:r>
    </w:p>
    <w:p w:rsidR="008C2902" w:rsidRDefault="00AD2EC1">
      <w:pPr>
        <w:spacing w:after="120"/>
        <w:jc w:val="both"/>
        <w:rPr>
          <w:rFonts w:ascii="Verdana" w:hAnsi="Verdana" w:cs="Arial"/>
          <w:b/>
          <w:bCs/>
          <w:i/>
          <w:noProof/>
          <w:sz w:val="20"/>
        </w:rPr>
      </w:pPr>
      <w:r>
        <w:rPr>
          <w:rFonts w:ascii="Verdana" w:hAnsi="Verdana"/>
          <w:b/>
          <w:i/>
          <w:noProof/>
          <w:sz w:val="20"/>
        </w:rPr>
        <w:t>Graphs 4.1:</w:t>
      </w:r>
      <w:r>
        <w:rPr>
          <w:rFonts w:ascii="Verdana" w:hAnsi="Verdana"/>
          <w:i/>
          <w:noProof/>
          <w:sz w:val="20"/>
        </w:rPr>
        <w:t xml:space="preserve"> </w:t>
      </w:r>
      <w:r>
        <w:rPr>
          <w:rFonts w:ascii="Verdana" w:hAnsi="Verdana" w:cs="Arial"/>
          <w:b/>
          <w:bCs/>
          <w:i/>
          <w:noProof/>
          <w:sz w:val="20"/>
        </w:rPr>
        <w:t>Financial corrections and recoveries 2009-2014 (EUR billions)</w:t>
      </w:r>
    </w:p>
    <w:p w:rsidR="008C2902" w:rsidRDefault="00AD2EC1">
      <w:pPr>
        <w:spacing w:after="120"/>
        <w:jc w:val="both"/>
        <w:rPr>
          <w:rFonts w:ascii="Verdana" w:hAnsi="Verdana" w:cs="Arial"/>
          <w:b/>
          <w:bCs/>
          <w:i/>
          <w:noProof/>
          <w:sz w:val="20"/>
        </w:rPr>
      </w:pPr>
      <w:r>
        <w:rPr>
          <w:rFonts w:ascii="Verdana" w:hAnsi="Verdana"/>
          <w:i/>
          <w:noProof/>
          <w:sz w:val="16"/>
          <w:lang w:eastAsia="en-GB"/>
        </w:rPr>
        <w:t xml:space="preserve">Financial corrections and recoveries </w:t>
      </w:r>
      <w:r>
        <w:rPr>
          <w:rFonts w:ascii="Verdana" w:hAnsi="Verdana"/>
          <w:b/>
          <w:i/>
          <w:noProof/>
          <w:sz w:val="16"/>
          <w:lang w:eastAsia="en-GB"/>
        </w:rPr>
        <w:t>confirmed</w:t>
      </w:r>
      <w:r>
        <w:rPr>
          <w:rFonts w:ascii="Verdana" w:hAnsi="Verdana"/>
          <w:i/>
          <w:noProof/>
          <w:sz w:val="16"/>
          <w:lang w:eastAsia="en-GB"/>
        </w:rPr>
        <w:t xml:space="preserve"> 2009-2014 (EUR billions)</w:t>
      </w:r>
    </w:p>
    <w:p w:rsidR="008C2902" w:rsidRDefault="00AD2EC1">
      <w:pPr>
        <w:spacing w:after="120"/>
        <w:jc w:val="both"/>
        <w:rPr>
          <w:rFonts w:ascii="Verdana" w:hAnsi="Verdana" w:cs="Arial"/>
          <w:b/>
          <w:bCs/>
          <w:i/>
          <w:noProof/>
          <w:sz w:val="20"/>
        </w:rPr>
      </w:pPr>
      <w:r>
        <w:rPr>
          <w:noProof/>
          <w:lang w:eastAsia="en-GB"/>
        </w:rPr>
        <w:drawing>
          <wp:inline distT="0" distB="0" distL="0" distR="0">
            <wp:extent cx="5159829" cy="3509159"/>
            <wp:effectExtent l="0" t="0" r="22225" b="1524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2902" w:rsidRDefault="00AD2EC1">
      <w:pPr>
        <w:spacing w:after="120"/>
        <w:jc w:val="both"/>
        <w:rPr>
          <w:rFonts w:ascii="Verdana" w:hAnsi="Verdana"/>
          <w:i/>
          <w:noProof/>
          <w:sz w:val="16"/>
          <w:lang w:eastAsia="en-GB"/>
        </w:rPr>
      </w:pPr>
      <w:r>
        <w:rPr>
          <w:rFonts w:ascii="Verdana" w:hAnsi="Verdana"/>
          <w:i/>
          <w:noProof/>
          <w:sz w:val="16"/>
          <w:lang w:eastAsia="en-GB"/>
        </w:rPr>
        <w:t xml:space="preserve">Financial corrections and recoveries </w:t>
      </w:r>
      <w:r>
        <w:rPr>
          <w:rFonts w:ascii="Verdana" w:hAnsi="Verdana"/>
          <w:b/>
          <w:i/>
          <w:noProof/>
          <w:sz w:val="16"/>
          <w:lang w:eastAsia="en-GB"/>
        </w:rPr>
        <w:t>implemented</w:t>
      </w:r>
      <w:r>
        <w:rPr>
          <w:rFonts w:ascii="Verdana" w:hAnsi="Verdana"/>
          <w:i/>
          <w:noProof/>
          <w:sz w:val="16"/>
          <w:lang w:eastAsia="en-GB"/>
        </w:rPr>
        <w:t xml:space="preserve"> 2009-2014 (EUR billions)</w:t>
      </w:r>
    </w:p>
    <w:p w:rsidR="008C2902" w:rsidRDefault="00AD2EC1">
      <w:pPr>
        <w:spacing w:after="120"/>
        <w:jc w:val="both"/>
        <w:rPr>
          <w:rFonts w:ascii="Verdana" w:hAnsi="Verdana" w:cs="Arial"/>
          <w:b/>
          <w:bCs/>
          <w:i/>
          <w:noProof/>
          <w:sz w:val="20"/>
        </w:rPr>
      </w:pPr>
      <w:r>
        <w:rPr>
          <w:noProof/>
          <w:lang w:eastAsia="en-GB"/>
        </w:rPr>
        <w:drawing>
          <wp:inline distT="0" distB="0" distL="0" distR="0">
            <wp:extent cx="5159829" cy="3325091"/>
            <wp:effectExtent l="0" t="0" r="22225" b="2794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2902" w:rsidRDefault="00AD2EC1">
      <w:pPr>
        <w:spacing w:after="240" w:line="240" w:lineRule="auto"/>
        <w:jc w:val="both"/>
        <w:rPr>
          <w:rFonts w:ascii="Verdana" w:hAnsi="Verdana"/>
          <w:noProof/>
          <w:sz w:val="20"/>
        </w:rPr>
      </w:pPr>
      <w:r>
        <w:rPr>
          <w:rFonts w:ascii="Verdana" w:hAnsi="Verdana"/>
          <w:noProof/>
          <w:sz w:val="20"/>
        </w:rPr>
        <w:lastRenderedPageBreak/>
        <w:t xml:space="preserve">The average amount of financial corrections and recoveries </w:t>
      </w:r>
      <w:r>
        <w:rPr>
          <w:rFonts w:ascii="Verdana" w:hAnsi="Verdana"/>
          <w:b/>
          <w:noProof/>
          <w:sz w:val="20"/>
        </w:rPr>
        <w:t>confirmed</w:t>
      </w:r>
      <w:r>
        <w:rPr>
          <w:rFonts w:ascii="Verdana" w:hAnsi="Verdana"/>
          <w:noProof/>
          <w:sz w:val="20"/>
        </w:rPr>
        <w:t xml:space="preserve"> per year during the period 2009 to 2014 was EUR 3.2 billion or 2.4 % of the average amount of payments from the EU budget of EUR 133 billion (shared management: EUR 2.8 billion or 2.8 % of the average amount of payments of EUR 102 billion; all other types of management: EUR 366 million or 1.2 % of the average amount of payments of EUR 30.5 billion.) The trend for confirmed amounts is slightly increasing, which demonstrates that the multi-annual control framework is successfully protecting the EU budget over time.</w:t>
      </w:r>
    </w:p>
    <w:p w:rsidR="008C2902" w:rsidRDefault="00AD2EC1">
      <w:pPr>
        <w:spacing w:after="240" w:line="240" w:lineRule="auto"/>
        <w:jc w:val="both"/>
        <w:rPr>
          <w:rFonts w:ascii="Verdana" w:hAnsi="Verdana"/>
          <w:noProof/>
          <w:sz w:val="20"/>
        </w:rPr>
      </w:pPr>
      <w:r>
        <w:rPr>
          <w:rFonts w:ascii="Verdana" w:hAnsi="Verdana"/>
          <w:noProof/>
          <w:sz w:val="20"/>
        </w:rPr>
        <w:t xml:space="preserve">The average amount of financial corrections and recoveries </w:t>
      </w:r>
      <w:r>
        <w:rPr>
          <w:rFonts w:ascii="Verdana" w:hAnsi="Verdana"/>
          <w:b/>
          <w:noProof/>
          <w:sz w:val="20"/>
        </w:rPr>
        <w:t>implemented</w:t>
      </w:r>
      <w:r>
        <w:rPr>
          <w:rFonts w:ascii="Verdana" w:hAnsi="Verdana"/>
          <w:noProof/>
          <w:sz w:val="20"/>
        </w:rPr>
        <w:t xml:space="preserve"> for 2009-2014 was EUR 2.8 billion, which represents 2.1 % of the average amount of payments from the EU budget in that period (shared management: EUR 2.5 billion or 2.4 % of the average amount of payments; all other types of management: EUR 356 million or 1.2 % of the average amount of payments). The increasing trend shown above can be explained by the closure of the programming period 2000-2006, as a significant number of financial corrections and recoveries are only implemented at that stage (see below). For Agriculture, the impact of executing some net financial corrections via three annual instalment payments is reflected in a lower increase of the amounts actually implemented compared to the amounts decided by the Commission.</w:t>
      </w:r>
    </w:p>
    <w:p w:rsidR="008C2902" w:rsidRDefault="00AD2EC1">
      <w:pPr>
        <w:spacing w:after="120"/>
        <w:jc w:val="both"/>
        <w:rPr>
          <w:rFonts w:ascii="Verdana" w:hAnsi="Verdana"/>
          <w:i/>
          <w:noProof/>
          <w:sz w:val="20"/>
        </w:rPr>
      </w:pPr>
      <w:r>
        <w:rPr>
          <w:rFonts w:ascii="Verdana" w:hAnsi="Verdana"/>
          <w:i/>
          <w:noProof/>
          <w:sz w:val="20"/>
        </w:rPr>
        <w:t>4.1.2.</w:t>
      </w:r>
      <w:r>
        <w:rPr>
          <w:rFonts w:ascii="Verdana" w:hAnsi="Verdana"/>
          <w:i/>
          <w:noProof/>
          <w:sz w:val="20"/>
        </w:rPr>
        <w:tab/>
        <w:t>Decisions of the Court of Justice concerning Regional policy financial corrections</w:t>
      </w:r>
    </w:p>
    <w:p w:rsidR="008C2902" w:rsidRDefault="00AD2EC1">
      <w:pPr>
        <w:spacing w:after="240" w:line="240" w:lineRule="auto"/>
        <w:jc w:val="both"/>
        <w:rPr>
          <w:rFonts w:ascii="Verdana" w:hAnsi="Verdana"/>
          <w:noProof/>
          <w:sz w:val="20"/>
        </w:rPr>
      </w:pPr>
      <w:r>
        <w:rPr>
          <w:rFonts w:ascii="Verdana" w:hAnsi="Verdana"/>
          <w:noProof/>
          <w:sz w:val="20"/>
        </w:rPr>
        <w:t>During 2015, Court of Justice judgements were issued annulling a number of regional policy financial corrections' decisions taken between 2008 and 2010. These corrections totalled almost EUR 0.5 billion and related to the programming period 1994-1999. The judgements reflect procedural issues arising from Regulation 1083/2006. The Commission is analysing the impact.</w:t>
      </w:r>
    </w:p>
    <w:p w:rsidR="008C2902" w:rsidRDefault="00AD2EC1">
      <w:pPr>
        <w:pStyle w:val="ManualHeading2"/>
        <w:rPr>
          <w:noProof/>
        </w:rPr>
      </w:pPr>
      <w:bookmarkStart w:id="116" w:name="_Toc431383866"/>
      <w:bookmarkStart w:id="117" w:name="_Toc432061784"/>
      <w:r>
        <w:t>4.2.</w:t>
      </w:r>
      <w:r>
        <w:tab/>
      </w:r>
      <w:r>
        <w:rPr>
          <w:noProof/>
        </w:rPr>
        <w:t>Financial corrections</w:t>
      </w:r>
      <w:bookmarkEnd w:id="116"/>
      <w:bookmarkEnd w:id="117"/>
    </w:p>
    <w:p w:rsidR="008C2902" w:rsidRDefault="00AD2EC1">
      <w:pPr>
        <w:spacing w:after="120"/>
        <w:jc w:val="both"/>
        <w:rPr>
          <w:rFonts w:ascii="Verdana" w:hAnsi="Verdana"/>
          <w:i/>
          <w:noProof/>
          <w:sz w:val="20"/>
        </w:rPr>
      </w:pPr>
      <w:r>
        <w:rPr>
          <w:rFonts w:ascii="Verdana" w:hAnsi="Verdana"/>
          <w:i/>
          <w:noProof/>
          <w:sz w:val="20"/>
        </w:rPr>
        <w:t>4.2.1.</w:t>
      </w:r>
      <w:r>
        <w:rPr>
          <w:rFonts w:ascii="Verdana" w:hAnsi="Verdana"/>
          <w:i/>
          <w:noProof/>
          <w:sz w:val="20"/>
        </w:rPr>
        <w:tab/>
        <w:t>Overview</w:t>
      </w:r>
    </w:p>
    <w:p w:rsidR="008C2902" w:rsidRDefault="00AD2EC1">
      <w:pPr>
        <w:spacing w:after="0" w:line="240" w:lineRule="auto"/>
        <w:jc w:val="both"/>
        <w:rPr>
          <w:rFonts w:ascii="Verdana" w:hAnsi="Verdana" w:cs="Arial"/>
          <w:b/>
          <w:bCs/>
          <w:i/>
          <w:noProof/>
          <w:sz w:val="20"/>
        </w:rPr>
      </w:pPr>
      <w:r>
        <w:rPr>
          <w:rFonts w:ascii="Verdana" w:hAnsi="Verdana" w:cs="Arial"/>
          <w:b/>
          <w:bCs/>
          <w:i/>
          <w:noProof/>
          <w:sz w:val="20"/>
        </w:rPr>
        <w:t>Table 4.2.1: Cumulative financial corrections confirmed &amp; implementation percentage to end 2014</w:t>
      </w:r>
    </w:p>
    <w:p w:rsidR="008C2902" w:rsidRDefault="008C2902">
      <w:pPr>
        <w:spacing w:after="0" w:line="240" w:lineRule="auto"/>
        <w:jc w:val="both"/>
        <w:rPr>
          <w:rFonts w:ascii="Verdana" w:hAnsi="Verdana" w:cs="Arial"/>
          <w:b/>
          <w:bCs/>
          <w:i/>
          <w:noProof/>
          <w:sz w:val="20"/>
        </w:rPr>
      </w:pPr>
    </w:p>
    <w:tbl>
      <w:tblPr>
        <w:tblW w:w="5261" w:type="pct"/>
        <w:tblInd w:w="-176" w:type="dxa"/>
        <w:tblLayout w:type="fixed"/>
        <w:tblLook w:val="04A0" w:firstRow="1" w:lastRow="0" w:firstColumn="1" w:lastColumn="0" w:noHBand="0" w:noVBand="1"/>
      </w:tblPr>
      <w:tblGrid>
        <w:gridCol w:w="1800"/>
        <w:gridCol w:w="816"/>
        <w:gridCol w:w="818"/>
        <w:gridCol w:w="829"/>
        <w:gridCol w:w="1095"/>
        <w:gridCol w:w="1163"/>
        <w:gridCol w:w="1087"/>
        <w:gridCol w:w="1179"/>
        <w:gridCol w:w="1135"/>
      </w:tblGrid>
      <w:tr w:rsidR="008C2902">
        <w:trPr>
          <w:trHeight w:val="270"/>
        </w:trPr>
        <w:tc>
          <w:tcPr>
            <w:tcW w:w="5000" w:type="pct"/>
            <w:gridSpan w:val="9"/>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 xml:space="preserve">          EUR millions</w:t>
            </w:r>
          </w:p>
        </w:tc>
      </w:tr>
      <w:tr w:rsidR="008C2902">
        <w:trPr>
          <w:trHeight w:val="270"/>
        </w:trPr>
        <w:tc>
          <w:tcPr>
            <w:tcW w:w="907" w:type="pct"/>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8C2902" w:rsidRDefault="008C2902">
            <w:pPr>
              <w:spacing w:after="0" w:line="240" w:lineRule="auto"/>
              <w:jc w:val="center"/>
              <w:rPr>
                <w:rFonts w:ascii="Verdana" w:eastAsia="Times New Roman" w:hAnsi="Verdana"/>
                <w:b/>
                <w:bCs/>
                <w:noProof/>
                <w:color w:val="000000"/>
                <w:sz w:val="14"/>
                <w:szCs w:val="14"/>
                <w:lang w:eastAsia="en-GB"/>
              </w:rPr>
            </w:pPr>
          </w:p>
        </w:tc>
        <w:tc>
          <w:tcPr>
            <w:tcW w:w="1241" w:type="pct"/>
            <w:gridSpan w:val="3"/>
            <w:vMerge w:val="restart"/>
            <w:tcBorders>
              <w:top w:val="single" w:sz="8" w:space="0" w:color="auto"/>
              <w:left w:val="single" w:sz="8" w:space="0" w:color="auto"/>
              <w:bottom w:val="single" w:sz="8" w:space="0" w:color="000000"/>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Programming Period</w:t>
            </w:r>
          </w:p>
        </w:tc>
        <w:tc>
          <w:tcPr>
            <w:tcW w:w="552"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 xml:space="preserve">Cumulated EAGF decisions </w:t>
            </w:r>
          </w:p>
        </w:tc>
        <w:tc>
          <w:tcPr>
            <w:tcW w:w="586"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Total financial corrections confirmed at end 2014</w:t>
            </w:r>
          </w:p>
        </w:tc>
        <w:tc>
          <w:tcPr>
            <w:tcW w:w="548"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Implementation % end 2014</w:t>
            </w:r>
          </w:p>
        </w:tc>
        <w:tc>
          <w:tcPr>
            <w:tcW w:w="594" w:type="pct"/>
            <w:vMerge w:val="restart"/>
            <w:tcBorders>
              <w:top w:val="nil"/>
              <w:left w:val="single" w:sz="8" w:space="0" w:color="auto"/>
              <w:bottom w:val="single" w:sz="8" w:space="0" w:color="000000"/>
              <w:right w:val="single" w:sz="8" w:space="0" w:color="auto"/>
            </w:tcBorders>
            <w:shd w:val="clear" w:color="000000" w:fill="99CCFF"/>
            <w:vAlign w:val="center"/>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Financial corrections confirmed at end 2013</w:t>
            </w:r>
          </w:p>
        </w:tc>
        <w:tc>
          <w:tcPr>
            <w:tcW w:w="572"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Implementation % end 2013</w:t>
            </w:r>
          </w:p>
        </w:tc>
      </w:tr>
      <w:tr w:rsidR="008C2902">
        <w:trPr>
          <w:trHeight w:val="170"/>
        </w:trPr>
        <w:tc>
          <w:tcPr>
            <w:tcW w:w="907" w:type="pct"/>
            <w:vMerge/>
            <w:tcBorders>
              <w:top w:val="single" w:sz="8" w:space="0" w:color="auto"/>
              <w:left w:val="single" w:sz="8" w:space="0" w:color="auto"/>
              <w:bottom w:val="single" w:sz="8" w:space="0" w:color="000000"/>
              <w:right w:val="single" w:sz="8" w:space="0" w:color="000000"/>
            </w:tcBorders>
            <w:vAlign w:val="center"/>
            <w:hideMark/>
          </w:tcPr>
          <w:p w:rsidR="008C2902" w:rsidRDefault="008C2902">
            <w:pPr>
              <w:spacing w:after="0" w:line="240" w:lineRule="auto"/>
              <w:rPr>
                <w:rFonts w:ascii="Verdana" w:eastAsia="Times New Roman" w:hAnsi="Verdana"/>
                <w:b/>
                <w:bCs/>
                <w:noProof/>
                <w:color w:val="000000"/>
                <w:sz w:val="14"/>
                <w:szCs w:val="14"/>
                <w:lang w:eastAsia="en-GB"/>
              </w:rPr>
            </w:pPr>
          </w:p>
        </w:tc>
        <w:tc>
          <w:tcPr>
            <w:tcW w:w="1241" w:type="pct"/>
            <w:gridSpan w:val="3"/>
            <w:vMerge/>
            <w:tcBorders>
              <w:top w:val="single" w:sz="8" w:space="0" w:color="auto"/>
              <w:left w:val="single" w:sz="8" w:space="0" w:color="auto"/>
              <w:bottom w:val="single" w:sz="8" w:space="0" w:color="000000"/>
              <w:right w:val="nil"/>
            </w:tcBorders>
            <w:vAlign w:val="center"/>
            <w:hideMark/>
          </w:tcPr>
          <w:p w:rsidR="008C2902" w:rsidRDefault="008C2902">
            <w:pPr>
              <w:spacing w:after="0" w:line="240" w:lineRule="auto"/>
              <w:rPr>
                <w:rFonts w:ascii="Verdana" w:eastAsia="Times New Roman" w:hAnsi="Verdana"/>
                <w:b/>
                <w:bCs/>
                <w:noProof/>
                <w:color w:val="000000"/>
                <w:sz w:val="14"/>
                <w:szCs w:val="14"/>
                <w:lang w:eastAsia="en-GB"/>
              </w:rPr>
            </w:pPr>
          </w:p>
        </w:tc>
        <w:tc>
          <w:tcPr>
            <w:tcW w:w="552"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86"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48"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94" w:type="pct"/>
            <w:vMerge/>
            <w:tcBorders>
              <w:top w:val="nil"/>
              <w:left w:val="single" w:sz="8" w:space="0" w:color="auto"/>
              <w:bottom w:val="single" w:sz="8" w:space="0" w:color="000000"/>
              <w:right w:val="single" w:sz="8" w:space="0" w:color="auto"/>
            </w:tcBorders>
            <w:vAlign w:val="center"/>
          </w:tcPr>
          <w:p w:rsidR="008C2902" w:rsidRDefault="008C2902">
            <w:pPr>
              <w:spacing w:after="0" w:line="240" w:lineRule="auto"/>
              <w:rPr>
                <w:rFonts w:ascii="Verdana" w:eastAsia="Times New Roman" w:hAnsi="Verdana"/>
                <w:b/>
                <w:bCs/>
                <w:noProof/>
                <w:color w:val="000000"/>
                <w:sz w:val="16"/>
                <w:szCs w:val="16"/>
                <w:lang w:eastAsia="en-GB"/>
              </w:rPr>
            </w:pPr>
          </w:p>
        </w:tc>
        <w:tc>
          <w:tcPr>
            <w:tcW w:w="572"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615"/>
        </w:trPr>
        <w:tc>
          <w:tcPr>
            <w:tcW w:w="907" w:type="pct"/>
            <w:vMerge/>
            <w:tcBorders>
              <w:top w:val="single" w:sz="8" w:space="0" w:color="auto"/>
              <w:left w:val="single" w:sz="8" w:space="0" w:color="auto"/>
              <w:bottom w:val="single" w:sz="8" w:space="0" w:color="000000"/>
              <w:right w:val="single" w:sz="8" w:space="0" w:color="000000"/>
            </w:tcBorders>
            <w:vAlign w:val="center"/>
            <w:hideMark/>
          </w:tcPr>
          <w:p w:rsidR="008C2902" w:rsidRDefault="008C2902">
            <w:pPr>
              <w:spacing w:after="0" w:line="240" w:lineRule="auto"/>
              <w:rPr>
                <w:rFonts w:ascii="Verdana" w:eastAsia="Times New Roman" w:hAnsi="Verdana"/>
                <w:b/>
                <w:bCs/>
                <w:noProof/>
                <w:color w:val="000000"/>
                <w:sz w:val="14"/>
                <w:szCs w:val="14"/>
                <w:lang w:eastAsia="en-GB"/>
              </w:rPr>
            </w:pPr>
          </w:p>
        </w:tc>
        <w:tc>
          <w:tcPr>
            <w:tcW w:w="411" w:type="pct"/>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1994-1999 Period</w:t>
            </w:r>
          </w:p>
        </w:tc>
        <w:tc>
          <w:tcPr>
            <w:tcW w:w="412" w:type="pct"/>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2000-2006 Period</w:t>
            </w:r>
          </w:p>
        </w:tc>
        <w:tc>
          <w:tcPr>
            <w:tcW w:w="418" w:type="pct"/>
            <w:tcBorders>
              <w:top w:val="nil"/>
              <w:left w:val="nil"/>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2007-2013 Period</w:t>
            </w:r>
          </w:p>
        </w:tc>
        <w:tc>
          <w:tcPr>
            <w:tcW w:w="552"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86"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48"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94" w:type="pct"/>
            <w:vMerge/>
            <w:tcBorders>
              <w:top w:val="nil"/>
              <w:left w:val="single" w:sz="8" w:space="0" w:color="auto"/>
              <w:bottom w:val="single" w:sz="8" w:space="0" w:color="000000"/>
              <w:right w:val="single" w:sz="8" w:space="0" w:color="auto"/>
            </w:tcBorders>
            <w:vAlign w:val="center"/>
          </w:tcPr>
          <w:p w:rsidR="008C2902" w:rsidRDefault="008C2902">
            <w:pPr>
              <w:spacing w:after="0" w:line="240" w:lineRule="auto"/>
              <w:rPr>
                <w:rFonts w:ascii="Verdana" w:eastAsia="Times New Roman" w:hAnsi="Verdana"/>
                <w:b/>
                <w:bCs/>
                <w:noProof/>
                <w:color w:val="000000"/>
                <w:sz w:val="16"/>
                <w:szCs w:val="16"/>
                <w:lang w:eastAsia="en-GB"/>
              </w:rPr>
            </w:pPr>
          </w:p>
        </w:tc>
        <w:tc>
          <w:tcPr>
            <w:tcW w:w="572"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27"/>
        </w:trPr>
        <w:tc>
          <w:tcPr>
            <w:tcW w:w="907" w:type="pct"/>
            <w:tcBorders>
              <w:top w:val="single" w:sz="8" w:space="0" w:color="auto"/>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Agriculture</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126</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580</w:t>
            </w:r>
          </w:p>
        </w:tc>
        <w:tc>
          <w:tcPr>
            <w:tcW w:w="552"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10 808</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11 514</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82.8%</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9 634</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
                <w:bCs/>
                <w:i/>
                <w:noProof/>
                <w:color w:val="000000"/>
                <w:sz w:val="16"/>
                <w:szCs w:val="16"/>
              </w:rPr>
            </w:pPr>
            <w:r>
              <w:rPr>
                <w:rFonts w:ascii="Verdana" w:hAnsi="Verdana"/>
                <w:b/>
                <w:bCs/>
                <w:i/>
                <w:noProof/>
                <w:color w:val="000000"/>
                <w:sz w:val="16"/>
                <w:szCs w:val="16"/>
              </w:rPr>
              <w:t>89.6%</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552"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10 808</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10 808</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83.7%</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9 148</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90.0%</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126</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580</w:t>
            </w:r>
          </w:p>
        </w:tc>
        <w:tc>
          <w:tcPr>
            <w:tcW w:w="552"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706</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69.3%</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486</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83.2%</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Cohesion Policy</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2 723</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8 437</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3 043</w:t>
            </w:r>
          </w:p>
        </w:tc>
        <w:tc>
          <w:tcPr>
            <w:tcW w:w="55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14 203</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92.2%</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12 189</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
                <w:bCs/>
                <w:i/>
                <w:noProof/>
                <w:color w:val="000000"/>
                <w:sz w:val="16"/>
                <w:szCs w:val="16"/>
              </w:rPr>
            </w:pPr>
            <w:r>
              <w:rPr>
                <w:rFonts w:ascii="Verdana" w:hAnsi="Verdana"/>
                <w:b/>
                <w:bCs/>
                <w:i/>
                <w:noProof/>
                <w:color w:val="000000"/>
                <w:sz w:val="16"/>
                <w:szCs w:val="16"/>
              </w:rPr>
              <w:t>93.8%</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ERDF</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1 794*</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5 638</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1 541</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8 973</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91.9%</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7 643</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93.8%</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Cohesion Fund</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268</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780</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448</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1 496</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88.7%</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1 204</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90.7%</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ESF</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560</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1 811</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1 029</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3 399</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96.5%</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3 057</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97.9%</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FIFG/EFF</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100</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125</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25</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 xml:space="preserve"> 250</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60.4%</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211</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51.8%</w:t>
            </w:r>
          </w:p>
        </w:tc>
      </w:tr>
      <w:tr w:rsidR="008C2902">
        <w:trPr>
          <w:trHeight w:val="227"/>
        </w:trPr>
        <w:tc>
          <w:tcPr>
            <w:tcW w:w="907" w:type="pct"/>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EAGGF Guidance</w:t>
            </w:r>
          </w:p>
        </w:tc>
        <w:tc>
          <w:tcPr>
            <w:tcW w:w="411"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2</w:t>
            </w:r>
          </w:p>
        </w:tc>
        <w:tc>
          <w:tcPr>
            <w:tcW w:w="412"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83</w:t>
            </w:r>
          </w:p>
        </w:tc>
        <w:tc>
          <w:tcPr>
            <w:tcW w:w="418" w:type="pct"/>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Cs/>
                <w:noProof/>
                <w:color w:val="000000"/>
                <w:sz w:val="16"/>
                <w:szCs w:val="16"/>
              </w:rPr>
            </w:pPr>
            <w:r>
              <w:rPr>
                <w:rFonts w:ascii="Verdana" w:hAnsi="Verdana"/>
                <w:bCs/>
                <w:noProof/>
                <w:color w:val="000000"/>
                <w:sz w:val="16"/>
                <w:szCs w:val="16"/>
              </w:rPr>
              <w:t xml:space="preserve"> 85</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100.0%</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73</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Cs/>
                <w:i/>
                <w:noProof/>
                <w:color w:val="000000"/>
                <w:sz w:val="16"/>
                <w:szCs w:val="16"/>
              </w:rPr>
            </w:pPr>
            <w:r>
              <w:rPr>
                <w:rFonts w:ascii="Verdana" w:hAnsi="Verdana"/>
                <w:bCs/>
                <w:i/>
                <w:noProof/>
                <w:color w:val="000000"/>
                <w:sz w:val="16"/>
                <w:szCs w:val="16"/>
              </w:rPr>
              <w:t>100%</w:t>
            </w:r>
          </w:p>
        </w:tc>
      </w:tr>
      <w:tr w:rsidR="008C2902">
        <w:trPr>
          <w:trHeight w:val="227"/>
        </w:trPr>
        <w:tc>
          <w:tcPr>
            <w:tcW w:w="907" w:type="pct"/>
            <w:tcBorders>
              <w:top w:val="nil"/>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Other</w:t>
            </w:r>
          </w:p>
        </w:tc>
        <w:tc>
          <w:tcPr>
            <w:tcW w:w="411"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412"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418"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552"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noProof/>
                <w:color w:val="000000"/>
                <w:sz w:val="16"/>
                <w:szCs w:val="16"/>
                <w:lang w:eastAsia="en-GB"/>
              </w:rPr>
              <w:t>N/A</w:t>
            </w:r>
          </w:p>
        </w:tc>
        <w:tc>
          <w:tcPr>
            <w:tcW w:w="586" w:type="pct"/>
            <w:tcBorders>
              <w:top w:val="nil"/>
              <w:left w:val="nil"/>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9</w:t>
            </w:r>
          </w:p>
        </w:tc>
        <w:tc>
          <w:tcPr>
            <w:tcW w:w="548"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100.0%</w:t>
            </w:r>
          </w:p>
        </w:tc>
        <w:tc>
          <w:tcPr>
            <w:tcW w:w="594"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4</w:t>
            </w:r>
          </w:p>
        </w:tc>
        <w:tc>
          <w:tcPr>
            <w:tcW w:w="572" w:type="pct"/>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b/>
                <w:bCs/>
                <w:i/>
                <w:noProof/>
                <w:color w:val="000000"/>
                <w:sz w:val="16"/>
                <w:szCs w:val="16"/>
              </w:rPr>
            </w:pPr>
            <w:r>
              <w:rPr>
                <w:rFonts w:ascii="Verdana" w:hAnsi="Verdana"/>
                <w:b/>
                <w:bCs/>
                <w:i/>
                <w:noProof/>
                <w:color w:val="000000"/>
                <w:sz w:val="16"/>
                <w:szCs w:val="16"/>
              </w:rPr>
              <w:t>100%</w:t>
            </w:r>
          </w:p>
        </w:tc>
      </w:tr>
      <w:tr w:rsidR="008C2902">
        <w:trPr>
          <w:trHeight w:val="270"/>
        </w:trPr>
        <w:tc>
          <w:tcPr>
            <w:tcW w:w="90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411"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2 723</w:t>
            </w:r>
          </w:p>
        </w:tc>
        <w:tc>
          <w:tcPr>
            <w:tcW w:w="412"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8 563</w:t>
            </w:r>
          </w:p>
        </w:tc>
        <w:tc>
          <w:tcPr>
            <w:tcW w:w="418" w:type="pct"/>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3 623</w:t>
            </w:r>
          </w:p>
        </w:tc>
        <w:tc>
          <w:tcPr>
            <w:tcW w:w="552" w:type="pct"/>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10 808</w:t>
            </w:r>
          </w:p>
        </w:tc>
        <w:tc>
          <w:tcPr>
            <w:tcW w:w="586" w:type="pct"/>
            <w:tcBorders>
              <w:top w:val="nil"/>
              <w:left w:val="nil"/>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25 726</w:t>
            </w:r>
          </w:p>
        </w:tc>
        <w:tc>
          <w:tcPr>
            <w:tcW w:w="548" w:type="pct"/>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88.0%</w:t>
            </w:r>
          </w:p>
        </w:tc>
        <w:tc>
          <w:tcPr>
            <w:tcW w:w="594" w:type="pct"/>
            <w:tcBorders>
              <w:top w:val="single" w:sz="8" w:space="0" w:color="auto"/>
              <w:left w:val="nil"/>
              <w:bottom w:val="single" w:sz="8" w:space="0" w:color="auto"/>
              <w:right w:val="single" w:sz="8" w:space="0" w:color="auto"/>
            </w:tcBorders>
            <w:shd w:val="clear" w:color="auto" w:fill="auto"/>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21 827</w:t>
            </w:r>
          </w:p>
        </w:tc>
        <w:tc>
          <w:tcPr>
            <w:tcW w:w="572" w:type="pct"/>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jc w:val="right"/>
              <w:rPr>
                <w:rFonts w:ascii="Verdana" w:hAnsi="Verdana"/>
                <w:b/>
                <w:bCs/>
                <w:i/>
                <w:noProof/>
                <w:color w:val="000000"/>
                <w:sz w:val="16"/>
                <w:szCs w:val="16"/>
              </w:rPr>
            </w:pPr>
            <w:r>
              <w:rPr>
                <w:rFonts w:ascii="Verdana" w:hAnsi="Verdana"/>
                <w:b/>
                <w:bCs/>
                <w:i/>
                <w:noProof/>
                <w:color w:val="000000"/>
                <w:sz w:val="16"/>
                <w:szCs w:val="16"/>
              </w:rPr>
              <w:t>91.9%</w:t>
            </w:r>
          </w:p>
        </w:tc>
      </w:tr>
    </w:tbl>
    <w:p w:rsidR="008C2902" w:rsidRDefault="00AD2EC1">
      <w:pPr>
        <w:spacing w:before="60" w:after="240" w:line="240" w:lineRule="auto"/>
        <w:jc w:val="both"/>
        <w:rPr>
          <w:rFonts w:ascii="Verdana" w:hAnsi="Verdana" w:cs="Arial"/>
          <w:bCs/>
          <w:i/>
          <w:noProof/>
          <w:sz w:val="16"/>
        </w:rPr>
      </w:pPr>
      <w:r>
        <w:rPr>
          <w:rFonts w:ascii="Verdana" w:hAnsi="Verdana" w:cs="Arial"/>
          <w:bCs/>
          <w:i/>
          <w:noProof/>
          <w:sz w:val="16"/>
        </w:rPr>
        <w:t xml:space="preserve">* In 2015 the Court of Justice decided in favour of the beneficiary Member States for a number of legal cases (EUR 0.5 billion) relating to ERDF financial corrections implemented in 2008/10 (see section </w:t>
      </w:r>
      <w:r>
        <w:rPr>
          <w:rFonts w:ascii="Verdana" w:hAnsi="Verdana" w:cs="Arial"/>
          <w:b/>
          <w:bCs/>
          <w:i/>
          <w:noProof/>
          <w:sz w:val="16"/>
        </w:rPr>
        <w:t>4.1.2.</w:t>
      </w:r>
      <w:r>
        <w:rPr>
          <w:rFonts w:ascii="Verdana" w:hAnsi="Verdana" w:cs="Arial"/>
          <w:bCs/>
          <w:i/>
          <w:noProof/>
          <w:sz w:val="16"/>
        </w:rPr>
        <w:t>).</w:t>
      </w:r>
    </w:p>
    <w:p w:rsidR="008C2902" w:rsidRDefault="00AD2EC1">
      <w:pPr>
        <w:spacing w:after="120" w:line="240" w:lineRule="auto"/>
        <w:jc w:val="both"/>
        <w:rPr>
          <w:rFonts w:ascii="Verdana" w:hAnsi="Verdana"/>
          <w:i/>
          <w:noProof/>
          <w:sz w:val="20"/>
        </w:rPr>
      </w:pPr>
      <w:r>
        <w:rPr>
          <w:rFonts w:ascii="Verdana" w:hAnsi="Verdana" w:cs="Arial"/>
          <w:bCs/>
          <w:noProof/>
          <w:sz w:val="20"/>
        </w:rPr>
        <w:t xml:space="preserve">The different programming periods in Cohesion policy clearly show the multi-annual nature of the EU budget cycle. Since the 2000-2006 period is approaching the end of the closure process, the amount of financial corrections is considerably higher, especially when compared to the 2007-2013 period. Financial corrections for this more recent period are </w:t>
      </w:r>
      <w:r>
        <w:rPr>
          <w:rFonts w:ascii="Verdana" w:hAnsi="Verdana" w:cs="Arial"/>
          <w:bCs/>
          <w:noProof/>
          <w:sz w:val="20"/>
        </w:rPr>
        <w:lastRenderedPageBreak/>
        <w:t xml:space="preserve">expected to continue to increase in the coming years as its programmes start to close (some are reaching the 95 % payment threshold) but should be of a lower significance compared to the previous programming period due to the success of preventive measures. </w:t>
      </w:r>
    </w:p>
    <w:p w:rsidR="008C2902" w:rsidRDefault="00AD2EC1">
      <w:pPr>
        <w:spacing w:after="120"/>
        <w:jc w:val="both"/>
        <w:rPr>
          <w:rFonts w:ascii="Verdana" w:hAnsi="Verdana"/>
          <w:i/>
          <w:noProof/>
          <w:sz w:val="20"/>
        </w:rPr>
      </w:pPr>
      <w:r>
        <w:rPr>
          <w:rFonts w:ascii="Verdana" w:hAnsi="Verdana"/>
          <w:i/>
          <w:noProof/>
          <w:sz w:val="20"/>
        </w:rPr>
        <w:t>4.2.2.</w:t>
      </w:r>
      <w:r>
        <w:rPr>
          <w:rFonts w:ascii="Verdana" w:hAnsi="Verdana"/>
          <w:i/>
          <w:noProof/>
          <w:sz w:val="20"/>
        </w:rPr>
        <w:tab/>
        <w:t>Agriculture – EAGF: financial corrections under the conformity clearance procedure</w:t>
      </w:r>
    </w:p>
    <w:p w:rsidR="008C2902" w:rsidRDefault="00AD2EC1">
      <w:pPr>
        <w:autoSpaceDE w:val="0"/>
        <w:autoSpaceDN w:val="0"/>
        <w:adjustRightInd w:val="0"/>
        <w:spacing w:after="240" w:line="240" w:lineRule="auto"/>
        <w:jc w:val="both"/>
        <w:rPr>
          <w:rFonts w:ascii="Verdana" w:hAnsi="Verdana"/>
          <w:noProof/>
          <w:sz w:val="20"/>
        </w:rPr>
      </w:pPr>
      <w:r>
        <w:rPr>
          <w:rFonts w:ascii="Verdana" w:hAnsi="Verdana"/>
          <w:noProof/>
          <w:sz w:val="20"/>
        </w:rPr>
        <w:t xml:space="preserve">Concerning </w:t>
      </w:r>
      <w:r>
        <w:rPr>
          <w:rFonts w:ascii="Verdana" w:hAnsi="Verdana"/>
          <w:b/>
          <w:noProof/>
          <w:sz w:val="20"/>
        </w:rPr>
        <w:t>EAGF</w:t>
      </w:r>
      <w:r>
        <w:rPr>
          <w:rFonts w:ascii="Verdana" w:hAnsi="Verdana"/>
          <w:noProof/>
          <w:sz w:val="20"/>
        </w:rPr>
        <w:t xml:space="preserve">, the amount of financial corrections decided by the Commission since 1999 totals EUR 10 808 million (from 47 decisions adopted). The average correction rate per financial year for the period 1999-2014 has been </w:t>
      </w:r>
      <w:r>
        <w:rPr>
          <w:rFonts w:ascii="Verdana" w:hAnsi="Verdana"/>
          <w:b/>
          <w:noProof/>
          <w:sz w:val="20"/>
        </w:rPr>
        <w:t>1.7 %</w:t>
      </w:r>
      <w:r>
        <w:rPr>
          <w:rFonts w:ascii="Verdana" w:hAnsi="Verdana"/>
          <w:noProof/>
          <w:sz w:val="20"/>
        </w:rPr>
        <w:t xml:space="preserve"> of expenditure. Once decided by the Commission, the corrections are automatically implemented unless a Member State has been granted the possibility of paying in three annual instalments.</w:t>
      </w:r>
    </w:p>
    <w:p w:rsidR="008C2902" w:rsidRDefault="00AD2EC1">
      <w:pPr>
        <w:spacing w:after="0" w:line="240" w:lineRule="auto"/>
        <w:jc w:val="both"/>
        <w:rPr>
          <w:rFonts w:ascii="Verdana" w:hAnsi="Verdana"/>
          <w:b/>
          <w:i/>
          <w:noProof/>
          <w:sz w:val="20"/>
        </w:rPr>
      </w:pPr>
      <w:r>
        <w:rPr>
          <w:rFonts w:ascii="Verdana" w:hAnsi="Verdana"/>
          <w:b/>
          <w:i/>
          <w:noProof/>
          <w:sz w:val="20"/>
        </w:rPr>
        <w:t>Table 4.2.2: EAGF: Cumulative financial corrections decided under conformity clearance of accounts from 1999 to end 2014; Breakdown by Member State</w:t>
      </w:r>
    </w:p>
    <w:p w:rsidR="008C2902" w:rsidRDefault="008C2902">
      <w:pPr>
        <w:spacing w:after="0" w:line="240" w:lineRule="auto"/>
        <w:jc w:val="both"/>
        <w:rPr>
          <w:rFonts w:ascii="Verdana" w:hAnsi="Verdana"/>
          <w:b/>
          <w:i/>
          <w:noProof/>
          <w:sz w:val="20"/>
        </w:rPr>
      </w:pPr>
    </w:p>
    <w:tbl>
      <w:tblPr>
        <w:tblW w:w="9214" w:type="dxa"/>
        <w:tblInd w:w="108" w:type="dxa"/>
        <w:tblLook w:val="04A0" w:firstRow="1" w:lastRow="0" w:firstColumn="1" w:lastColumn="0" w:noHBand="0" w:noVBand="1"/>
      </w:tblPr>
      <w:tblGrid>
        <w:gridCol w:w="1985"/>
        <w:gridCol w:w="1417"/>
        <w:gridCol w:w="1418"/>
        <w:gridCol w:w="1417"/>
        <w:gridCol w:w="1418"/>
        <w:gridCol w:w="1559"/>
      </w:tblGrid>
      <w:tr w:rsidR="008C2902">
        <w:trPr>
          <w:trHeight w:val="270"/>
        </w:trPr>
        <w:tc>
          <w:tcPr>
            <w:tcW w:w="9214" w:type="dxa"/>
            <w:gridSpan w:val="6"/>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999"/>
        </w:trPr>
        <w:tc>
          <w:tcPr>
            <w:tcW w:w="1985" w:type="dxa"/>
            <w:tcBorders>
              <w:top w:val="nil"/>
              <w:left w:val="single" w:sz="8" w:space="0" w:color="auto"/>
              <w:bottom w:val="single" w:sz="8" w:space="0" w:color="auto"/>
              <w:right w:val="nil"/>
            </w:tcBorders>
            <w:shd w:val="clear" w:color="000000" w:fill="99CCFF"/>
            <w:vAlign w:val="center"/>
            <w:hideMark/>
          </w:tcPr>
          <w:p w:rsidR="008C2902" w:rsidRDefault="00AD2EC1">
            <w:pPr>
              <w:spacing w:after="0" w:line="240" w:lineRule="auto"/>
              <w:jc w:val="both"/>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Member State</w:t>
            </w:r>
          </w:p>
        </w:tc>
        <w:tc>
          <w:tcPr>
            <w:tcW w:w="1417"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EAGF payments received from EU budget</w:t>
            </w:r>
          </w:p>
        </w:tc>
        <w:tc>
          <w:tcPr>
            <w:tcW w:w="1418"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 of payments received as compared to total payments</w:t>
            </w:r>
          </w:p>
        </w:tc>
        <w:tc>
          <w:tcPr>
            <w:tcW w:w="1417"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Cumulated EAGF financial corrections at end 2014</w:t>
            </w:r>
          </w:p>
        </w:tc>
        <w:tc>
          <w:tcPr>
            <w:tcW w:w="1418"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 as compared to payments received from EU budget</w:t>
            </w:r>
          </w:p>
        </w:tc>
        <w:tc>
          <w:tcPr>
            <w:tcW w:w="1559"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 as compared to total amount of financial corrections</w:t>
            </w:r>
          </w:p>
        </w:tc>
      </w:tr>
      <w:tr w:rsidR="008C2902">
        <w:trPr>
          <w:trHeight w:val="18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12 243</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1.9%</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43</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0.4%</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0.4%</w:t>
            </w:r>
          </w:p>
        </w:tc>
      </w:tr>
      <w:tr w:rsidR="008C2902">
        <w:trPr>
          <w:trHeight w:val="9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2 583</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69</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2.7%</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0.6%</w:t>
            </w:r>
          </w:p>
        </w:tc>
      </w:tr>
      <w:tr w:rsidR="008C2902">
        <w:trPr>
          <w:trHeight w:val="15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5 636</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8</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r>
      <w:tr w:rsidR="008C2902">
        <w:trPr>
          <w:trHeight w:val="227"/>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17 282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2.7%</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192</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1.8%</w:t>
            </w:r>
          </w:p>
        </w:tc>
      </w:tr>
      <w:tr w:rsidR="008C2902">
        <w:trPr>
          <w:trHeight w:val="131"/>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87 523</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13.4%</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198</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0.2%</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1.8%</w:t>
            </w:r>
          </w:p>
        </w:tc>
      </w:tr>
      <w:tr w:rsidR="008C2902">
        <w:trPr>
          <w:trHeight w:val="20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624</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val="12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19 570</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3.0%</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49</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0.3%</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val="169"/>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39 372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6.0%</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2 389</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6.1%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22.1%</w:t>
            </w:r>
          </w:p>
        </w:tc>
      </w:tr>
      <w:tr w:rsidR="008C2902">
        <w:trPr>
          <w:trHeight w:val="229"/>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87 622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13.5%</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1 496</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1.7%</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13.8%</w:t>
            </w:r>
          </w:p>
        </w:tc>
      </w:tr>
      <w:tr w:rsidR="008C2902">
        <w:trPr>
          <w:trHeight w:val="147"/>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138 554</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21.3%</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2 519</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1.8%</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23.3%</w:t>
            </w:r>
          </w:p>
        </w:tc>
      </w:tr>
      <w:tr w:rsidR="008C2902">
        <w:trPr>
          <w:trHeight w:val="6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7 687</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1.2%</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N/A</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N/A</w:t>
            </w:r>
          </w:p>
        </w:tc>
      </w:tr>
      <w:tr w:rsidR="008C2902">
        <w:trPr>
          <w:trHeight w:val="12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73 157</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11.2%</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1 874</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2.6%</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17.3%</w:t>
            </w:r>
          </w:p>
        </w:tc>
      </w:tr>
      <w:tr w:rsidR="008C2902">
        <w:trPr>
          <w:trHeight w:val="186"/>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395</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10</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2.4%</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r>
      <w:tr w:rsidR="008C2902">
        <w:trPr>
          <w:trHeight w:val="6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897</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0</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val="16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2 474</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18</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0.7%</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0.2%</w:t>
            </w:r>
          </w:p>
        </w:tc>
      </w:tr>
      <w:tr w:rsidR="008C2902">
        <w:trPr>
          <w:trHeight w:val="22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471</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5</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val="141"/>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8 614</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57</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0.7%</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0.5%</w:t>
            </w:r>
          </w:p>
        </w:tc>
      </w:tr>
      <w:tr w:rsidR="008C2902">
        <w:trPr>
          <w:trHeight w:val="202"/>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0</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0.9%</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val="119"/>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17 214</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2.6%</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183</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1.7%</w:t>
            </w:r>
          </w:p>
        </w:tc>
      </w:tr>
      <w:tr w:rsidR="008C2902">
        <w:trPr>
          <w:trHeight w:val="179"/>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11 173</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1.7%</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12</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r>
      <w:tr w:rsidR="008C2902">
        <w:trPr>
          <w:trHeight w:val="97"/>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19 972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92</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0.5%</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0.9%</w:t>
            </w:r>
          </w:p>
        </w:tc>
      </w:tr>
      <w:tr w:rsidR="008C2902">
        <w:trPr>
          <w:trHeight w:val="157"/>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11 013</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1.7%</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207</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1.9%</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1.9%</w:t>
            </w:r>
          </w:p>
        </w:tc>
      </w:tr>
      <w:tr w:rsidR="008C2902">
        <w:trPr>
          <w:trHeight w:val="218"/>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6 117</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196</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3.2%</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1.8%</w:t>
            </w:r>
          </w:p>
        </w:tc>
      </w:tr>
      <w:tr w:rsidR="008C2902">
        <w:trPr>
          <w:trHeight w:val="13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766</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20</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2.6%</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0.2%</w:t>
            </w:r>
          </w:p>
        </w:tc>
      </w:tr>
      <w:tr w:rsidR="008C2902">
        <w:trPr>
          <w:trHeight w:val="63"/>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2 458</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0.1%</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0.0%</w:t>
            </w:r>
          </w:p>
        </w:tc>
      </w:tr>
      <w:tr w:rsidR="008C2902">
        <w:trPr>
          <w:trHeight w:val="25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8 440</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31</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0.4%</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0.3%</w:t>
            </w:r>
          </w:p>
        </w:tc>
      </w:tr>
      <w:tr w:rsidR="008C2902">
        <w:trPr>
          <w:trHeight w:val="145"/>
        </w:trPr>
        <w:tc>
          <w:tcPr>
            <w:tcW w:w="198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11 235</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1.7%</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117</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1.0%</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1.1%</w:t>
            </w:r>
          </w:p>
        </w:tc>
      </w:tr>
      <w:tr w:rsidR="008C2902">
        <w:trPr>
          <w:trHeight w:val="142"/>
        </w:trPr>
        <w:tc>
          <w:tcPr>
            <w:tcW w:w="198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contextualSpacing/>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1417"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58 272</w:t>
            </w:r>
          </w:p>
        </w:tc>
        <w:tc>
          <w:tcPr>
            <w:tcW w:w="1418"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8.9%</w:t>
            </w:r>
          </w:p>
        </w:tc>
        <w:tc>
          <w:tcPr>
            <w:tcW w:w="1417"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1 018</w:t>
            </w:r>
          </w:p>
        </w:tc>
        <w:tc>
          <w:tcPr>
            <w:tcW w:w="1418" w:type="dxa"/>
            <w:tcBorders>
              <w:top w:val="nil"/>
              <w:left w:val="nil"/>
              <w:bottom w:val="nil"/>
              <w:right w:val="single" w:sz="8" w:space="0" w:color="auto"/>
            </w:tcBorders>
            <w:shd w:val="clear" w:color="auto" w:fill="auto"/>
            <w:noWrap/>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1.7%</w:t>
            </w:r>
          </w:p>
        </w:tc>
        <w:tc>
          <w:tcPr>
            <w:tcW w:w="1559" w:type="dxa"/>
            <w:tcBorders>
              <w:top w:val="nil"/>
              <w:left w:val="nil"/>
              <w:bottom w:val="nil"/>
              <w:right w:val="single" w:sz="8" w:space="0" w:color="auto"/>
            </w:tcBorders>
            <w:shd w:val="clear" w:color="auto" w:fill="auto"/>
            <w:vAlign w:val="center"/>
            <w:hideMark/>
          </w:tcPr>
          <w:p w:rsidR="008C2902" w:rsidRDefault="00AD2EC1">
            <w:pPr>
              <w:spacing w:after="0"/>
              <w:jc w:val="right"/>
              <w:rPr>
                <w:rFonts w:ascii="Verdana" w:hAnsi="Verdana"/>
                <w:i/>
                <w:iCs/>
                <w:noProof/>
                <w:color w:val="000000"/>
                <w:sz w:val="16"/>
                <w:szCs w:val="16"/>
              </w:rPr>
            </w:pPr>
            <w:r>
              <w:rPr>
                <w:rFonts w:ascii="Verdana" w:hAnsi="Verdana"/>
                <w:i/>
                <w:iCs/>
                <w:noProof/>
                <w:color w:val="000000"/>
                <w:sz w:val="16"/>
                <w:szCs w:val="16"/>
              </w:rPr>
              <w:t>9.4%</w:t>
            </w:r>
          </w:p>
        </w:tc>
      </w:tr>
      <w:tr w:rsidR="008C2902">
        <w:trPr>
          <w:trHeight w:val="300"/>
        </w:trPr>
        <w:tc>
          <w:tcPr>
            <w:tcW w:w="198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417" w:type="dxa"/>
            <w:tcBorders>
              <w:top w:val="single" w:sz="8" w:space="0" w:color="000000"/>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651 394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100.0%</w:t>
            </w:r>
          </w:p>
        </w:tc>
        <w:tc>
          <w:tcPr>
            <w:tcW w:w="1417" w:type="dxa"/>
            <w:tcBorders>
              <w:top w:val="single" w:sz="8" w:space="0" w:color="000000"/>
              <w:left w:val="nil"/>
              <w:bottom w:val="single" w:sz="8" w:space="0" w:color="auto"/>
              <w:right w:val="single" w:sz="8" w:space="0" w:color="auto"/>
            </w:tcBorders>
            <w:shd w:val="clear" w:color="auto" w:fill="auto"/>
            <w:noWrap/>
            <w:vAlign w:val="center"/>
            <w:hideMark/>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10 808</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1.7%</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jc w:val="right"/>
              <w:rPr>
                <w:rFonts w:ascii="Verdana" w:hAnsi="Verdana"/>
                <w:b/>
                <w:bCs/>
                <w:i/>
                <w:iCs/>
                <w:noProof/>
                <w:color w:val="000000"/>
                <w:sz w:val="16"/>
                <w:szCs w:val="16"/>
              </w:rPr>
            </w:pPr>
            <w:r>
              <w:rPr>
                <w:rFonts w:ascii="Verdana" w:hAnsi="Verdana"/>
                <w:b/>
                <w:bCs/>
                <w:i/>
                <w:iCs/>
                <w:noProof/>
                <w:color w:val="000000"/>
                <w:sz w:val="16"/>
                <w:szCs w:val="16"/>
              </w:rPr>
              <w:t>100.0%</w:t>
            </w:r>
          </w:p>
        </w:tc>
      </w:tr>
    </w:tbl>
    <w:p w:rsidR="008C2902" w:rsidRDefault="008C2902">
      <w:pPr>
        <w:spacing w:before="240" w:after="240" w:line="240" w:lineRule="auto"/>
        <w:jc w:val="both"/>
        <w:rPr>
          <w:rFonts w:ascii="Verdana" w:hAnsi="Verdana"/>
          <w:noProof/>
          <w:sz w:val="20"/>
        </w:rPr>
      </w:pPr>
    </w:p>
    <w:p w:rsidR="008C2902" w:rsidRDefault="00AD2EC1">
      <w:pPr>
        <w:spacing w:after="0" w:line="240" w:lineRule="auto"/>
        <w:rPr>
          <w:rFonts w:ascii="Verdana" w:hAnsi="Verdana"/>
          <w:b/>
          <w:i/>
          <w:noProof/>
          <w:sz w:val="20"/>
        </w:rPr>
      </w:pPr>
      <w:r>
        <w:rPr>
          <w:rFonts w:ascii="Verdana" w:hAnsi="Verdana"/>
          <w:b/>
          <w:i/>
          <w:noProof/>
          <w:sz w:val="20"/>
        </w:rPr>
        <w:br w:type="page"/>
      </w:r>
    </w:p>
    <w:p w:rsidR="008C2902" w:rsidRDefault="00AD2EC1">
      <w:pPr>
        <w:spacing w:after="240" w:line="240" w:lineRule="auto"/>
        <w:jc w:val="both"/>
        <w:rPr>
          <w:rFonts w:ascii="Verdana" w:hAnsi="Verdana"/>
          <w:b/>
          <w:i/>
          <w:noProof/>
          <w:sz w:val="20"/>
        </w:rPr>
      </w:pPr>
      <w:r>
        <w:rPr>
          <w:rFonts w:ascii="Verdana" w:hAnsi="Verdana"/>
          <w:b/>
          <w:i/>
          <w:noProof/>
          <w:sz w:val="20"/>
        </w:rPr>
        <w:lastRenderedPageBreak/>
        <w:t>Graph 4.2.2: EAGF: Member States’ cumulative financial corrections under conformity clearance of accounts from 1999 to end 2014 as compared to payments received from the EU Budget</w:t>
      </w:r>
    </w:p>
    <w:p w:rsidR="008C2902" w:rsidRDefault="00AD2EC1">
      <w:pPr>
        <w:spacing w:after="240" w:line="240" w:lineRule="auto"/>
        <w:jc w:val="both"/>
        <w:rPr>
          <w:rFonts w:ascii="Verdana" w:hAnsi="Verdana"/>
          <w:b/>
          <w:i/>
          <w:noProof/>
          <w:sz w:val="20"/>
        </w:rPr>
      </w:pPr>
      <w:r>
        <w:rPr>
          <w:noProof/>
          <w:lang w:eastAsia="en-GB"/>
        </w:rPr>
        <w:drawing>
          <wp:inline distT="0" distB="0" distL="0" distR="0">
            <wp:extent cx="5838825" cy="3220720"/>
            <wp:effectExtent l="0" t="0" r="9525" b="1778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2902" w:rsidRDefault="008C2902">
      <w:pPr>
        <w:spacing w:after="240" w:line="240" w:lineRule="auto"/>
        <w:jc w:val="both"/>
        <w:rPr>
          <w:rFonts w:ascii="Verdana" w:hAnsi="Verdana"/>
          <w:b/>
          <w:i/>
          <w:noProof/>
          <w:sz w:val="20"/>
        </w:rPr>
      </w:pPr>
    </w:p>
    <w:p w:rsidR="008C2902" w:rsidRDefault="00AD2EC1">
      <w:pPr>
        <w:spacing w:before="240" w:after="120"/>
        <w:jc w:val="both"/>
        <w:rPr>
          <w:rFonts w:ascii="Verdana" w:hAnsi="Verdana"/>
          <w:i/>
          <w:noProof/>
          <w:sz w:val="20"/>
        </w:rPr>
      </w:pPr>
      <w:r>
        <w:rPr>
          <w:rFonts w:ascii="Verdana" w:hAnsi="Verdana"/>
          <w:i/>
          <w:noProof/>
          <w:sz w:val="20"/>
        </w:rPr>
        <w:t>4.2.3.</w:t>
      </w:r>
      <w:r>
        <w:rPr>
          <w:rFonts w:ascii="Verdana" w:hAnsi="Verdana"/>
          <w:i/>
          <w:noProof/>
          <w:sz w:val="20"/>
        </w:rPr>
        <w:tab/>
        <w:t>Cohesion Policy: ERDF &amp; ESF 2000-2006</w:t>
      </w:r>
    </w:p>
    <w:p w:rsidR="008C2902" w:rsidRDefault="00AD2EC1">
      <w:pPr>
        <w:spacing w:before="240" w:after="120" w:line="240" w:lineRule="auto"/>
        <w:jc w:val="both"/>
        <w:rPr>
          <w:rFonts w:ascii="Verdana" w:hAnsi="Verdana"/>
          <w:i/>
          <w:noProof/>
          <w:sz w:val="20"/>
        </w:rPr>
      </w:pPr>
      <w:r>
        <w:rPr>
          <w:rFonts w:ascii="Verdana" w:hAnsi="Verdana"/>
          <w:noProof/>
          <w:sz w:val="20"/>
        </w:rPr>
        <w:t>As the closure of the 2000-2006 period is in the completion stage, a useful comparison of the overall results of the corrective actions with the total monies spent can be made and thus a more complete view of the impact of corrective mechanisms is possible</w:t>
      </w:r>
      <w:r>
        <w:rPr>
          <w:rStyle w:val="FootnoteReference"/>
          <w:rFonts w:ascii="Verdana" w:hAnsi="Verdana"/>
          <w:noProof/>
          <w:sz w:val="20"/>
        </w:rPr>
        <w:footnoteReference w:id="13"/>
      </w:r>
      <w:r>
        <w:rPr>
          <w:rFonts w:ascii="Verdana" w:hAnsi="Verdana"/>
          <w:noProof/>
          <w:sz w:val="20"/>
        </w:rPr>
        <w:t>. For the ERDF and ESF funds at the end of 2014, the combined amount of financial corrections, based on Commission supervision work only, was EUR 8.2 billion. This corresponds to about 4.1 % of the allocations (EUR 196.9 billion) at end 2014. The correction rate increases to above 4.6 % when considering the additional financial corrections reported by Member States and related to their own control activities.</w:t>
      </w:r>
    </w:p>
    <w:p w:rsidR="008C2902" w:rsidRDefault="00AD2EC1">
      <w:pPr>
        <w:rPr>
          <w:noProof/>
        </w:rPr>
      </w:pPr>
      <w:r>
        <w:rPr>
          <w:noProof/>
        </w:rPr>
        <w:br w:type="page"/>
      </w:r>
    </w:p>
    <w:tbl>
      <w:tblPr>
        <w:tblW w:w="9606" w:type="dxa"/>
        <w:tblInd w:w="-34" w:type="dxa"/>
        <w:tblLook w:val="04A0" w:firstRow="1" w:lastRow="0" w:firstColumn="1" w:lastColumn="0" w:noHBand="0" w:noVBand="1"/>
      </w:tblPr>
      <w:tblGrid>
        <w:gridCol w:w="9606"/>
      </w:tblGrid>
      <w:tr w:rsidR="008C2902">
        <w:trPr>
          <w:trHeight w:val="255"/>
        </w:trPr>
        <w:tc>
          <w:tcPr>
            <w:tcW w:w="9606" w:type="dxa"/>
            <w:tcBorders>
              <w:top w:val="nil"/>
              <w:left w:val="nil"/>
              <w:bottom w:val="nil"/>
              <w:right w:val="nil"/>
            </w:tcBorders>
            <w:shd w:val="clear" w:color="auto" w:fill="auto"/>
            <w:noWrap/>
            <w:vAlign w:val="center"/>
            <w:hideMark/>
          </w:tcPr>
          <w:tbl>
            <w:tblPr>
              <w:tblW w:w="9390" w:type="dxa"/>
              <w:tblLook w:val="04A0" w:firstRow="1" w:lastRow="0" w:firstColumn="1" w:lastColumn="0" w:noHBand="0" w:noVBand="1"/>
            </w:tblPr>
            <w:tblGrid>
              <w:gridCol w:w="1735"/>
              <w:gridCol w:w="1134"/>
              <w:gridCol w:w="1134"/>
              <w:gridCol w:w="1276"/>
              <w:gridCol w:w="992"/>
              <w:gridCol w:w="993"/>
              <w:gridCol w:w="1134"/>
              <w:gridCol w:w="992"/>
            </w:tblGrid>
            <w:tr w:rsidR="008C2902">
              <w:trPr>
                <w:trHeight w:val="255"/>
              </w:trPr>
              <w:tc>
                <w:tcPr>
                  <w:tcW w:w="9390" w:type="dxa"/>
                  <w:gridSpan w:val="8"/>
                  <w:tcBorders>
                    <w:top w:val="nil"/>
                    <w:left w:val="nil"/>
                    <w:bottom w:val="nil"/>
                    <w:right w:val="nil"/>
                  </w:tcBorders>
                  <w:shd w:val="clear" w:color="auto" w:fill="auto"/>
                  <w:noWrap/>
                  <w:vAlign w:val="center"/>
                  <w:hideMark/>
                </w:tcPr>
                <w:p w:rsidR="008C2902" w:rsidRDefault="00AD2EC1">
                  <w:pPr>
                    <w:spacing w:after="0" w:line="240" w:lineRule="auto"/>
                    <w:jc w:val="both"/>
                    <w:rPr>
                      <w:rFonts w:ascii="Verdana" w:eastAsia="Times New Roman" w:hAnsi="Verdana"/>
                      <w:b/>
                      <w:bCs/>
                      <w:i/>
                      <w:iCs/>
                      <w:noProof/>
                      <w:color w:val="000000"/>
                      <w:sz w:val="20"/>
                      <w:szCs w:val="20"/>
                      <w:lang w:eastAsia="en-GB"/>
                    </w:rPr>
                  </w:pPr>
                  <w:r>
                    <w:rPr>
                      <w:rFonts w:ascii="Verdana" w:eastAsia="Times New Roman" w:hAnsi="Verdana"/>
                      <w:b/>
                      <w:bCs/>
                      <w:i/>
                      <w:iCs/>
                      <w:noProof/>
                      <w:color w:val="000000"/>
                      <w:sz w:val="20"/>
                      <w:szCs w:val="20"/>
                      <w:lang w:eastAsia="en-GB"/>
                    </w:rPr>
                    <w:lastRenderedPageBreak/>
                    <w:t>Table 4.2.3: Programming period 2000-2006 - ERDF &amp; ESF Financial corrections confirmed and in progress at 31 December 2014; Breakdown by Member State</w:t>
                  </w:r>
                </w:p>
              </w:tc>
            </w:tr>
            <w:tr w:rsidR="008C2902">
              <w:trPr>
                <w:trHeight w:val="270"/>
              </w:trPr>
              <w:tc>
                <w:tcPr>
                  <w:tcW w:w="9390" w:type="dxa"/>
                  <w:gridSpan w:val="8"/>
                  <w:tcBorders>
                    <w:top w:val="nil"/>
                    <w:left w:val="nil"/>
                    <w:bottom w:val="single" w:sz="8" w:space="0" w:color="auto"/>
                    <w:right w:val="nil"/>
                  </w:tcBorders>
                  <w:shd w:val="clear" w:color="auto" w:fill="auto"/>
                  <w:noWrap/>
                  <w:vAlign w:val="bottom"/>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1499"/>
              </w:trPr>
              <w:tc>
                <w:tcPr>
                  <w:tcW w:w="1735" w:type="dxa"/>
                  <w:tcBorders>
                    <w:top w:val="nil"/>
                    <w:left w:val="single" w:sz="8"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Member State</w:t>
                  </w:r>
                </w:p>
              </w:tc>
              <w:tc>
                <w:tcPr>
                  <w:tcW w:w="1134"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ERDF+ESF contribution amount</w:t>
                  </w:r>
                </w:p>
              </w:tc>
              <w:tc>
                <w:tcPr>
                  <w:tcW w:w="1134"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 of contribution amount to total contributions</w:t>
                  </w:r>
                </w:p>
              </w:tc>
              <w:tc>
                <w:tcPr>
                  <w:tcW w:w="1276"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confirmed</w:t>
                  </w:r>
                </w:p>
              </w:tc>
              <w:tc>
                <w:tcPr>
                  <w:tcW w:w="992" w:type="dxa"/>
                  <w:tcBorders>
                    <w:top w:val="nil"/>
                    <w:left w:val="nil"/>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in progress (closure letters sent)</w:t>
                  </w:r>
                </w:p>
              </w:tc>
              <w:tc>
                <w:tcPr>
                  <w:tcW w:w="993" w:type="dxa"/>
                  <w:tcBorders>
                    <w:top w:val="nil"/>
                    <w:left w:val="single" w:sz="8"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Total financial corrections imposed for 2000-2006</w:t>
                  </w:r>
                </w:p>
              </w:tc>
              <w:tc>
                <w:tcPr>
                  <w:tcW w:w="1134"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Percentage of financial corrections in relation to the ERDF+ESF contributions</w:t>
                  </w:r>
                </w:p>
              </w:tc>
              <w:tc>
                <w:tcPr>
                  <w:tcW w:w="992"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Share of financial corrections imposed compared to total financial corrections</w:t>
                  </w:r>
                </w:p>
              </w:tc>
            </w:tr>
            <w:tr w:rsidR="008C2902">
              <w:trPr>
                <w:trHeight w:val="122"/>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1 945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20</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1.0%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0.2%</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1 456</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0.1%</w:t>
                  </w:r>
                </w:p>
              </w:tc>
            </w:tr>
            <w:tr w:rsidR="008C2902">
              <w:trPr>
                <w:trHeight w:val="174"/>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570</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0.3%</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0.1%</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0.0%</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26 960</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13.7%</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54</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0.7%</w:t>
                  </w:r>
                </w:p>
              </w:tc>
            </w:tr>
            <w:tr w:rsidR="008C2902">
              <w:trPr>
                <w:trHeight w:val="138"/>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305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3 067</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1.6%</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36</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r>
            <w:tr w:rsidR="008C2902">
              <w:trPr>
                <w:trHeight w:val="130"/>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20 211</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10.3%</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1 178</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13</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1 191</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5.9%</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14.6%</w:t>
                  </w:r>
                </w:p>
              </w:tc>
            </w:tr>
            <w:tr w:rsidR="008C2902">
              <w:trPr>
                <w:trHeight w:val="76"/>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40 686</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20.7%</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3 464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58</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3 522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8.7%</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43.2%</w:t>
                  </w:r>
                </w:p>
              </w:tc>
            </w:tr>
            <w:tr w:rsidR="008C2902">
              <w:trPr>
                <w:trHeight w:val="149"/>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14 825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7.5%</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333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149</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482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5.9%</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27 501</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14.0%</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1 480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479</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1 959</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7.1%</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24.0%</w:t>
                  </w:r>
                </w:p>
              </w:tc>
            </w:tr>
            <w:tr w:rsidR="008C2902">
              <w:trPr>
                <w:trHeight w:val="141"/>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53</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N/A</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N/A</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Latvia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518</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0.3%</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4</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0.8%</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0.0%</w:t>
                  </w:r>
                </w:p>
              </w:tc>
            </w:tr>
            <w:tr w:rsidR="008C2902">
              <w:trPr>
                <w:trHeight w:val="119"/>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Lithuania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773</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0.4%</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3</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0.0%</w:t>
                  </w:r>
                </w:p>
              </w:tc>
            </w:tr>
            <w:tr w:rsidR="008C2902">
              <w:trPr>
                <w:trHeight w:val="208"/>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Luxembourg</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71</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0.0%</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val="pt-PT" w:eastAsia="en-GB"/>
                    </w:rPr>
                  </w:pPr>
                  <w:r>
                    <w:rPr>
                      <w:rFonts w:ascii="Verdana" w:eastAsia="Times New Roman" w:hAnsi="Verdana"/>
                      <w:noProof/>
                      <w:color w:val="000000"/>
                      <w:sz w:val="16"/>
                      <w:szCs w:val="16"/>
                      <w:lang w:val="pt-PT" w:eastAsia="en-GB"/>
                    </w:rPr>
                    <w:t xml:space="preserve"> 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2.6%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val="pt-PT" w:eastAsia="en-GB"/>
                    </w:rPr>
                  </w:pPr>
                  <w:r>
                    <w:rPr>
                      <w:rFonts w:ascii="Verdana" w:eastAsia="Times New Roman" w:hAnsi="Verdana"/>
                      <w:i/>
                      <w:iCs/>
                      <w:noProof/>
                      <w:color w:val="000000"/>
                      <w:sz w:val="16"/>
                      <w:szCs w:val="16"/>
                      <w:lang w:val="pt-PT" w:eastAsia="en-GB"/>
                    </w:rPr>
                    <w:t>0.0%</w:t>
                  </w:r>
                </w:p>
              </w:tc>
            </w:tr>
            <w:tr w:rsidR="008C2902">
              <w:trPr>
                <w:trHeight w:val="12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val="pt-PT" w:eastAsia="en-GB"/>
                    </w:rPr>
                    <w:t>Hunga</w:t>
                  </w:r>
                  <w:r>
                    <w:rPr>
                      <w:rFonts w:ascii="Verdana" w:eastAsia="Times New Roman" w:hAnsi="Verdana"/>
                      <w:noProof/>
                      <w:color w:val="000000"/>
                      <w:sz w:val="16"/>
                      <w:szCs w:val="16"/>
                      <w:lang w:eastAsia="en-GB"/>
                    </w:rPr>
                    <w:t>ry</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1 695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r>
            <w:tr w:rsidR="008C2902">
              <w:trPr>
                <w:trHeight w:val="25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57</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r>
            <w:tr w:rsidR="008C2902">
              <w:trPr>
                <w:trHeight w:val="117"/>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2 702</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1.4%</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44</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r>
            <w:tr w:rsidR="008C2902">
              <w:trPr>
                <w:trHeight w:val="191"/>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1 647</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0.8%</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137"/>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7 032</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3.6%</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180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180</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2.2%</w:t>
                  </w:r>
                </w:p>
              </w:tc>
            </w:tr>
            <w:tr w:rsidR="008C2902">
              <w:trPr>
                <w:trHeight w:val="83"/>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18 178</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9.2%</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190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190</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2.3%</w:t>
                  </w:r>
                </w:p>
              </w:tc>
            </w:tr>
            <w:tr w:rsidR="008C2902">
              <w:trPr>
                <w:trHeight w:val="185"/>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131"/>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1 245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0.6%</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45</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45</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3.6%</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r>
            <w:tr w:rsidR="008C2902">
              <w:trPr>
                <w:trHeight w:val="219"/>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1 789</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151"/>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1 634</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0.8%</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r>
            <w:tr w:rsidR="008C2902">
              <w:trPr>
                <w:trHeight w:val="170"/>
              </w:trPr>
              <w:tc>
                <w:tcPr>
                  <w:tcW w:w="173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1134"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16 129</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8.2%</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312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312</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1.9%</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3.8%</w:t>
                  </w:r>
                </w:p>
              </w:tc>
            </w:tr>
            <w:tr w:rsidR="008C2902">
              <w:trPr>
                <w:trHeight w:val="171"/>
              </w:trPr>
              <w:tc>
                <w:tcPr>
                  <w:tcW w:w="173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Interreg</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5 645</w:t>
                  </w:r>
                </w:p>
              </w:tc>
              <w:tc>
                <w:tcPr>
                  <w:tcW w:w="113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2.9%</w:t>
                  </w:r>
                </w:p>
              </w:tc>
              <w:tc>
                <w:tcPr>
                  <w:tcW w:w="1276"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68</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993"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69</w:t>
                  </w:r>
                </w:p>
              </w:tc>
              <w:tc>
                <w:tcPr>
                  <w:tcW w:w="1134"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0.8%</w:t>
                  </w:r>
                </w:p>
              </w:tc>
            </w:tr>
            <w:tr w:rsidR="008C2902">
              <w:trPr>
                <w:trHeight w:val="270"/>
              </w:trPr>
              <w:tc>
                <w:tcPr>
                  <w:tcW w:w="173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196 911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100.0%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7 449</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702</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8 152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4.1%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100.0%</w:t>
                  </w:r>
                </w:p>
              </w:tc>
            </w:tr>
          </w:tbl>
          <w:p w:rsidR="008C2902" w:rsidRDefault="008C2902">
            <w:pPr>
              <w:spacing w:after="0" w:line="240" w:lineRule="auto"/>
              <w:jc w:val="both"/>
              <w:rPr>
                <w:rFonts w:ascii="Verdana" w:eastAsia="Times New Roman" w:hAnsi="Verdana"/>
                <w:b/>
                <w:bCs/>
                <w:i/>
                <w:iCs/>
                <w:noProof/>
                <w:color w:val="000000"/>
                <w:sz w:val="20"/>
                <w:lang w:eastAsia="en-GB"/>
              </w:rPr>
            </w:pPr>
          </w:p>
          <w:p w:rsidR="008C2902" w:rsidRDefault="008C2902">
            <w:pPr>
              <w:spacing w:after="0" w:line="240" w:lineRule="auto"/>
              <w:jc w:val="both"/>
              <w:rPr>
                <w:rFonts w:ascii="Verdana" w:eastAsia="Times New Roman" w:hAnsi="Verdana"/>
                <w:b/>
                <w:bCs/>
                <w:i/>
                <w:iCs/>
                <w:noProof/>
                <w:color w:val="000000"/>
                <w:sz w:val="20"/>
                <w:szCs w:val="20"/>
                <w:lang w:eastAsia="en-GB"/>
              </w:rPr>
            </w:pPr>
          </w:p>
        </w:tc>
      </w:tr>
    </w:tbl>
    <w:p w:rsidR="008C2902" w:rsidRDefault="00AD2EC1">
      <w:pPr>
        <w:spacing w:line="240" w:lineRule="auto"/>
        <w:jc w:val="both"/>
        <w:rPr>
          <w:rFonts w:ascii="Verdana" w:hAnsi="Verdana"/>
          <w:noProof/>
          <w:sz w:val="20"/>
        </w:rPr>
      </w:pPr>
      <w:r>
        <w:rPr>
          <w:rFonts w:ascii="Verdana" w:hAnsi="Verdana"/>
          <w:noProof/>
          <w:sz w:val="20"/>
        </w:rPr>
        <w:t xml:space="preserve">At the end of 2014, the Commission had closed 338 </w:t>
      </w:r>
      <w:r>
        <w:rPr>
          <w:rFonts w:ascii="Verdana" w:hAnsi="Verdana"/>
          <w:b/>
          <w:noProof/>
          <w:sz w:val="20"/>
        </w:rPr>
        <w:t>ERDF</w:t>
      </w:r>
      <w:r>
        <w:rPr>
          <w:rFonts w:ascii="Verdana" w:hAnsi="Verdana"/>
          <w:noProof/>
          <w:sz w:val="20"/>
        </w:rPr>
        <w:t xml:space="preserve"> programmes (compared to 316 at end 2013) out of a total of 379 programmes. The remaining 41 programmes represent cases where the Member States contested the financial corrections proposed by the Commission, presented additional information to be considered or requested reimbursement of irrecoverable amounts. These cases are followed up by financial correction procedures (hearings) and decisions on irrecoverable amounts.</w:t>
      </w:r>
    </w:p>
    <w:p w:rsidR="008C2902" w:rsidRDefault="00AD2EC1">
      <w:pPr>
        <w:spacing w:line="240" w:lineRule="auto"/>
        <w:jc w:val="both"/>
        <w:rPr>
          <w:rFonts w:ascii="Verdana" w:hAnsi="Verdana"/>
          <w:noProof/>
          <w:sz w:val="20"/>
        </w:rPr>
      </w:pPr>
      <w:r>
        <w:rPr>
          <w:rFonts w:ascii="Verdana" w:hAnsi="Verdana"/>
          <w:noProof/>
          <w:sz w:val="20"/>
        </w:rPr>
        <w:t>For ERDF, financial corrections imposed by the Commission to all Member States cumulatively up to the end of 2014 are EUR 5.8 billion, representing around 4.5 % of the total allocations for all 2000-2006 programmes. This process can be broken down into EUR 4.1 billion of financial corrections during the life cycle of the programmes and another EUR 1.6 billion of financial corrections applied at closure of the programmes. The main Member States concerned are Spain (EUR 2.6 billion), Italy (EUR 1.2 billion) and Greece (EUR 1.2 billion).</w:t>
      </w:r>
    </w:p>
    <w:p w:rsidR="008C2902" w:rsidRDefault="00AD2EC1">
      <w:pPr>
        <w:spacing w:line="240" w:lineRule="auto"/>
        <w:jc w:val="both"/>
        <w:rPr>
          <w:rFonts w:ascii="Verdana" w:hAnsi="Verdana"/>
          <w:noProof/>
          <w:sz w:val="20"/>
        </w:rPr>
      </w:pPr>
      <w:r>
        <w:rPr>
          <w:rFonts w:ascii="Verdana" w:hAnsi="Verdana"/>
          <w:noProof/>
          <w:sz w:val="20"/>
        </w:rPr>
        <w:t xml:space="preserve">For </w:t>
      </w:r>
      <w:r>
        <w:rPr>
          <w:rFonts w:ascii="Verdana" w:hAnsi="Verdana"/>
          <w:b/>
          <w:noProof/>
          <w:sz w:val="20"/>
        </w:rPr>
        <w:t>ESF</w:t>
      </w:r>
      <w:r>
        <w:rPr>
          <w:rFonts w:ascii="Verdana" w:hAnsi="Verdana"/>
          <w:noProof/>
          <w:sz w:val="20"/>
        </w:rPr>
        <w:t xml:space="preserve">, the closure process has been finalised at the end of 2014. The Commission services estimate at 30 June 2015 that the total amount of financial corrections for 2000-2006 programming period - taking into account financial corrections in progress - will amount to EUR 2.4 billion for the ESF programmes, representing 3.6 % of the ESF allocation. This process can be broken down into EUR 1.2 million of financial corrections during the life cycle of the programmes and another EUR 1.2 million applied at closure. </w:t>
      </w:r>
    </w:p>
    <w:p w:rsidR="008C2902" w:rsidRDefault="00AD2EC1">
      <w:pPr>
        <w:spacing w:line="240" w:lineRule="auto"/>
        <w:jc w:val="both"/>
        <w:rPr>
          <w:rFonts w:ascii="Verdana" w:hAnsi="Verdana"/>
          <w:noProof/>
          <w:sz w:val="20"/>
        </w:rPr>
      </w:pPr>
      <w:r>
        <w:rPr>
          <w:rFonts w:ascii="Verdana" w:hAnsi="Verdana"/>
          <w:noProof/>
          <w:sz w:val="20"/>
        </w:rPr>
        <w:lastRenderedPageBreak/>
        <w:t>In the context of the closure of the Spanish ESF programmes, for 3 programmes out of 38 the closure proposal was rejected by the Spanish authorities despite a closure analysis of all the arguments and information presented by the Commission. At the end of 2014, the financial corrections in progress for Spain amounted to EUR 59 million and represented a blocked RAL of EUR 34 million. In the course of 2015, 1 closure proposal has been accepted by the local authorities. The pre-correction procedure for other programmes has been initiated.</w:t>
      </w:r>
    </w:p>
    <w:p w:rsidR="008C2902" w:rsidRDefault="00AD2EC1">
      <w:pPr>
        <w:spacing w:after="240" w:line="240" w:lineRule="auto"/>
        <w:jc w:val="both"/>
        <w:rPr>
          <w:rFonts w:ascii="Verdana" w:hAnsi="Verdana"/>
          <w:b/>
          <w:bCs/>
          <w:i/>
          <w:noProof/>
          <w:sz w:val="20"/>
        </w:rPr>
      </w:pPr>
      <w:r>
        <w:rPr>
          <w:rFonts w:ascii="Verdana" w:hAnsi="Verdana"/>
          <w:b/>
          <w:i/>
          <w:noProof/>
          <w:sz w:val="20"/>
        </w:rPr>
        <w:t>Graph 4.2.3: Member States' cumulative financial corrections</w:t>
      </w:r>
      <w:r>
        <w:rPr>
          <w:rFonts w:ascii="Verdana" w:hAnsi="Verdana"/>
          <w:b/>
          <w:bCs/>
          <w:i/>
          <w:noProof/>
          <w:sz w:val="20"/>
        </w:rPr>
        <w:t xml:space="preserve"> confirmed and in progress at 31 December 2014 for ERDF &amp; ESF programming period 2000-2006 as compared to contributions received</w:t>
      </w:r>
    </w:p>
    <w:p w:rsidR="008C2902" w:rsidRDefault="00AD2EC1">
      <w:pPr>
        <w:spacing w:after="240" w:line="240" w:lineRule="auto"/>
        <w:jc w:val="both"/>
        <w:rPr>
          <w:rFonts w:ascii="Verdana" w:hAnsi="Verdana"/>
          <w:b/>
          <w:bCs/>
          <w:i/>
          <w:noProof/>
          <w:sz w:val="20"/>
        </w:rPr>
      </w:pPr>
      <w:r>
        <w:rPr>
          <w:noProof/>
          <w:lang w:eastAsia="en-GB"/>
        </w:rPr>
        <w:drawing>
          <wp:inline distT="0" distB="0" distL="0" distR="0">
            <wp:extent cx="5838825" cy="3646805"/>
            <wp:effectExtent l="0" t="0" r="9525" b="10795"/>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2902" w:rsidRDefault="008C2902">
      <w:pPr>
        <w:spacing w:after="0" w:line="240" w:lineRule="auto"/>
        <w:jc w:val="both"/>
        <w:rPr>
          <w:rFonts w:ascii="Verdana" w:hAnsi="Verdana"/>
          <w:b/>
          <w:i/>
          <w:noProof/>
          <w:sz w:val="20"/>
        </w:rPr>
      </w:pPr>
    </w:p>
    <w:p w:rsidR="008C2902" w:rsidRDefault="00AD2EC1">
      <w:pPr>
        <w:spacing w:before="240" w:after="120"/>
        <w:jc w:val="both"/>
        <w:rPr>
          <w:rFonts w:ascii="Verdana" w:hAnsi="Verdana"/>
          <w:i/>
          <w:noProof/>
          <w:sz w:val="20"/>
        </w:rPr>
      </w:pPr>
      <w:r>
        <w:rPr>
          <w:rFonts w:ascii="Verdana" w:hAnsi="Verdana"/>
          <w:i/>
          <w:noProof/>
          <w:sz w:val="20"/>
        </w:rPr>
        <w:t>4.2.4.</w:t>
      </w:r>
      <w:r>
        <w:rPr>
          <w:rFonts w:ascii="Verdana" w:hAnsi="Verdana"/>
          <w:i/>
          <w:noProof/>
          <w:sz w:val="20"/>
        </w:rPr>
        <w:tab/>
        <w:t>Cohesion Policy: ERDF/CF &amp; ESF 2007-2013</w:t>
      </w:r>
    </w:p>
    <w:p w:rsidR="008C2902" w:rsidRDefault="00AD2EC1">
      <w:pPr>
        <w:spacing w:line="240" w:lineRule="auto"/>
        <w:jc w:val="both"/>
        <w:rPr>
          <w:rFonts w:ascii="Verdana" w:hAnsi="Verdana"/>
          <w:noProof/>
          <w:sz w:val="20"/>
        </w:rPr>
      </w:pPr>
      <w:r>
        <w:rPr>
          <w:rFonts w:ascii="Verdana" w:hAnsi="Verdana"/>
          <w:noProof/>
          <w:sz w:val="20"/>
        </w:rPr>
        <w:t xml:space="preserve">At this stage of the programming period, the cumulative amounts corrected to date represent 0.9 % of the budget allocations. While financial corrections for the 2007-2013 period are expected to continue to increase in the coming years as its programmes start to close, figures so far indicate an overall lower volume of financial corrections compared to the previous programming period. This reflects the improved capacity of the management and control systems to detect problems and to correct errors before expenditure is declared to the Commission, as reflected in the lower error rates for cohesion policy in the period 2007-2013 compared to the period 2000-2006. Reference is also made to the corrections made by Member States in this period – see section </w:t>
      </w:r>
      <w:r>
        <w:rPr>
          <w:rFonts w:ascii="Verdana" w:hAnsi="Verdana"/>
          <w:b/>
          <w:noProof/>
          <w:sz w:val="20"/>
        </w:rPr>
        <w:t>7</w:t>
      </w:r>
      <w:r>
        <w:rPr>
          <w:rFonts w:ascii="Verdana" w:hAnsi="Verdana"/>
          <w:noProof/>
          <w:sz w:val="20"/>
        </w:rPr>
        <w:t>.</w:t>
      </w:r>
    </w:p>
    <w:p w:rsidR="008C2902" w:rsidRDefault="00AD2EC1">
      <w:pPr>
        <w:rPr>
          <w:noProof/>
        </w:rPr>
      </w:pPr>
      <w:r>
        <w:rPr>
          <w:noProof/>
        </w:rPr>
        <w:br w:type="page"/>
      </w:r>
    </w:p>
    <w:tbl>
      <w:tblPr>
        <w:tblW w:w="8864" w:type="dxa"/>
        <w:tblInd w:w="108" w:type="dxa"/>
        <w:tblLook w:val="04A0" w:firstRow="1" w:lastRow="0" w:firstColumn="1" w:lastColumn="0" w:noHBand="0" w:noVBand="1"/>
      </w:tblPr>
      <w:tblGrid>
        <w:gridCol w:w="1305"/>
        <w:gridCol w:w="1167"/>
        <w:gridCol w:w="1114"/>
        <w:gridCol w:w="1079"/>
        <w:gridCol w:w="1042"/>
        <w:gridCol w:w="1012"/>
        <w:gridCol w:w="1167"/>
        <w:gridCol w:w="978"/>
      </w:tblGrid>
      <w:tr w:rsidR="008C2902">
        <w:trPr>
          <w:trHeight w:val="720"/>
        </w:trPr>
        <w:tc>
          <w:tcPr>
            <w:tcW w:w="8864" w:type="dxa"/>
            <w:gridSpan w:val="8"/>
            <w:tcBorders>
              <w:top w:val="nil"/>
              <w:left w:val="nil"/>
              <w:bottom w:val="nil"/>
              <w:right w:val="nil"/>
            </w:tcBorders>
            <w:shd w:val="clear" w:color="auto" w:fill="auto"/>
            <w:noWrap/>
            <w:vAlign w:val="center"/>
            <w:hideMark/>
          </w:tcPr>
          <w:p w:rsidR="008C2902" w:rsidRDefault="00AD2EC1">
            <w:pPr>
              <w:spacing w:after="0" w:line="240" w:lineRule="auto"/>
              <w:jc w:val="both"/>
              <w:rPr>
                <w:rFonts w:ascii="Verdana" w:eastAsia="Times New Roman" w:hAnsi="Verdana"/>
                <w:b/>
                <w:bCs/>
                <w:i/>
                <w:iCs/>
                <w:noProof/>
                <w:color w:val="000000"/>
                <w:sz w:val="20"/>
                <w:szCs w:val="20"/>
                <w:lang w:eastAsia="en-GB"/>
              </w:rPr>
            </w:pPr>
            <w:r>
              <w:rPr>
                <w:rFonts w:ascii="Verdana" w:eastAsia="Times New Roman" w:hAnsi="Verdana"/>
                <w:b/>
                <w:bCs/>
                <w:i/>
                <w:iCs/>
                <w:noProof/>
                <w:color w:val="000000"/>
                <w:sz w:val="20"/>
                <w:szCs w:val="20"/>
                <w:lang w:eastAsia="en-GB"/>
              </w:rPr>
              <w:lastRenderedPageBreak/>
              <w:t>Table 4.2.4: Programming period 2007-2013 – ERDF/CF &amp; ESF Financial corrections confirmed and in progress at 31 December 2014; Breakdown by Member State</w:t>
            </w:r>
          </w:p>
        </w:tc>
      </w:tr>
      <w:tr w:rsidR="008C2902">
        <w:trPr>
          <w:trHeight w:val="270"/>
        </w:trPr>
        <w:tc>
          <w:tcPr>
            <w:tcW w:w="8864" w:type="dxa"/>
            <w:gridSpan w:val="8"/>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975"/>
        </w:trPr>
        <w:tc>
          <w:tcPr>
            <w:tcW w:w="1305"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Member State</w:t>
            </w:r>
          </w:p>
        </w:tc>
        <w:tc>
          <w:tcPr>
            <w:tcW w:w="1167"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ERDF/CF+ESF contribution amount for 2007-2013</w:t>
            </w:r>
          </w:p>
        </w:tc>
        <w:tc>
          <w:tcPr>
            <w:tcW w:w="1114"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 of contribution amount to total contributions</w:t>
            </w:r>
          </w:p>
        </w:tc>
        <w:tc>
          <w:tcPr>
            <w:tcW w:w="1079"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 xml:space="preserve">Financial corrections confirmed </w:t>
            </w:r>
          </w:p>
        </w:tc>
        <w:tc>
          <w:tcPr>
            <w:tcW w:w="1042"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Financial corrections in progress (closure letters sent)</w:t>
            </w:r>
          </w:p>
        </w:tc>
        <w:tc>
          <w:tcPr>
            <w:tcW w:w="1012"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Total financial corrections imposed for 2007-2013</w:t>
            </w:r>
          </w:p>
        </w:tc>
        <w:tc>
          <w:tcPr>
            <w:tcW w:w="1167"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Percentage of financial corrections in relation to the ERDF/CF+ESF contributions</w:t>
            </w:r>
          </w:p>
        </w:tc>
        <w:tc>
          <w:tcPr>
            <w:tcW w:w="978"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2"/>
                <w:szCs w:val="12"/>
                <w:lang w:eastAsia="en-GB"/>
              </w:rPr>
            </w:pPr>
            <w:r>
              <w:rPr>
                <w:rFonts w:ascii="Verdana" w:eastAsia="Times New Roman" w:hAnsi="Verdana"/>
                <w:b/>
                <w:bCs/>
                <w:noProof/>
                <w:color w:val="000000"/>
                <w:sz w:val="12"/>
                <w:szCs w:val="12"/>
                <w:lang w:eastAsia="en-GB"/>
              </w:rPr>
              <w:t>Share of financial corrections imposed compared to total financial corrections</w:t>
            </w:r>
          </w:p>
        </w:tc>
      </w:tr>
      <w:tr w:rsidR="008C2902">
        <w:trPr>
          <w:trHeight w:val="209"/>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2 063</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0.6%</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23</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1.1%</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r>
      <w:tr w:rsidR="008C2902">
        <w:trPr>
          <w:trHeight w:val="13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6 674</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1.9%</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87</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87</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2.7%</w:t>
            </w:r>
          </w:p>
        </w:tc>
      </w:tr>
      <w:tr w:rsidR="008C2902">
        <w:trPr>
          <w:trHeight w:val="315"/>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26 540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7.6%</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715</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61</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776</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2.9%</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23.6%</w:t>
            </w:r>
          </w:p>
        </w:tc>
      </w:tr>
      <w:tr w:rsidR="008C2902">
        <w:trPr>
          <w:trHeight w:val="127"/>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510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215"/>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25 488</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26</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9</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35</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1.1%</w:t>
            </w:r>
          </w:p>
        </w:tc>
      </w:tr>
      <w:tr w:rsidR="008C2902">
        <w:trPr>
          <w:trHeight w:val="13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3 403</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0.3%</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0.3%</w:t>
            </w:r>
          </w:p>
        </w:tc>
      </w:tr>
      <w:tr w:rsidR="008C2902">
        <w:trPr>
          <w:trHeight w:val="221"/>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751</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2.8%</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0.6%</w:t>
            </w:r>
          </w:p>
        </w:tc>
      </w:tr>
      <w:tr w:rsidR="008C2902">
        <w:trPr>
          <w:trHeight w:val="139"/>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20 210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5.8%</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219</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88</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306</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1.5%</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9.3%</w:t>
            </w:r>
          </w:p>
        </w:tc>
      </w:tr>
      <w:tr w:rsidR="008C2902">
        <w:trPr>
          <w:trHeight w:val="227"/>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34 649</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10.0%</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368</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82</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450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13.7%</w:t>
            </w:r>
          </w:p>
        </w:tc>
      </w:tr>
      <w:tr w:rsidR="008C2902">
        <w:trPr>
          <w:trHeight w:val="145"/>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13 449</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3.9%</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48</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1.5%</w:t>
            </w:r>
          </w:p>
        </w:tc>
      </w:tr>
      <w:tr w:rsidR="008C2902">
        <w:trPr>
          <w:trHeight w:val="23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858</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151"/>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27 923</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8.0%</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110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15</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124</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3.8%</w:t>
            </w:r>
          </w:p>
        </w:tc>
      </w:tr>
      <w:tr w:rsidR="008C2902">
        <w:trPr>
          <w:trHeight w:val="240"/>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612</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r>
      <w:tr w:rsidR="008C2902">
        <w:trPr>
          <w:trHeight w:val="14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4 530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23</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23</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r>
      <w:tr w:rsidR="008C2902">
        <w:trPr>
          <w:trHeight w:val="231"/>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6 775</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2.0%</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135"/>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0.9%</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22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24 908</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340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340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1.4%</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10.3%</w:t>
            </w:r>
          </w:p>
        </w:tc>
      </w:tr>
      <w:tr w:rsidR="008C2902">
        <w:trPr>
          <w:trHeight w:val="141"/>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840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r>
      <w:tr w:rsidR="008C2902">
        <w:trPr>
          <w:trHeight w:val="229"/>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1 660</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N/A</w:t>
            </w:r>
          </w:p>
        </w:tc>
      </w:tr>
      <w:tr w:rsidR="008C2902">
        <w:trPr>
          <w:trHeight w:val="147"/>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1 204</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18</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1.5%</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r>
      <w:tr w:rsidR="008C2902">
        <w:trPr>
          <w:trHeight w:val="236"/>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67 186</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19.3%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238</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238</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0.4%</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7.2%</w:t>
            </w:r>
          </w:p>
        </w:tc>
      </w:tr>
      <w:tr w:rsidR="008C2902">
        <w:trPr>
          <w:trHeight w:val="139"/>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21 412</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6.2%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r>
      <w:tr w:rsidR="008C2902">
        <w:trPr>
          <w:trHeight w:val="227"/>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19 058</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5.5%</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501</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501</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2.6%</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15.2%</w:t>
            </w:r>
          </w:p>
        </w:tc>
      </w:tr>
      <w:tr w:rsidR="008C2902">
        <w:trPr>
          <w:trHeight w:val="6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4 101</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1.2%</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19</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19</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0.6%</w:t>
            </w:r>
          </w:p>
        </w:tc>
      </w:tr>
      <w:tr w:rsidR="008C2902">
        <w:trPr>
          <w:trHeight w:val="233"/>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11 496</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3.3%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169</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169</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1.5%</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5.1%</w:t>
            </w:r>
          </w:p>
        </w:tc>
      </w:tr>
      <w:tr w:rsidR="008C2902">
        <w:trPr>
          <w:trHeight w:val="151"/>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1 596</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0</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239"/>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1 626</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0.5%</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r>
      <w:tr w:rsidR="008C2902">
        <w:trPr>
          <w:trHeight w:val="315"/>
        </w:trPr>
        <w:tc>
          <w:tcPr>
            <w:tcW w:w="1305"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9 891</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2.8%</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64</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71</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0.7%</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2.2%</w:t>
            </w:r>
          </w:p>
        </w:tc>
      </w:tr>
      <w:tr w:rsidR="008C2902">
        <w:trPr>
          <w:trHeight w:val="163"/>
        </w:trPr>
        <w:tc>
          <w:tcPr>
            <w:tcW w:w="130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Cross-border</w:t>
            </w:r>
          </w:p>
        </w:tc>
        <w:tc>
          <w:tcPr>
            <w:tcW w:w="1167"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7 987</w:t>
            </w:r>
          </w:p>
        </w:tc>
        <w:tc>
          <w:tcPr>
            <w:tcW w:w="1114"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2.3%</w:t>
            </w:r>
          </w:p>
        </w:tc>
        <w:tc>
          <w:tcPr>
            <w:tcW w:w="1079"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w:t>
            </w:r>
          </w:p>
        </w:tc>
        <w:tc>
          <w:tcPr>
            <w:tcW w:w="104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101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w:t>
            </w:r>
          </w:p>
        </w:tc>
        <w:tc>
          <w:tcPr>
            <w:tcW w:w="1167"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0.0%</w:t>
            </w:r>
          </w:p>
        </w:tc>
        <w:tc>
          <w:tcPr>
            <w:tcW w:w="978"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0.1%</w:t>
            </w:r>
          </w:p>
        </w:tc>
      </w:tr>
      <w:tr w:rsidR="008C2902">
        <w:trPr>
          <w:trHeight w:val="330"/>
        </w:trPr>
        <w:tc>
          <w:tcPr>
            <w:tcW w:w="1305" w:type="dxa"/>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347 450</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100.0%</w:t>
            </w:r>
          </w:p>
        </w:tc>
        <w:tc>
          <w:tcPr>
            <w:tcW w:w="1079"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3 018</w:t>
            </w:r>
          </w:p>
        </w:tc>
        <w:tc>
          <w:tcPr>
            <w:tcW w:w="1042"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269</w:t>
            </w:r>
          </w:p>
        </w:tc>
        <w:tc>
          <w:tcPr>
            <w:tcW w:w="1012"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3 287</w:t>
            </w:r>
          </w:p>
        </w:tc>
        <w:tc>
          <w:tcPr>
            <w:tcW w:w="1167"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0.9%</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100.0%</w:t>
            </w:r>
          </w:p>
        </w:tc>
      </w:tr>
    </w:tbl>
    <w:p w:rsidR="008C2902" w:rsidRDefault="00AD2EC1">
      <w:pPr>
        <w:pStyle w:val="Text1"/>
        <w:spacing w:before="120"/>
        <w:ind w:left="0"/>
        <w:rPr>
          <w:rFonts w:ascii="Verdana" w:eastAsia="Calibri" w:hAnsi="Verdana"/>
          <w:noProof/>
          <w:sz w:val="16"/>
          <w:szCs w:val="16"/>
        </w:rPr>
      </w:pPr>
      <w:r>
        <w:rPr>
          <w:rFonts w:ascii="Verdana" w:eastAsia="Calibri" w:hAnsi="Verdana"/>
          <w:noProof/>
          <w:sz w:val="16"/>
          <w:szCs w:val="16"/>
        </w:rPr>
        <w:t>As 2007-2013 programmes are multi-funds, no split is given between ERDF and CF in the above table.</w:t>
      </w:r>
    </w:p>
    <w:p w:rsidR="008C2902" w:rsidRDefault="008C2902">
      <w:pPr>
        <w:pStyle w:val="Text1"/>
        <w:spacing w:before="240"/>
        <w:ind w:left="0"/>
        <w:rPr>
          <w:rFonts w:ascii="Verdana" w:eastAsia="Calibri" w:hAnsi="Verdana"/>
          <w:noProof/>
          <w:sz w:val="20"/>
          <w:szCs w:val="22"/>
        </w:rPr>
      </w:pPr>
    </w:p>
    <w:p w:rsidR="008C2902" w:rsidRDefault="00AD2EC1">
      <w:pPr>
        <w:spacing w:after="0" w:line="240" w:lineRule="auto"/>
        <w:rPr>
          <w:rFonts w:ascii="Verdana" w:hAnsi="Verdana"/>
          <w:b/>
          <w:i/>
          <w:noProof/>
          <w:sz w:val="20"/>
        </w:rPr>
      </w:pPr>
      <w:r>
        <w:rPr>
          <w:rFonts w:ascii="Verdana" w:hAnsi="Verdana"/>
          <w:b/>
          <w:i/>
          <w:noProof/>
          <w:sz w:val="20"/>
        </w:rPr>
        <w:br w:type="page"/>
      </w:r>
    </w:p>
    <w:p w:rsidR="008C2902" w:rsidRDefault="00AD2EC1">
      <w:pPr>
        <w:spacing w:after="0" w:line="240" w:lineRule="auto"/>
        <w:jc w:val="both"/>
        <w:rPr>
          <w:rFonts w:ascii="Verdana" w:hAnsi="Verdana"/>
          <w:b/>
          <w:bCs/>
          <w:i/>
          <w:noProof/>
          <w:sz w:val="20"/>
        </w:rPr>
      </w:pPr>
      <w:r>
        <w:rPr>
          <w:rFonts w:ascii="Verdana" w:hAnsi="Verdana"/>
          <w:b/>
          <w:i/>
          <w:noProof/>
          <w:sz w:val="20"/>
        </w:rPr>
        <w:lastRenderedPageBreak/>
        <w:t>Graph 4.2.4: Member States' cumulative financial corrections</w:t>
      </w:r>
      <w:r>
        <w:rPr>
          <w:rFonts w:ascii="Verdana" w:hAnsi="Verdana"/>
          <w:b/>
          <w:bCs/>
          <w:i/>
          <w:noProof/>
          <w:sz w:val="20"/>
        </w:rPr>
        <w:t xml:space="preserve"> confirmed and in progress at 31 December 2014 for ERDF/CF &amp; ESF programming period 2007-2013 as compared to contributions received</w:t>
      </w:r>
    </w:p>
    <w:p w:rsidR="008C2902" w:rsidRDefault="008C2902">
      <w:pPr>
        <w:spacing w:after="0" w:line="240" w:lineRule="auto"/>
        <w:jc w:val="both"/>
        <w:rPr>
          <w:rFonts w:ascii="Verdana" w:hAnsi="Verdana"/>
          <w:b/>
          <w:bCs/>
          <w:i/>
          <w:noProof/>
          <w:sz w:val="20"/>
        </w:rPr>
      </w:pPr>
    </w:p>
    <w:p w:rsidR="008C2902" w:rsidRDefault="00AD2EC1">
      <w:pPr>
        <w:spacing w:after="0" w:line="240" w:lineRule="auto"/>
        <w:jc w:val="both"/>
        <w:rPr>
          <w:rFonts w:ascii="Verdana" w:hAnsi="Verdana"/>
          <w:b/>
          <w:bCs/>
          <w:i/>
          <w:noProof/>
          <w:sz w:val="20"/>
        </w:rPr>
      </w:pPr>
      <w:r>
        <w:rPr>
          <w:noProof/>
          <w:lang w:eastAsia="en-GB"/>
        </w:rPr>
        <w:drawing>
          <wp:inline distT="0" distB="0" distL="0" distR="0">
            <wp:extent cx="5838825" cy="3734435"/>
            <wp:effectExtent l="0" t="0" r="9525" b="18415"/>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2902" w:rsidRDefault="008C2902">
      <w:pPr>
        <w:spacing w:after="0" w:line="240" w:lineRule="auto"/>
        <w:jc w:val="both"/>
        <w:rPr>
          <w:rFonts w:ascii="Verdana" w:hAnsi="Verdana"/>
          <w:b/>
          <w:bCs/>
          <w:i/>
          <w:noProof/>
          <w:sz w:val="20"/>
        </w:rPr>
      </w:pPr>
    </w:p>
    <w:p w:rsidR="008C2902" w:rsidRDefault="00AD2EC1">
      <w:pPr>
        <w:pStyle w:val="Text1"/>
        <w:spacing w:before="240"/>
        <w:ind w:left="0"/>
        <w:rPr>
          <w:rFonts w:ascii="Verdana" w:eastAsia="Calibri" w:hAnsi="Verdana"/>
          <w:noProof/>
          <w:sz w:val="20"/>
          <w:szCs w:val="22"/>
        </w:rPr>
      </w:pPr>
      <w:r>
        <w:rPr>
          <w:rFonts w:ascii="Verdana" w:hAnsi="Verdana"/>
          <w:noProof/>
          <w:sz w:val="20"/>
        </w:rPr>
        <w:t xml:space="preserve">For </w:t>
      </w:r>
      <w:r>
        <w:rPr>
          <w:rFonts w:ascii="Verdana" w:hAnsi="Verdana"/>
          <w:b/>
          <w:noProof/>
          <w:sz w:val="20"/>
        </w:rPr>
        <w:t>ERDF/CF</w:t>
      </w:r>
      <w:r>
        <w:rPr>
          <w:rFonts w:ascii="Verdana" w:hAnsi="Verdana"/>
          <w:noProof/>
          <w:sz w:val="20"/>
        </w:rPr>
        <w:t xml:space="preserve"> programmes, the Commission has imposed around EUR 2 billion of financial corrections cumulatively since the beginning of the 2007-2013 programming period (which includes EUR 782 million of financial corrections applied by the Member States before or at the same time of declaring the expenditure to the Commission as a result of requested remedial actions, see also corrections “at source” above) and EUR 237 million of financial corrections are in progress. The main Member States concerned are Czech Republic (EUR 719 million), Hungary (EUR 298 million), Greece (EUR 257 million), Spain (EUR 237 million), Slovakia (EUR 152 million), Romania (EUR 146 million) and Italy (EUR 105 million).</w:t>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t xml:space="preserve">Concerning </w:t>
      </w:r>
      <w:r>
        <w:rPr>
          <w:rFonts w:ascii="Verdana" w:eastAsia="Calibri" w:hAnsi="Verdana"/>
          <w:b/>
          <w:noProof/>
          <w:sz w:val="20"/>
          <w:szCs w:val="22"/>
        </w:rPr>
        <w:t xml:space="preserve">ERDF </w:t>
      </w:r>
      <w:r>
        <w:rPr>
          <w:rFonts w:ascii="Verdana" w:eastAsia="Calibri" w:hAnsi="Verdana"/>
          <w:noProof/>
          <w:sz w:val="20"/>
          <w:szCs w:val="22"/>
        </w:rPr>
        <w:t>and the</w:t>
      </w:r>
      <w:r>
        <w:rPr>
          <w:rFonts w:ascii="Verdana" w:eastAsia="Calibri" w:hAnsi="Verdana"/>
          <w:b/>
          <w:noProof/>
          <w:sz w:val="20"/>
          <w:szCs w:val="22"/>
        </w:rPr>
        <w:t xml:space="preserve"> Cohesion Fund</w:t>
      </w:r>
      <w:r>
        <w:rPr>
          <w:rFonts w:ascii="Verdana" w:eastAsia="Calibri" w:hAnsi="Verdana"/>
          <w:noProof/>
          <w:sz w:val="20"/>
          <w:szCs w:val="22"/>
        </w:rPr>
        <w:t>, in 2014, the Commission continued to exercise rigorously its supervisory role by interrupting/suspending payments as soon as deficiencies are identified and ensuring that Member States address the identified weaknesses in their management and control systems. The objective was to identify and address any major outstanding material risk so as to ensure an appropriate protection of the EU budget, and to arrive at an acceptable residual risk by the closure of programmes. This resulted in an overall improvement for the 2007-2013 period compared to 2000-2006, and in a positive trend as regards the incidence of errors in Cohesion expenditure over the years thanks to a series of actions taken by the Commission in cooperation with Member States, as described below.</w:t>
      </w:r>
    </w:p>
    <w:p w:rsidR="008C2902" w:rsidRDefault="00AD2EC1">
      <w:pPr>
        <w:pStyle w:val="Text1"/>
        <w:spacing w:before="240"/>
        <w:ind w:left="0"/>
        <w:rPr>
          <w:rFonts w:ascii="Verdana" w:eastAsia="Calibri" w:hAnsi="Verdana"/>
          <w:noProof/>
          <w:sz w:val="20"/>
          <w:szCs w:val="22"/>
          <w:lang w:val="en-US"/>
        </w:rPr>
      </w:pPr>
      <w:r>
        <w:rPr>
          <w:rFonts w:ascii="Verdana" w:eastAsia="Calibri" w:hAnsi="Verdana"/>
          <w:noProof/>
          <w:sz w:val="20"/>
          <w:szCs w:val="22"/>
        </w:rPr>
        <w:t xml:space="preserve">For </w:t>
      </w:r>
      <w:r>
        <w:rPr>
          <w:rFonts w:ascii="Verdana" w:eastAsia="Calibri" w:hAnsi="Verdana"/>
          <w:b/>
          <w:noProof/>
          <w:sz w:val="20"/>
          <w:szCs w:val="22"/>
        </w:rPr>
        <w:t>ESF</w:t>
      </w:r>
      <w:r>
        <w:rPr>
          <w:rFonts w:ascii="Verdana" w:eastAsia="Calibri" w:hAnsi="Verdana"/>
          <w:noProof/>
          <w:sz w:val="20"/>
          <w:szCs w:val="22"/>
        </w:rPr>
        <w:t xml:space="preserve">, the </w:t>
      </w:r>
      <w:r>
        <w:rPr>
          <w:rFonts w:ascii="Verdana" w:eastAsia="Calibri" w:hAnsi="Verdana"/>
          <w:noProof/>
          <w:sz w:val="20"/>
          <w:szCs w:val="22"/>
          <w:lang w:val="en-US"/>
        </w:rPr>
        <w:t>Member States with the highest level of cumulative financial correction figures are Romania (EUR 355 million), Spain (EUR 213 million) and Poland (EUR 152 million).</w:t>
      </w:r>
    </w:p>
    <w:p w:rsidR="008C2902" w:rsidRDefault="008C2902">
      <w:pPr>
        <w:pStyle w:val="Text1"/>
        <w:spacing w:before="240"/>
        <w:ind w:left="0"/>
        <w:rPr>
          <w:rFonts w:ascii="Verdana" w:eastAsia="Calibri" w:hAnsi="Verdana"/>
          <w:noProof/>
          <w:sz w:val="20"/>
          <w:szCs w:val="22"/>
          <w:lang w:val="en-US"/>
        </w:rPr>
      </w:pP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lang w:val="en-US"/>
        </w:rPr>
        <w:lastRenderedPageBreak/>
        <w:t>The following improvements were made for the period 2007-2013 for ERDF/CF and ESF programmes:</w:t>
      </w:r>
    </w:p>
    <w:p w:rsidR="008C2902" w:rsidRDefault="00AD2EC1">
      <w:pPr>
        <w:pStyle w:val="Text1"/>
        <w:keepNext/>
        <w:spacing w:before="240"/>
        <w:ind w:left="0"/>
        <w:rPr>
          <w:rFonts w:ascii="Verdana" w:eastAsia="Calibri" w:hAnsi="Verdana"/>
          <w:i/>
          <w:noProof/>
          <w:sz w:val="20"/>
          <w:szCs w:val="22"/>
        </w:rPr>
      </w:pPr>
      <w:r>
        <w:rPr>
          <w:rFonts w:ascii="Verdana" w:eastAsia="Calibri" w:hAnsi="Verdana"/>
          <w:i/>
          <w:noProof/>
          <w:sz w:val="20"/>
          <w:szCs w:val="22"/>
        </w:rPr>
        <w:t>(A) Strengthening national controls</w:t>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t xml:space="preserve">The capacity of national management and control systems to prevent, detect and correct errors before expenditure is declared to the Commission has been strengthened. On one hand, the Commission services invested significant management and audit efforts in improving the functioning of Member States’ first level verifications. On the other hand, the 2007-2013 regulations include the obligation for audit authorities to use, as a general rule, statistical samples for audits of operations. This, associated with exhaustive audit supervision and guidance from the Commission leading to considerable capacity building efforts, very much helped to improve the reliability of error rates reported on a yearly basis to the Commission in the Member States' ACRs and used as indicators on the effectiveness of management and control systems in the Commission assurance process. The Commission audit work could thus shift towards obtaining assurance on the work of audit authorities, concentrating on the weakest ones or on those ensuring the highest coverage of EU Funds. In addition, the Commission is continuously following-up identified weaknesses and monitoring that the work quality of the audit authority remains satisfactory when the single audit status has been granted to a programme. The close cooperation with audit authorities ensures a timely detection and solution of problems already at national level. It also contributes to the improvement of the assurance process at Commission level. </w:t>
      </w:r>
    </w:p>
    <w:p w:rsidR="008C2902" w:rsidRDefault="00AD2EC1">
      <w:pPr>
        <w:pStyle w:val="Text1"/>
        <w:spacing w:before="240"/>
        <w:ind w:left="0"/>
        <w:rPr>
          <w:rFonts w:ascii="Verdana" w:eastAsia="Calibri" w:hAnsi="Verdana"/>
          <w:i/>
          <w:noProof/>
          <w:sz w:val="20"/>
          <w:szCs w:val="22"/>
        </w:rPr>
      </w:pPr>
      <w:r>
        <w:rPr>
          <w:rFonts w:ascii="Verdana" w:eastAsia="Calibri" w:hAnsi="Verdana"/>
          <w:i/>
          <w:noProof/>
          <w:sz w:val="20"/>
          <w:szCs w:val="22"/>
        </w:rPr>
        <w:t>(B) Commission on-the-spot audits</w:t>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t>The Commission also carries out its own on-the-spot risk-based audits, including audits at the level of beneficiaries, if it considers that certain deficiencies (concerning in particular complex issues such as public procurement or State aid issues for ERDF/CF) could remain either undetected or not detected in a timely manner. This includes verifying implementation of remedial actions plans in case of interruptions and financial corrections. These audits contribute to improvements in the management and control systems for programmes put under reservation ensuring that past and future expenditure declared to the Commission is legal and regular. It also provides an additional, more direct source of assurance to the Commission.</w:t>
      </w:r>
    </w:p>
    <w:p w:rsidR="008C2902" w:rsidRDefault="00AD2EC1">
      <w:pPr>
        <w:pStyle w:val="Text1"/>
        <w:spacing w:before="240"/>
        <w:ind w:left="0"/>
        <w:rPr>
          <w:rFonts w:ascii="Verdana" w:eastAsia="Calibri" w:hAnsi="Verdana"/>
          <w:i/>
          <w:noProof/>
          <w:sz w:val="20"/>
          <w:szCs w:val="22"/>
        </w:rPr>
      </w:pPr>
      <w:r>
        <w:rPr>
          <w:rFonts w:ascii="Verdana" w:eastAsia="Calibri" w:hAnsi="Verdana"/>
          <w:i/>
          <w:noProof/>
          <w:sz w:val="20"/>
          <w:szCs w:val="22"/>
        </w:rPr>
        <w:t>(C) Better problem detection</w:t>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t>The improved capacity to detect problems has been pro-actively used to improve the functioning of Member States' management systems, while implementing the necessary financial corrections. The systematic and consistent use by the Commission of interruptions and/or suspensions of payments to programmes with significant management weaknesses since 2008, or the decision of the Directors General to issue warning letters when no payments are pending, has avoided EU reimbursements of expenditure with a high risk of error, while also providing strong incentives to Member States to rapidly improve their management and control systems. At the same time, the joint work of the EU and Member States' control authorities has allowed for better agreement on, and implementation of, the necessary financial corrections so as to duly protect the EU budget against irregular expenditure, including through flat-rate corrections. Member States were, in turn, able to re-use the EU resources affected by these corrections for other projects. However, such corrections still have a major financial and political impact in the Member States concerned since irregular expenditure has to be funded by national resources unless it is recovered from beneficiaries.</w:t>
      </w:r>
    </w:p>
    <w:p w:rsidR="008C2902" w:rsidRDefault="00AD2EC1">
      <w:pPr>
        <w:spacing w:after="0" w:line="240" w:lineRule="auto"/>
        <w:rPr>
          <w:rFonts w:ascii="Verdana" w:hAnsi="Verdana"/>
          <w:noProof/>
          <w:sz w:val="20"/>
        </w:rPr>
      </w:pPr>
      <w:r>
        <w:rPr>
          <w:rFonts w:ascii="Verdana" w:hAnsi="Verdana"/>
          <w:noProof/>
          <w:sz w:val="20"/>
        </w:rPr>
        <w:br w:type="page"/>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lastRenderedPageBreak/>
        <w:t>(D) Capacity building actions</w:t>
      </w:r>
    </w:p>
    <w:p w:rsidR="008C2902" w:rsidRDefault="00AD2EC1">
      <w:pPr>
        <w:pStyle w:val="Text1"/>
        <w:spacing w:before="240"/>
        <w:ind w:left="0"/>
        <w:rPr>
          <w:rFonts w:ascii="Verdana" w:eastAsia="Calibri" w:hAnsi="Verdana"/>
          <w:noProof/>
          <w:sz w:val="20"/>
          <w:szCs w:val="22"/>
        </w:rPr>
      </w:pPr>
      <w:r>
        <w:rPr>
          <w:rFonts w:ascii="Verdana" w:eastAsia="Calibri" w:hAnsi="Verdana"/>
          <w:noProof/>
          <w:sz w:val="20"/>
          <w:szCs w:val="22"/>
        </w:rPr>
        <w:t>In order to mitigate the remaining risks and weaknesses identified in Member States and programmes at the level of managing authorities, the Commission has also taken initiatives to implement additional capacity building actions for the 2007-2013 programmes. A new Competence Centre on administrative capacity building was established at the beginning of 2013 in order to support public administrations managing ERDF and the Cohesion Fund. For public procurement, the Competence Centre has established a Public Procurement Action Plan. Actions are also taken to improve the implementation of State aid rules, while an exchange platform between administrations managing the funds is being developed in order to capitalise on existing good practices.</w:t>
      </w:r>
      <w:bookmarkStart w:id="118" w:name="_Toc397943400"/>
      <w:bookmarkStart w:id="119" w:name="_Toc397943679"/>
      <w:bookmarkStart w:id="120" w:name="_Toc397954301"/>
      <w:bookmarkEnd w:id="118"/>
      <w:bookmarkEnd w:id="119"/>
      <w:bookmarkEnd w:id="120"/>
    </w:p>
    <w:p w:rsidR="008C2902" w:rsidRDefault="00AD2EC1">
      <w:pPr>
        <w:pStyle w:val="Text1"/>
        <w:spacing w:before="240"/>
        <w:ind w:left="0"/>
        <w:rPr>
          <w:rFonts w:ascii="Verdana" w:hAnsi="Verdana" w:cs="Calibri"/>
          <w:noProof/>
          <w:sz w:val="20"/>
        </w:rPr>
      </w:pPr>
      <w:r>
        <w:rPr>
          <w:rFonts w:ascii="Verdana" w:hAnsi="Verdana" w:cs="Calibri"/>
          <w:noProof/>
          <w:sz w:val="20"/>
        </w:rPr>
        <w:t xml:space="preserve">(E) Simplified Cost Options </w:t>
      </w:r>
    </w:p>
    <w:p w:rsidR="008C2902" w:rsidRDefault="00AD2EC1">
      <w:pPr>
        <w:pStyle w:val="Text1"/>
        <w:spacing w:before="240"/>
        <w:ind w:left="0"/>
        <w:rPr>
          <w:rFonts w:ascii="Verdana" w:eastAsia="Calibri" w:hAnsi="Verdana"/>
          <w:noProof/>
          <w:sz w:val="20"/>
          <w:szCs w:val="22"/>
        </w:rPr>
      </w:pPr>
      <w:r>
        <w:rPr>
          <w:rFonts w:ascii="Verdana" w:hAnsi="Verdana" w:cs="Calibri"/>
          <w:noProof/>
          <w:sz w:val="20"/>
        </w:rPr>
        <w:t>In 2014, the Commission continued to actively promote the use of Simplified Cost Options (SCOs). Seminars took place in Italy, France, Ireland and Malta to promote the use of SCOs, as a way to further reduce the risks of errors in the legality and regularity of the transactions, notably in the context of the preparation of the next 2014-2020 programming period. In addition, an updated guidance note for the Member States on SCOs was finalised in September 2014 and an Italian case study on the implementation of SCOs in the 2007-2013 programming period was published in 2014.</w:t>
      </w:r>
    </w:p>
    <w:p w:rsidR="008C2902" w:rsidRDefault="00AD2EC1">
      <w:pPr>
        <w:pStyle w:val="ManualHeading2"/>
        <w:rPr>
          <w:noProof/>
        </w:rPr>
      </w:pPr>
      <w:bookmarkStart w:id="121" w:name="_Toc431383867"/>
      <w:bookmarkStart w:id="122" w:name="_Toc432061785"/>
      <w:r>
        <w:t>4.3.</w:t>
      </w:r>
      <w:r>
        <w:tab/>
      </w:r>
      <w:r>
        <w:rPr>
          <w:noProof/>
        </w:rPr>
        <w:t>Recoveries</w:t>
      </w:r>
      <w:bookmarkEnd w:id="121"/>
      <w:bookmarkEnd w:id="122"/>
    </w:p>
    <w:p w:rsidR="008C2902" w:rsidRDefault="00AD2EC1">
      <w:pPr>
        <w:spacing w:after="240" w:line="240" w:lineRule="auto"/>
        <w:jc w:val="both"/>
        <w:rPr>
          <w:rFonts w:ascii="Verdana" w:hAnsi="Verdana"/>
          <w:noProof/>
          <w:sz w:val="20"/>
        </w:rPr>
      </w:pPr>
      <w:r>
        <w:rPr>
          <w:rFonts w:ascii="Verdana" w:hAnsi="Verdana"/>
          <w:noProof/>
          <w:sz w:val="20"/>
        </w:rPr>
        <w:t xml:space="preserve">The tables below provide the amounts of recoveries confirmed and implemented for the period 2009-2014. See also table </w:t>
      </w:r>
      <w:r>
        <w:rPr>
          <w:rFonts w:ascii="Verdana" w:hAnsi="Verdana"/>
          <w:b/>
          <w:noProof/>
          <w:sz w:val="20"/>
        </w:rPr>
        <w:t>5.2</w:t>
      </w:r>
      <w:r>
        <w:rPr>
          <w:rFonts w:ascii="Verdana" w:hAnsi="Verdana"/>
          <w:noProof/>
          <w:sz w:val="20"/>
        </w:rPr>
        <w:t xml:space="preserve"> below concerning the impact on the EU budget.</w:t>
      </w:r>
    </w:p>
    <w:p w:rsidR="008C2902" w:rsidRDefault="00AD2EC1">
      <w:pPr>
        <w:spacing w:after="0"/>
        <w:jc w:val="both"/>
        <w:rPr>
          <w:rFonts w:ascii="Verdana" w:hAnsi="Verdana" w:cs="Arial"/>
          <w:b/>
          <w:bCs/>
          <w:i/>
          <w:noProof/>
          <w:sz w:val="20"/>
        </w:rPr>
      </w:pPr>
      <w:r>
        <w:rPr>
          <w:rFonts w:ascii="Verdana" w:hAnsi="Verdana" w:cs="Arial"/>
          <w:b/>
          <w:bCs/>
          <w:i/>
          <w:noProof/>
          <w:sz w:val="20"/>
        </w:rPr>
        <w:t>Table 4.3.1: Recoveries confirmed 2009-2014</w:t>
      </w:r>
    </w:p>
    <w:tbl>
      <w:tblPr>
        <w:tblW w:w="8080" w:type="dxa"/>
        <w:tblInd w:w="108" w:type="dxa"/>
        <w:tblLook w:val="04A0" w:firstRow="1" w:lastRow="0" w:firstColumn="1" w:lastColumn="0" w:noHBand="0" w:noVBand="1"/>
      </w:tblPr>
      <w:tblGrid>
        <w:gridCol w:w="1985"/>
        <w:gridCol w:w="850"/>
        <w:gridCol w:w="851"/>
        <w:gridCol w:w="850"/>
        <w:gridCol w:w="851"/>
        <w:gridCol w:w="850"/>
        <w:gridCol w:w="851"/>
        <w:gridCol w:w="992"/>
      </w:tblGrid>
      <w:tr w:rsidR="008C2902">
        <w:trPr>
          <w:trHeight w:val="270"/>
        </w:trPr>
        <w:tc>
          <w:tcPr>
            <w:tcW w:w="8080" w:type="dxa"/>
            <w:gridSpan w:val="8"/>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bookmarkStart w:id="123" w:name="_Toc365022341"/>
            <w:r>
              <w:rPr>
                <w:rFonts w:ascii="Verdana" w:eastAsia="Times New Roman" w:hAnsi="Verdana"/>
                <w:i/>
                <w:iCs/>
                <w:noProof/>
                <w:color w:val="000000"/>
                <w:sz w:val="16"/>
                <w:szCs w:val="16"/>
                <w:lang w:eastAsia="en-GB"/>
              </w:rPr>
              <w:t>EUR millions</w:t>
            </w:r>
          </w:p>
        </w:tc>
      </w:tr>
      <w:tr w:rsidR="008C2902">
        <w:trPr>
          <w:trHeight w:val="255"/>
        </w:trPr>
        <w:tc>
          <w:tcPr>
            <w:tcW w:w="1985" w:type="dxa"/>
            <w:tcBorders>
              <w:top w:val="nil"/>
              <w:left w:val="single" w:sz="8" w:space="0" w:color="auto"/>
              <w:bottom w:val="nil"/>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w:t>
            </w:r>
          </w:p>
        </w:tc>
        <w:tc>
          <w:tcPr>
            <w:tcW w:w="5103" w:type="dxa"/>
            <w:gridSpan w:val="6"/>
            <w:vMerge w:val="restart"/>
            <w:tcBorders>
              <w:top w:val="single" w:sz="8" w:space="0" w:color="auto"/>
              <w:left w:val="single" w:sz="8" w:space="0" w:color="000000"/>
              <w:bottom w:val="single" w:sz="8" w:space="0" w:color="000000"/>
              <w:right w:val="single" w:sz="8" w:space="0" w:color="000000"/>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Years</w:t>
            </w:r>
          </w:p>
        </w:tc>
        <w:tc>
          <w:tcPr>
            <w:tcW w:w="992" w:type="dxa"/>
            <w:vMerge w:val="restart"/>
            <w:tcBorders>
              <w:top w:val="nil"/>
              <w:left w:val="nil"/>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w:t>
            </w:r>
          </w:p>
        </w:tc>
      </w:tr>
      <w:tr w:rsidR="008C2902">
        <w:trPr>
          <w:trHeight w:val="270"/>
        </w:trPr>
        <w:tc>
          <w:tcPr>
            <w:tcW w:w="1985" w:type="dxa"/>
            <w:tcBorders>
              <w:top w:val="nil"/>
              <w:left w:val="single" w:sz="8" w:space="0" w:color="auto"/>
              <w:bottom w:val="nil"/>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Recoveries</w:t>
            </w:r>
          </w:p>
        </w:tc>
        <w:tc>
          <w:tcPr>
            <w:tcW w:w="5103" w:type="dxa"/>
            <w:gridSpan w:val="6"/>
            <w:vMerge/>
            <w:tcBorders>
              <w:top w:val="nil"/>
              <w:left w:val="single" w:sz="8" w:space="0" w:color="auto"/>
              <w:bottom w:val="single" w:sz="4" w:space="0" w:color="auto"/>
              <w:right w:val="single" w:sz="8" w:space="0" w:color="000000"/>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992" w:type="dxa"/>
            <w:vMerge/>
            <w:tcBorders>
              <w:top w:val="nil"/>
              <w:left w:val="nil"/>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70"/>
        </w:trPr>
        <w:tc>
          <w:tcPr>
            <w:tcW w:w="1985" w:type="dxa"/>
            <w:tcBorders>
              <w:top w:val="nil"/>
              <w:left w:val="single" w:sz="8" w:space="0" w:color="auto"/>
              <w:bottom w:val="single" w:sz="8" w:space="0" w:color="auto"/>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noProof/>
                <w:color w:val="000000"/>
                <w:sz w:val="20"/>
                <w:szCs w:val="20"/>
                <w:lang w:eastAsia="en-GB"/>
              </w:rPr>
            </w:pPr>
            <w:r>
              <w:rPr>
                <w:rFonts w:ascii="Verdana" w:eastAsia="Times New Roman" w:hAnsi="Verdana"/>
                <w:noProof/>
                <w:color w:val="000000"/>
                <w:sz w:val="20"/>
                <w:szCs w:val="20"/>
                <w:lang w:eastAsia="en-GB"/>
              </w:rPr>
              <w:t> </w:t>
            </w:r>
          </w:p>
        </w:tc>
        <w:tc>
          <w:tcPr>
            <w:tcW w:w="850"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2009</w:t>
            </w:r>
          </w:p>
        </w:tc>
        <w:tc>
          <w:tcPr>
            <w:tcW w:w="851"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2010</w:t>
            </w:r>
          </w:p>
        </w:tc>
        <w:tc>
          <w:tcPr>
            <w:tcW w:w="850"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2011</w:t>
            </w:r>
          </w:p>
        </w:tc>
        <w:tc>
          <w:tcPr>
            <w:tcW w:w="851"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2012</w:t>
            </w:r>
          </w:p>
        </w:tc>
        <w:tc>
          <w:tcPr>
            <w:tcW w:w="850"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2013</w:t>
            </w:r>
          </w:p>
        </w:tc>
        <w:tc>
          <w:tcPr>
            <w:tcW w:w="851" w:type="dxa"/>
            <w:tcBorders>
              <w:top w:val="single" w:sz="4"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2014</w:t>
            </w:r>
          </w:p>
        </w:tc>
        <w:tc>
          <w:tcPr>
            <w:tcW w:w="992" w:type="dxa"/>
            <w:vMerge/>
            <w:tcBorders>
              <w:top w:val="nil"/>
              <w:left w:val="nil"/>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55"/>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Agriculture:</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center"/>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r>
      <w:tr w:rsidR="008C2902">
        <w:trPr>
          <w:trHeight w:val="123"/>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ind w:left="176"/>
              <w:contextualSpacing/>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163</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178</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174</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162</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227</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1 117</w:t>
            </w:r>
          </w:p>
        </w:tc>
      </w:tr>
      <w:tr w:rsidR="008C2902">
        <w:trPr>
          <w:trHeight w:val="212"/>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ind w:left="176"/>
              <w:contextualSpacing/>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25</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114</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161</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145</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139</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165</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750</w:t>
            </w:r>
          </w:p>
        </w:tc>
      </w:tr>
      <w:tr w:rsidR="008C2902">
        <w:trPr>
          <w:trHeight w:val="255"/>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Cohesion</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102</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24</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50</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83</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35</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315</w:t>
            </w:r>
          </w:p>
        </w:tc>
      </w:tr>
      <w:tr w:rsidR="008C2902">
        <w:trPr>
          <w:trHeight w:val="255"/>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Internal policy areas</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100</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188</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270</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252</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393</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293</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1 495</w:t>
            </w:r>
          </w:p>
        </w:tc>
      </w:tr>
      <w:tr w:rsidR="008C2902">
        <w:trPr>
          <w:trHeight w:val="253"/>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External policy areas</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81</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137</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107</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107</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93</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127</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652</w:t>
            </w:r>
          </w:p>
        </w:tc>
      </w:tr>
      <w:tr w:rsidR="008C2902">
        <w:trPr>
          <w:trHeight w:val="270"/>
        </w:trPr>
        <w:tc>
          <w:tcPr>
            <w:tcW w:w="1985" w:type="dxa"/>
            <w:tcBorders>
              <w:top w:val="nil"/>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Administration</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9</w:t>
            </w:r>
          </w:p>
        </w:tc>
        <w:tc>
          <w:tcPr>
            <w:tcW w:w="851"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w:t>
            </w:r>
          </w:p>
        </w:tc>
        <w:tc>
          <w:tcPr>
            <w:tcW w:w="850"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8</w:t>
            </w:r>
          </w:p>
        </w:tc>
        <w:tc>
          <w:tcPr>
            <w:tcW w:w="851"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7</w:t>
            </w:r>
          </w:p>
        </w:tc>
        <w:tc>
          <w:tcPr>
            <w:tcW w:w="850"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6</w:t>
            </w:r>
          </w:p>
        </w:tc>
        <w:tc>
          <w:tcPr>
            <w:tcW w:w="851"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w:t>
            </w:r>
          </w:p>
        </w:tc>
        <w:tc>
          <w:tcPr>
            <w:tcW w:w="992"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40</w:t>
            </w:r>
          </w:p>
        </w:tc>
      </w:tr>
      <w:tr w:rsidR="008C2902">
        <w:trPr>
          <w:trHeight w:val="270"/>
        </w:trPr>
        <w:tc>
          <w:tcPr>
            <w:tcW w:w="1985" w:type="dxa"/>
            <w:tcBorders>
              <w:top w:val="nil"/>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contextualSpacing/>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480</w:t>
            </w:r>
          </w:p>
        </w:tc>
        <w:tc>
          <w:tcPr>
            <w:tcW w:w="851"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646</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770</w:t>
            </w:r>
          </w:p>
        </w:tc>
        <w:tc>
          <w:tcPr>
            <w:tcW w:w="851"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695</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941</w:t>
            </w:r>
          </w:p>
        </w:tc>
        <w:tc>
          <w:tcPr>
            <w:tcW w:w="851"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838</w:t>
            </w:r>
          </w:p>
        </w:tc>
        <w:tc>
          <w:tcPr>
            <w:tcW w:w="992"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contextualSpacing/>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4 368</w:t>
            </w:r>
          </w:p>
        </w:tc>
      </w:tr>
    </w:tbl>
    <w:p w:rsidR="008C2902" w:rsidRDefault="00AD2EC1">
      <w:pPr>
        <w:spacing w:before="240" w:after="0"/>
        <w:jc w:val="both"/>
        <w:rPr>
          <w:rFonts w:ascii="Verdana" w:hAnsi="Verdana" w:cs="Arial"/>
          <w:b/>
          <w:bCs/>
          <w:i/>
          <w:noProof/>
          <w:sz w:val="20"/>
        </w:rPr>
      </w:pPr>
      <w:r>
        <w:rPr>
          <w:rFonts w:ascii="Verdana" w:hAnsi="Verdana" w:cs="Arial"/>
          <w:b/>
          <w:bCs/>
          <w:i/>
          <w:noProof/>
          <w:sz w:val="20"/>
        </w:rPr>
        <w:t>Table 4.3.2: Recoveries implemented 2009-2014</w:t>
      </w:r>
    </w:p>
    <w:tbl>
      <w:tblPr>
        <w:tblW w:w="8080" w:type="dxa"/>
        <w:tblInd w:w="108" w:type="dxa"/>
        <w:tblLook w:val="04A0" w:firstRow="1" w:lastRow="0" w:firstColumn="1" w:lastColumn="0" w:noHBand="0" w:noVBand="1"/>
      </w:tblPr>
      <w:tblGrid>
        <w:gridCol w:w="1985"/>
        <w:gridCol w:w="850"/>
        <w:gridCol w:w="851"/>
        <w:gridCol w:w="850"/>
        <w:gridCol w:w="851"/>
        <w:gridCol w:w="850"/>
        <w:gridCol w:w="851"/>
        <w:gridCol w:w="992"/>
      </w:tblGrid>
      <w:tr w:rsidR="008C2902">
        <w:trPr>
          <w:trHeight w:val="270"/>
        </w:trPr>
        <w:tc>
          <w:tcPr>
            <w:tcW w:w="8080" w:type="dxa"/>
            <w:gridSpan w:val="8"/>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255"/>
        </w:trPr>
        <w:tc>
          <w:tcPr>
            <w:tcW w:w="1985" w:type="dxa"/>
            <w:tcBorders>
              <w:top w:val="nil"/>
              <w:left w:val="single" w:sz="8" w:space="0" w:color="auto"/>
              <w:bottom w:val="nil"/>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w:t>
            </w:r>
          </w:p>
        </w:tc>
        <w:tc>
          <w:tcPr>
            <w:tcW w:w="5103" w:type="dxa"/>
            <w:gridSpan w:val="6"/>
            <w:vMerge w:val="restart"/>
            <w:tcBorders>
              <w:top w:val="single" w:sz="8" w:space="0" w:color="auto"/>
              <w:left w:val="single" w:sz="8" w:space="0" w:color="000000"/>
              <w:bottom w:val="single" w:sz="8" w:space="0" w:color="000000"/>
              <w:right w:val="single" w:sz="8" w:space="0" w:color="000000"/>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Years</w:t>
            </w:r>
          </w:p>
        </w:tc>
        <w:tc>
          <w:tcPr>
            <w:tcW w:w="992" w:type="dxa"/>
            <w:vMerge w:val="restart"/>
            <w:tcBorders>
              <w:top w:val="nil"/>
              <w:left w:val="nil"/>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w:t>
            </w:r>
          </w:p>
        </w:tc>
      </w:tr>
      <w:tr w:rsidR="008C2902">
        <w:trPr>
          <w:trHeight w:val="270"/>
        </w:trPr>
        <w:tc>
          <w:tcPr>
            <w:tcW w:w="1985" w:type="dxa"/>
            <w:tcBorders>
              <w:top w:val="nil"/>
              <w:left w:val="single" w:sz="8" w:space="0" w:color="auto"/>
              <w:bottom w:val="nil"/>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Recoveries</w:t>
            </w:r>
          </w:p>
        </w:tc>
        <w:tc>
          <w:tcPr>
            <w:tcW w:w="5103" w:type="dxa"/>
            <w:gridSpan w:val="6"/>
            <w:vMerge/>
            <w:tcBorders>
              <w:top w:val="nil"/>
              <w:left w:val="single" w:sz="8" w:space="0" w:color="auto"/>
              <w:bottom w:val="single" w:sz="8" w:space="0" w:color="auto"/>
              <w:right w:val="single" w:sz="8" w:space="0" w:color="000000"/>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992" w:type="dxa"/>
            <w:vMerge/>
            <w:tcBorders>
              <w:top w:val="nil"/>
              <w:left w:val="nil"/>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70"/>
        </w:trPr>
        <w:tc>
          <w:tcPr>
            <w:tcW w:w="1985" w:type="dxa"/>
            <w:tcBorders>
              <w:top w:val="nil"/>
              <w:left w:val="single" w:sz="8" w:space="0" w:color="auto"/>
              <w:bottom w:val="single" w:sz="8" w:space="0" w:color="auto"/>
              <w:right w:val="single" w:sz="8" w:space="0" w:color="000000"/>
            </w:tcBorders>
            <w:shd w:val="clear" w:color="000000" w:fill="99CCFF"/>
            <w:noWrap/>
            <w:vAlign w:val="center"/>
            <w:hideMark/>
          </w:tcPr>
          <w:p w:rsidR="008C2902" w:rsidRDefault="00AD2EC1">
            <w:pPr>
              <w:spacing w:after="0" w:line="240" w:lineRule="auto"/>
              <w:jc w:val="both"/>
              <w:rPr>
                <w:rFonts w:ascii="Verdana" w:eastAsia="Times New Roman" w:hAnsi="Verdana"/>
                <w:noProof/>
                <w:color w:val="000000"/>
                <w:sz w:val="20"/>
                <w:szCs w:val="20"/>
                <w:lang w:eastAsia="en-GB"/>
              </w:rPr>
            </w:pPr>
            <w:r>
              <w:rPr>
                <w:rFonts w:ascii="Verdana" w:eastAsia="Times New Roman" w:hAnsi="Verdana"/>
                <w:noProof/>
                <w:color w:val="000000"/>
                <w:sz w:val="20"/>
                <w:szCs w:val="20"/>
                <w:lang w:eastAsia="en-GB"/>
              </w:rPr>
              <w:t> </w:t>
            </w:r>
          </w:p>
        </w:tc>
        <w:tc>
          <w:tcPr>
            <w:tcW w:w="850"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2009</w:t>
            </w:r>
          </w:p>
        </w:tc>
        <w:tc>
          <w:tcPr>
            <w:tcW w:w="851"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2010</w:t>
            </w:r>
          </w:p>
        </w:tc>
        <w:tc>
          <w:tcPr>
            <w:tcW w:w="850"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2011</w:t>
            </w:r>
          </w:p>
        </w:tc>
        <w:tc>
          <w:tcPr>
            <w:tcW w:w="851"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2012</w:t>
            </w:r>
          </w:p>
        </w:tc>
        <w:tc>
          <w:tcPr>
            <w:tcW w:w="850"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2013</w:t>
            </w:r>
          </w:p>
        </w:tc>
        <w:tc>
          <w:tcPr>
            <w:tcW w:w="851" w:type="dxa"/>
            <w:tcBorders>
              <w:top w:val="single" w:sz="8" w:space="0" w:color="auto"/>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2014</w:t>
            </w:r>
          </w:p>
        </w:tc>
        <w:tc>
          <w:tcPr>
            <w:tcW w:w="992" w:type="dxa"/>
            <w:vMerge/>
            <w:tcBorders>
              <w:top w:val="nil"/>
              <w:left w:val="nil"/>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59"/>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Agriculture:</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w:t>
            </w:r>
          </w:p>
        </w:tc>
      </w:tr>
      <w:tr w:rsidR="008C2902">
        <w:trPr>
          <w:trHeight w:val="165"/>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ind w:left="176"/>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148</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172</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178</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161</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155</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150</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964</w:t>
            </w:r>
          </w:p>
        </w:tc>
      </w:tr>
      <w:tr w:rsidR="008C2902">
        <w:trPr>
          <w:trHeight w:val="111"/>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ind w:left="176"/>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25</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114</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161</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166</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129</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167</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763</w:t>
            </w:r>
          </w:p>
        </w:tc>
      </w:tr>
      <w:tr w:rsidR="008C2902">
        <w:trPr>
          <w:trHeight w:val="259"/>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Cohesion</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102</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25</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48</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14</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81</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32</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301</w:t>
            </w:r>
          </w:p>
        </w:tc>
      </w:tr>
      <w:tr w:rsidR="008C2902">
        <w:trPr>
          <w:trHeight w:val="259"/>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Internal policy areas</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100</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162</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268</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229</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398</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274</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1 432</w:t>
            </w:r>
          </w:p>
        </w:tc>
      </w:tr>
      <w:tr w:rsidR="008C2902">
        <w:trPr>
          <w:trHeight w:val="259"/>
        </w:trPr>
        <w:tc>
          <w:tcPr>
            <w:tcW w:w="1985" w:type="dxa"/>
            <w:tcBorders>
              <w:top w:val="nil"/>
              <w:left w:val="single" w:sz="8" w:space="0" w:color="auto"/>
              <w:bottom w:val="nil"/>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External policy areas</w:t>
            </w:r>
          </w:p>
        </w:tc>
        <w:tc>
          <w:tcPr>
            <w:tcW w:w="850" w:type="dxa"/>
            <w:tcBorders>
              <w:top w:val="nil"/>
              <w:left w:val="nil"/>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81</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136</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77</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99</w:t>
            </w:r>
          </w:p>
        </w:tc>
        <w:tc>
          <w:tcPr>
            <w:tcW w:w="850"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93</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108</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594</w:t>
            </w:r>
          </w:p>
        </w:tc>
      </w:tr>
      <w:tr w:rsidR="008C2902">
        <w:trPr>
          <w:trHeight w:val="259"/>
        </w:trPr>
        <w:tc>
          <w:tcPr>
            <w:tcW w:w="1985" w:type="dxa"/>
            <w:tcBorders>
              <w:top w:val="nil"/>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Administration</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w:t>
            </w:r>
          </w:p>
        </w:tc>
        <w:tc>
          <w:tcPr>
            <w:tcW w:w="851"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c>
          <w:tcPr>
            <w:tcW w:w="850"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w:t>
            </w:r>
          </w:p>
        </w:tc>
        <w:tc>
          <w:tcPr>
            <w:tcW w:w="851"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w:t>
            </w:r>
          </w:p>
        </w:tc>
        <w:tc>
          <w:tcPr>
            <w:tcW w:w="850" w:type="dxa"/>
            <w:tcBorders>
              <w:top w:val="nil"/>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w:t>
            </w:r>
          </w:p>
        </w:tc>
        <w:tc>
          <w:tcPr>
            <w:tcW w:w="851"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5</w:t>
            </w:r>
          </w:p>
        </w:tc>
        <w:tc>
          <w:tcPr>
            <w:tcW w:w="992" w:type="dxa"/>
            <w:tcBorders>
              <w:top w:val="nil"/>
              <w:left w:val="nil"/>
              <w:bottom w:val="nil"/>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36</w:t>
            </w:r>
          </w:p>
        </w:tc>
      </w:tr>
      <w:tr w:rsidR="008C2902">
        <w:trPr>
          <w:trHeight w:val="259"/>
        </w:trPr>
        <w:tc>
          <w:tcPr>
            <w:tcW w:w="1985" w:type="dxa"/>
            <w:tcBorders>
              <w:top w:val="nil"/>
              <w:left w:val="single" w:sz="8" w:space="0" w:color="auto"/>
              <w:bottom w:val="single" w:sz="8" w:space="0" w:color="auto"/>
              <w:right w:val="single" w:sz="8" w:space="0" w:color="000000"/>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464</w:t>
            </w:r>
          </w:p>
        </w:tc>
        <w:tc>
          <w:tcPr>
            <w:tcW w:w="851"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614</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734</w:t>
            </w:r>
          </w:p>
        </w:tc>
        <w:tc>
          <w:tcPr>
            <w:tcW w:w="851"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678</w:t>
            </w:r>
          </w:p>
        </w:tc>
        <w:tc>
          <w:tcPr>
            <w:tcW w:w="850" w:type="dxa"/>
            <w:tcBorders>
              <w:top w:val="nil"/>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862</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736</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4 089</w:t>
            </w:r>
          </w:p>
        </w:tc>
      </w:tr>
    </w:tbl>
    <w:p w:rsidR="008C2902" w:rsidRDefault="00AD2EC1">
      <w:pPr>
        <w:pStyle w:val="ManualHeading1"/>
        <w:rPr>
          <w:rFonts w:eastAsia="Calibri"/>
          <w:caps/>
          <w:noProof/>
        </w:rPr>
      </w:pPr>
      <w:bookmarkStart w:id="124" w:name="_Toc431383868"/>
      <w:bookmarkStart w:id="125" w:name="_Toc432061786"/>
      <w:r>
        <w:rPr>
          <w:rFonts w:eastAsia="Calibri"/>
        </w:rPr>
        <w:lastRenderedPageBreak/>
        <w:t>5.</w:t>
      </w:r>
      <w:r>
        <w:rPr>
          <w:rFonts w:eastAsia="Calibri"/>
        </w:rPr>
        <w:tab/>
      </w:r>
      <w:r>
        <w:rPr>
          <w:rFonts w:eastAsia="Calibri"/>
          <w:noProof/>
        </w:rPr>
        <w:t>NET CORRECTIONS</w:t>
      </w:r>
      <w:bookmarkEnd w:id="124"/>
      <w:bookmarkEnd w:id="125"/>
    </w:p>
    <w:p w:rsidR="008C2902" w:rsidRDefault="00AD2EC1">
      <w:pPr>
        <w:spacing w:line="240" w:lineRule="auto"/>
        <w:jc w:val="both"/>
        <w:rPr>
          <w:noProof/>
        </w:rPr>
      </w:pPr>
      <w:r>
        <w:rPr>
          <w:rFonts w:ascii="Verdana" w:hAnsi="Verdana"/>
          <w:noProof/>
          <w:sz w:val="20"/>
        </w:rPr>
        <w:t xml:space="preserve">The </w:t>
      </w:r>
      <w:r>
        <w:rPr>
          <w:rFonts w:ascii="Verdana" w:hAnsi="Verdana"/>
          <w:noProof/>
          <w:sz w:val="20"/>
          <w:lang w:eastAsia="en-GB"/>
        </w:rPr>
        <w:t>budget implementation type, the sectorial management and the financial rules of the policy area influence how the EU budget is impacted by the different correction mechanisms. In all cases, the correction mechanisms result in the EU budget being protected from expenditure incurred in breach of law.</w:t>
      </w:r>
    </w:p>
    <w:p w:rsidR="008C2902" w:rsidRDefault="00AD2EC1">
      <w:pPr>
        <w:pStyle w:val="ManualHeading2"/>
        <w:rPr>
          <w:noProof/>
        </w:rPr>
      </w:pPr>
      <w:bookmarkStart w:id="126" w:name="_Toc431383869"/>
      <w:bookmarkStart w:id="127" w:name="_Toc399420060"/>
      <w:bookmarkStart w:id="128" w:name="_Toc365022342"/>
      <w:bookmarkStart w:id="129" w:name="_Toc432061787"/>
      <w:bookmarkEnd w:id="123"/>
      <w:r>
        <w:t>5.1.</w:t>
      </w:r>
      <w:r>
        <w:tab/>
      </w:r>
      <w:r>
        <w:rPr>
          <w:noProof/>
        </w:rPr>
        <w:t>Net financial corrections 2014</w:t>
      </w:r>
      <w:bookmarkEnd w:id="126"/>
      <w:bookmarkEnd w:id="129"/>
      <w:r>
        <w:rPr>
          <w:noProof/>
        </w:rPr>
        <w:t xml:space="preserve"> </w:t>
      </w:r>
      <w:bookmarkEnd w:id="127"/>
    </w:p>
    <w:p w:rsidR="008C2902" w:rsidRDefault="00AD2EC1">
      <w:pPr>
        <w:spacing w:after="240" w:line="240" w:lineRule="auto"/>
        <w:jc w:val="both"/>
        <w:rPr>
          <w:rFonts w:ascii="Verdana" w:hAnsi="Verdana"/>
          <w:noProof/>
          <w:sz w:val="20"/>
          <w:szCs w:val="20"/>
        </w:rPr>
      </w:pPr>
      <w:r>
        <w:rPr>
          <w:rFonts w:ascii="Verdana" w:hAnsi="Verdana"/>
          <w:noProof/>
          <w:sz w:val="20"/>
          <w:szCs w:val="20"/>
        </w:rPr>
        <w:t>A net financial correction is a correction that impacts the EU budget, (i.e. the corrected and recovered amounts are reimbursed to the EU budget). As a consequence, the EU funding is decreased for the Member State concerned.</w:t>
      </w:r>
    </w:p>
    <w:p w:rsidR="008C2902" w:rsidRDefault="00AD2EC1">
      <w:pPr>
        <w:spacing w:after="120" w:line="240" w:lineRule="auto"/>
        <w:jc w:val="both"/>
        <w:rPr>
          <w:rFonts w:ascii="Verdana" w:hAnsi="Verdana"/>
          <w:noProof/>
          <w:sz w:val="20"/>
          <w:szCs w:val="20"/>
        </w:rPr>
      </w:pPr>
      <w:r>
        <w:rPr>
          <w:rFonts w:ascii="Verdana" w:hAnsi="Verdana"/>
          <w:noProof/>
          <w:sz w:val="20"/>
          <w:szCs w:val="20"/>
        </w:rPr>
        <w:t>As explained above, under the programming periods 2000-2006 and 2007-2013 net corrections were primarily made under Agricultural policy.</w:t>
      </w:r>
    </w:p>
    <w:tbl>
      <w:tblPr>
        <w:tblW w:w="9238" w:type="dxa"/>
        <w:tblInd w:w="-34" w:type="dxa"/>
        <w:tblLook w:val="04A0" w:firstRow="1" w:lastRow="0" w:firstColumn="1" w:lastColumn="0" w:noHBand="0" w:noVBand="1"/>
      </w:tblPr>
      <w:tblGrid>
        <w:gridCol w:w="3828"/>
        <w:gridCol w:w="1559"/>
        <w:gridCol w:w="1843"/>
        <w:gridCol w:w="2008"/>
      </w:tblGrid>
      <w:tr w:rsidR="008C2902">
        <w:trPr>
          <w:trHeight w:val="600"/>
        </w:trPr>
        <w:tc>
          <w:tcPr>
            <w:tcW w:w="9238" w:type="dxa"/>
            <w:gridSpan w:val="4"/>
            <w:tcBorders>
              <w:top w:val="nil"/>
              <w:left w:val="nil"/>
              <w:bottom w:val="nil"/>
              <w:right w:val="nil"/>
            </w:tcBorders>
            <w:shd w:val="clear" w:color="auto" w:fill="auto"/>
            <w:noWrap/>
            <w:vAlign w:val="center"/>
            <w:hideMark/>
          </w:tcPr>
          <w:p w:rsidR="008C2902" w:rsidRDefault="00AD2EC1">
            <w:pPr>
              <w:spacing w:after="0" w:line="240" w:lineRule="auto"/>
              <w:jc w:val="both"/>
              <w:rPr>
                <w:rFonts w:ascii="Verdana" w:eastAsia="Times New Roman" w:hAnsi="Verdana"/>
                <w:b/>
                <w:bCs/>
                <w:i/>
                <w:iCs/>
                <w:noProof/>
                <w:color w:val="000000"/>
                <w:sz w:val="20"/>
                <w:szCs w:val="20"/>
                <w:lang w:eastAsia="en-GB"/>
              </w:rPr>
            </w:pPr>
            <w:r>
              <w:rPr>
                <w:rFonts w:ascii="Verdana" w:eastAsia="Times New Roman" w:hAnsi="Verdana"/>
                <w:b/>
                <w:bCs/>
                <w:i/>
                <w:iCs/>
                <w:noProof/>
                <w:color w:val="000000"/>
                <w:sz w:val="20"/>
                <w:szCs w:val="20"/>
                <w:lang w:eastAsia="en-GB"/>
              </w:rPr>
              <w:t>Table 5.1.1: Breakdown of net financial corrections confirmed in 2014</w:t>
            </w:r>
          </w:p>
        </w:tc>
      </w:tr>
      <w:tr w:rsidR="008C2902">
        <w:trPr>
          <w:trHeight w:val="270"/>
        </w:trPr>
        <w:tc>
          <w:tcPr>
            <w:tcW w:w="9238" w:type="dxa"/>
            <w:gridSpan w:val="4"/>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1275"/>
        </w:trPr>
        <w:tc>
          <w:tcPr>
            <w:tcW w:w="3828" w:type="dxa"/>
            <w:tcBorders>
              <w:top w:val="nil"/>
              <w:left w:val="single" w:sz="8" w:space="0" w:color="auto"/>
              <w:bottom w:val="single" w:sz="8" w:space="0" w:color="000000"/>
              <w:right w:val="single" w:sz="8" w:space="0" w:color="auto"/>
            </w:tcBorders>
            <w:shd w:val="clear" w:color="000000" w:fill="99CCFF"/>
            <w:noWrap/>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MFF Heading</w:t>
            </w:r>
          </w:p>
        </w:tc>
        <w:tc>
          <w:tcPr>
            <w:tcW w:w="1559" w:type="dxa"/>
            <w:tcBorders>
              <w:top w:val="nil"/>
              <w:left w:val="nil"/>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Net financial corrections confirmed in 2014</w:t>
            </w:r>
          </w:p>
        </w:tc>
        <w:tc>
          <w:tcPr>
            <w:tcW w:w="1843"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Financial corrections with replacement of expenditure confirmed in 2014</w:t>
            </w:r>
          </w:p>
        </w:tc>
        <w:tc>
          <w:tcPr>
            <w:tcW w:w="2008"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financial corrections </w:t>
            </w:r>
            <w:r>
              <w:rPr>
                <w:rFonts w:ascii="Verdana" w:eastAsia="Times New Roman" w:hAnsi="Verdana"/>
                <w:b/>
                <w:bCs/>
                <w:noProof/>
                <w:color w:val="000000"/>
                <w:sz w:val="16"/>
                <w:szCs w:val="16"/>
                <w:u w:val="single"/>
                <w:lang w:eastAsia="en-GB"/>
              </w:rPr>
              <w:t>confirmed</w:t>
            </w:r>
            <w:r>
              <w:rPr>
                <w:rFonts w:ascii="Verdana" w:eastAsia="Times New Roman" w:hAnsi="Verdana"/>
                <w:b/>
                <w:bCs/>
                <w:noProof/>
                <w:color w:val="000000"/>
                <w:sz w:val="16"/>
                <w:szCs w:val="16"/>
                <w:lang w:eastAsia="en-GB"/>
              </w:rPr>
              <w:t xml:space="preserve"> in 2014</w:t>
            </w:r>
          </w:p>
        </w:tc>
      </w:tr>
      <w:tr w:rsidR="008C2902">
        <w:trPr>
          <w:trHeight w:val="383"/>
        </w:trPr>
        <w:tc>
          <w:tcPr>
            <w:tcW w:w="3828" w:type="dxa"/>
            <w:tcBorders>
              <w:top w:val="nil"/>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Smart &amp; inclusive growth</w:t>
            </w:r>
          </w:p>
        </w:tc>
        <w:tc>
          <w:tcPr>
            <w:tcW w:w="1559" w:type="dxa"/>
            <w:tcBorders>
              <w:top w:val="nil"/>
              <w:left w:val="nil"/>
              <w:bottom w:val="single" w:sz="8" w:space="0" w:color="auto"/>
              <w:right w:val="nil"/>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315</w:t>
            </w:r>
          </w:p>
        </w:tc>
        <w:tc>
          <w:tcPr>
            <w:tcW w:w="1843" w:type="dxa"/>
            <w:tcBorders>
              <w:top w:val="nil"/>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1 649</w:t>
            </w:r>
          </w:p>
        </w:tc>
        <w:tc>
          <w:tcPr>
            <w:tcW w:w="2008" w:type="dxa"/>
            <w:tcBorders>
              <w:top w:val="nil"/>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1 964</w:t>
            </w:r>
          </w:p>
        </w:tc>
      </w:tr>
      <w:tr w:rsidR="008C2902">
        <w:trPr>
          <w:trHeight w:val="133"/>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ERDF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185</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1 145</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1 330</w:t>
            </w:r>
          </w:p>
        </w:tc>
      </w:tr>
      <w:tr w:rsidR="008C2902">
        <w:trPr>
          <w:trHeight w:val="85"/>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Cohesion Fund</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31</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261</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292</w:t>
            </w:r>
          </w:p>
        </w:tc>
      </w:tr>
      <w:tr w:rsidR="008C2902">
        <w:trPr>
          <w:trHeight w:val="159"/>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ESF</w:t>
            </w:r>
          </w:p>
        </w:tc>
        <w:tc>
          <w:tcPr>
            <w:tcW w:w="1559" w:type="dxa"/>
            <w:tcBorders>
              <w:top w:val="nil"/>
              <w:left w:val="nil"/>
              <w:bottom w:val="nil"/>
              <w:right w:val="nil"/>
            </w:tcBorders>
            <w:shd w:val="clear" w:color="auto" w:fill="auto"/>
            <w:noWrap/>
            <w:vAlign w:val="bottom"/>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99</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243</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342</w:t>
            </w:r>
          </w:p>
        </w:tc>
      </w:tr>
      <w:tr w:rsidR="008C2902">
        <w:trPr>
          <w:trHeight w:val="469"/>
        </w:trPr>
        <w:tc>
          <w:tcPr>
            <w:tcW w:w="382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Sustainable growth: natural resources</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1 903</w:t>
            </w:r>
          </w:p>
        </w:tc>
        <w:tc>
          <w:tcPr>
            <w:tcW w:w="1843" w:type="dxa"/>
            <w:tcBorders>
              <w:top w:val="nil"/>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17</w:t>
            </w:r>
          </w:p>
        </w:tc>
        <w:tc>
          <w:tcPr>
            <w:tcW w:w="2008"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1 921</w:t>
            </w:r>
          </w:p>
        </w:tc>
      </w:tr>
      <w:tr w:rsidR="008C2902">
        <w:trPr>
          <w:trHeight w:val="121"/>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1 649</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1 649</w:t>
            </w:r>
          </w:p>
        </w:tc>
      </w:tr>
      <w:tr w:rsidR="008C2902">
        <w:trPr>
          <w:trHeight w:val="215"/>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220</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220</w:t>
            </w:r>
          </w:p>
        </w:tc>
      </w:tr>
      <w:tr w:rsidR="008C2902">
        <w:trPr>
          <w:trHeight w:val="147"/>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FIFG/EFF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21</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17</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39</w:t>
            </w:r>
          </w:p>
        </w:tc>
      </w:tr>
      <w:tr w:rsidR="008C2902">
        <w:trPr>
          <w:trHeight w:val="79"/>
        </w:trPr>
        <w:tc>
          <w:tcPr>
            <w:tcW w:w="3828"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EAGGF Guidance</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13</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w:t>
            </w:r>
          </w:p>
        </w:tc>
        <w:tc>
          <w:tcPr>
            <w:tcW w:w="200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13</w:t>
            </w:r>
          </w:p>
        </w:tc>
      </w:tr>
      <w:tr w:rsidR="008C2902">
        <w:trPr>
          <w:trHeight w:val="270"/>
        </w:trPr>
        <w:tc>
          <w:tcPr>
            <w:tcW w:w="382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Security &amp; citizenship </w:t>
            </w:r>
          </w:p>
        </w:tc>
        <w:tc>
          <w:tcPr>
            <w:tcW w:w="1559" w:type="dxa"/>
            <w:tcBorders>
              <w:top w:val="single" w:sz="8" w:space="0" w:color="auto"/>
              <w:left w:val="nil"/>
              <w:bottom w:val="single" w:sz="8" w:space="0" w:color="auto"/>
              <w:right w:val="nil"/>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5</w:t>
            </w:r>
          </w:p>
        </w:tc>
        <w:tc>
          <w:tcPr>
            <w:tcW w:w="184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w:t>
            </w:r>
          </w:p>
        </w:tc>
        <w:tc>
          <w:tcPr>
            <w:tcW w:w="200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5</w:t>
            </w:r>
          </w:p>
        </w:tc>
      </w:tr>
      <w:tr w:rsidR="008C2902">
        <w:trPr>
          <w:trHeight w:val="270"/>
        </w:trPr>
        <w:tc>
          <w:tcPr>
            <w:tcW w:w="3828" w:type="dxa"/>
            <w:tcBorders>
              <w:top w:val="nil"/>
              <w:left w:val="single" w:sz="8" w:space="0" w:color="auto"/>
              <w:bottom w:val="single" w:sz="8" w:space="0" w:color="auto"/>
              <w:right w:val="single" w:sz="8" w:space="0" w:color="auto"/>
            </w:tcBorders>
            <w:shd w:val="clear" w:color="auto" w:fill="auto"/>
            <w:noWrap/>
            <w:vAlign w:val="center"/>
          </w:tcPr>
          <w:p w:rsidR="008C2902" w:rsidRDefault="00AD2EC1">
            <w:pPr>
              <w:spacing w:after="0" w:line="240" w:lineRule="auto"/>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Migration and home affairs</w:t>
            </w:r>
          </w:p>
        </w:tc>
        <w:tc>
          <w:tcPr>
            <w:tcW w:w="1559" w:type="dxa"/>
            <w:tcBorders>
              <w:top w:val="nil"/>
              <w:left w:val="nil"/>
              <w:bottom w:val="nil"/>
              <w:right w:val="nil"/>
            </w:tcBorders>
            <w:shd w:val="clear" w:color="auto" w:fill="auto"/>
            <w:noWrap/>
            <w:vAlign w:val="bottom"/>
            <w:hideMark/>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 xml:space="preserve"> 5</w:t>
            </w:r>
          </w:p>
        </w:tc>
        <w:tc>
          <w:tcPr>
            <w:tcW w:w="1843" w:type="dxa"/>
            <w:tcBorders>
              <w:top w:val="nil"/>
              <w:left w:val="single" w:sz="8" w:space="0" w:color="auto"/>
              <w:bottom w:val="nil"/>
              <w:right w:val="single" w:sz="8" w:space="0" w:color="auto"/>
            </w:tcBorders>
            <w:shd w:val="clear" w:color="000000" w:fill="FFFFFF"/>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w:t>
            </w:r>
          </w:p>
        </w:tc>
        <w:tc>
          <w:tcPr>
            <w:tcW w:w="2008" w:type="dxa"/>
            <w:tcBorders>
              <w:top w:val="nil"/>
              <w:left w:val="nil"/>
              <w:bottom w:val="nil"/>
              <w:right w:val="single" w:sz="8" w:space="0" w:color="auto"/>
            </w:tcBorders>
            <w:shd w:val="clear" w:color="000000" w:fill="C6D9F1"/>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5</w:t>
            </w:r>
          </w:p>
        </w:tc>
      </w:tr>
      <w:tr w:rsidR="008C2902">
        <w:trPr>
          <w:trHeight w:val="270"/>
        </w:trPr>
        <w:tc>
          <w:tcPr>
            <w:tcW w:w="3828" w:type="dxa"/>
            <w:tcBorders>
              <w:top w:val="nil"/>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2 224</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1 666</w:t>
            </w:r>
          </w:p>
        </w:tc>
        <w:tc>
          <w:tcPr>
            <w:tcW w:w="2008"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3 890</w:t>
            </w:r>
          </w:p>
        </w:tc>
      </w:tr>
    </w:tbl>
    <w:p w:rsidR="008C2902" w:rsidRDefault="00AD2EC1">
      <w:pPr>
        <w:spacing w:after="120" w:line="240" w:lineRule="auto"/>
        <w:jc w:val="both"/>
        <w:rPr>
          <w:rFonts w:ascii="Verdana" w:hAnsi="Verdana"/>
          <w:i/>
          <w:noProof/>
          <w:sz w:val="16"/>
          <w:szCs w:val="16"/>
        </w:rPr>
      </w:pPr>
      <w:r>
        <w:rPr>
          <w:rFonts w:ascii="Verdana" w:hAnsi="Verdana"/>
          <w:i/>
          <w:noProof/>
          <w:sz w:val="16"/>
          <w:szCs w:val="16"/>
        </w:rPr>
        <w:t>A total of EUR 113 million remain to be classified and is treated as non-net corrections in this table.</w:t>
      </w:r>
    </w:p>
    <w:p w:rsidR="008C2902" w:rsidRDefault="00AD2EC1">
      <w:pPr>
        <w:spacing w:after="120" w:line="240" w:lineRule="auto"/>
        <w:jc w:val="both"/>
        <w:rPr>
          <w:rFonts w:ascii="Verdana" w:hAnsi="Verdana"/>
          <w:noProof/>
          <w:sz w:val="20"/>
        </w:rPr>
      </w:pPr>
      <w:r>
        <w:rPr>
          <w:rFonts w:ascii="Verdana" w:hAnsi="Verdana"/>
          <w:noProof/>
          <w:sz w:val="20"/>
        </w:rPr>
        <w:t xml:space="preserve">As shown above, </w:t>
      </w:r>
      <w:r>
        <w:rPr>
          <w:rFonts w:ascii="Verdana" w:hAnsi="Verdana"/>
          <w:b/>
          <w:noProof/>
          <w:sz w:val="20"/>
        </w:rPr>
        <w:t>Agriculture</w:t>
      </w:r>
      <w:r>
        <w:rPr>
          <w:rFonts w:ascii="Verdana" w:hAnsi="Verdana"/>
          <w:noProof/>
          <w:sz w:val="20"/>
        </w:rPr>
        <w:t xml:space="preserve"> corrections (EAGF, EAFRD, EAGGF) are always net whereas, due to the legal framework, for </w:t>
      </w:r>
      <w:r>
        <w:rPr>
          <w:rFonts w:ascii="Verdana" w:hAnsi="Verdana"/>
          <w:b/>
          <w:noProof/>
          <w:sz w:val="20"/>
        </w:rPr>
        <w:t>Cohesion Policy</w:t>
      </w:r>
      <w:r>
        <w:rPr>
          <w:rFonts w:ascii="Verdana" w:hAnsi="Verdana"/>
          <w:noProof/>
          <w:sz w:val="20"/>
        </w:rPr>
        <w:t xml:space="preserve">, net financial corrections leading to the return of previously paid amounts to the EU budget were generally the exception – see section </w:t>
      </w:r>
      <w:r>
        <w:rPr>
          <w:rFonts w:ascii="Verdana" w:hAnsi="Verdana"/>
          <w:b/>
          <w:noProof/>
          <w:sz w:val="20"/>
        </w:rPr>
        <w:t>3.1</w:t>
      </w:r>
      <w:r>
        <w:rPr>
          <w:rFonts w:ascii="Verdana" w:hAnsi="Verdana"/>
          <w:noProof/>
          <w:sz w:val="20"/>
        </w:rPr>
        <w:t xml:space="preserve"> for more explanation of the amounts.</w:t>
      </w:r>
    </w:p>
    <w:p w:rsidR="008C2902" w:rsidRDefault="00AD2EC1">
      <w:pPr>
        <w:tabs>
          <w:tab w:val="left" w:pos="0"/>
        </w:tabs>
        <w:spacing w:after="0" w:line="240" w:lineRule="auto"/>
        <w:jc w:val="both"/>
        <w:rPr>
          <w:rFonts w:ascii="Verdana" w:hAnsi="Verdana"/>
          <w:noProof/>
          <w:sz w:val="20"/>
          <w:szCs w:val="20"/>
        </w:rPr>
      </w:pPr>
      <w:r>
        <w:rPr>
          <w:rFonts w:ascii="Verdana" w:hAnsi="Verdana"/>
          <w:noProof/>
          <w:sz w:val="20"/>
          <w:szCs w:val="20"/>
        </w:rPr>
        <w:t xml:space="preserve">Under the legal framework applicable for </w:t>
      </w:r>
      <w:r>
        <w:rPr>
          <w:rFonts w:ascii="Verdana" w:hAnsi="Verdana"/>
          <w:b/>
          <w:noProof/>
          <w:sz w:val="20"/>
          <w:szCs w:val="20"/>
        </w:rPr>
        <w:t>Cohesion Policy</w:t>
      </w:r>
      <w:r>
        <w:rPr>
          <w:rFonts w:ascii="Verdana" w:hAnsi="Verdana"/>
          <w:noProof/>
          <w:sz w:val="20"/>
          <w:szCs w:val="20"/>
        </w:rPr>
        <w:t xml:space="preserve"> up to the 2007-2013 programming period, a real cash-flow back to the EU budget occurs only:</w:t>
      </w:r>
    </w:p>
    <w:p w:rsidR="008C2902" w:rsidRDefault="00AD2EC1">
      <w:pPr>
        <w:pStyle w:val="ListParagraph"/>
        <w:numPr>
          <w:ilvl w:val="0"/>
          <w:numId w:val="35"/>
        </w:numPr>
        <w:tabs>
          <w:tab w:val="left" w:pos="0"/>
        </w:tabs>
        <w:spacing w:after="0"/>
        <w:rPr>
          <w:rFonts w:ascii="Verdana" w:hAnsi="Verdana"/>
          <w:noProof/>
          <w:sz w:val="20"/>
        </w:rPr>
      </w:pPr>
      <w:r>
        <w:rPr>
          <w:rFonts w:ascii="Verdana" w:hAnsi="Verdana"/>
          <w:noProof/>
          <w:sz w:val="20"/>
        </w:rPr>
        <w:t>If Member States are unable to present sufficient eligible expenditure;</w:t>
      </w:r>
    </w:p>
    <w:p w:rsidR="008C2902" w:rsidRDefault="00AD2EC1">
      <w:pPr>
        <w:pStyle w:val="ListParagraph"/>
        <w:numPr>
          <w:ilvl w:val="0"/>
          <w:numId w:val="35"/>
        </w:numPr>
        <w:tabs>
          <w:tab w:val="left" w:pos="0"/>
        </w:tabs>
        <w:spacing w:after="0"/>
        <w:rPr>
          <w:rFonts w:ascii="Verdana" w:hAnsi="Verdana"/>
          <w:noProof/>
          <w:sz w:val="20"/>
        </w:rPr>
      </w:pPr>
      <w:r>
        <w:rPr>
          <w:rFonts w:ascii="Verdana" w:hAnsi="Verdana"/>
          <w:noProof/>
          <w:sz w:val="20"/>
        </w:rPr>
        <w:t>After the closure of programmes where replacement of ineligible by eligible expenditure is no longer possible;</w:t>
      </w:r>
    </w:p>
    <w:p w:rsidR="008C2902" w:rsidRDefault="00AD2EC1">
      <w:pPr>
        <w:pStyle w:val="ListParagraph"/>
        <w:numPr>
          <w:ilvl w:val="0"/>
          <w:numId w:val="35"/>
        </w:numPr>
        <w:tabs>
          <w:tab w:val="left" w:pos="0"/>
        </w:tabs>
        <w:spacing w:after="0"/>
        <w:rPr>
          <w:rFonts w:ascii="Verdana" w:hAnsi="Verdana"/>
          <w:noProof/>
          <w:sz w:val="20"/>
        </w:rPr>
      </w:pPr>
      <w:r>
        <w:rPr>
          <w:rFonts w:ascii="Verdana" w:hAnsi="Verdana"/>
          <w:noProof/>
          <w:sz w:val="20"/>
        </w:rPr>
        <w:t xml:space="preserve">In case of disagreement with the Commission (see section </w:t>
      </w:r>
      <w:r>
        <w:rPr>
          <w:rFonts w:ascii="Verdana" w:hAnsi="Verdana"/>
          <w:b/>
          <w:noProof/>
          <w:sz w:val="20"/>
        </w:rPr>
        <w:t>2.4.1</w:t>
      </w:r>
      <w:r>
        <w:rPr>
          <w:rFonts w:ascii="Verdana" w:hAnsi="Verdana"/>
          <w:noProof/>
          <w:sz w:val="20"/>
        </w:rPr>
        <w:t>).</w:t>
      </w:r>
    </w:p>
    <w:p w:rsidR="008C2902" w:rsidRDefault="008C2902">
      <w:pPr>
        <w:tabs>
          <w:tab w:val="left" w:pos="0"/>
        </w:tabs>
        <w:spacing w:after="0" w:line="240" w:lineRule="auto"/>
        <w:jc w:val="both"/>
        <w:rPr>
          <w:rFonts w:ascii="Verdana" w:hAnsi="Verdana"/>
          <w:noProof/>
          <w:sz w:val="20"/>
          <w:szCs w:val="20"/>
        </w:rPr>
      </w:pPr>
    </w:p>
    <w:p w:rsidR="008C2902" w:rsidRDefault="00AD2EC1">
      <w:pPr>
        <w:pStyle w:val="ListParagraph"/>
        <w:ind w:left="0"/>
        <w:contextualSpacing w:val="0"/>
        <w:rPr>
          <w:rFonts w:ascii="Verdana" w:hAnsi="Verdana"/>
          <w:noProof/>
          <w:sz w:val="20"/>
        </w:rPr>
      </w:pPr>
      <w:r>
        <w:rPr>
          <w:rFonts w:ascii="Verdana" w:hAnsi="Verdana"/>
          <w:noProof/>
          <w:sz w:val="20"/>
        </w:rPr>
        <w:t>However, a significant change was introduced for the 2014-2020 period: The Commission has the obligation to apply a net financial correction</w:t>
      </w:r>
      <w:r>
        <w:rPr>
          <w:rFonts w:ascii="Verdana" w:eastAsia="Calibri" w:hAnsi="Verdana"/>
          <w:noProof/>
          <w:sz w:val="20"/>
          <w:szCs w:val="22"/>
        </w:rPr>
        <w:t xml:space="preserve"> when serious deficiencies not previously detected, reported nor corrected at Member State level are discovered by EU audits</w:t>
      </w:r>
      <w:r>
        <w:rPr>
          <w:rFonts w:ascii="Verdana" w:hAnsi="Verdana"/>
          <w:noProof/>
          <w:sz w:val="20"/>
        </w:rPr>
        <w:t>. In such cases, the current possibility for the Member State to accept the correction and to re-use the EU funds in question is removed</w:t>
      </w:r>
      <w:r>
        <w:rPr>
          <w:rFonts w:ascii="Verdana" w:eastAsia="Calibri" w:hAnsi="Verdana"/>
          <w:noProof/>
          <w:sz w:val="20"/>
          <w:szCs w:val="22"/>
        </w:rPr>
        <w:t xml:space="preserve"> (see section </w:t>
      </w:r>
      <w:r>
        <w:rPr>
          <w:rFonts w:ascii="Verdana" w:eastAsia="Calibri" w:hAnsi="Verdana"/>
          <w:b/>
          <w:noProof/>
          <w:sz w:val="20"/>
          <w:szCs w:val="22"/>
        </w:rPr>
        <w:t>2.4.2</w:t>
      </w:r>
      <w:r>
        <w:rPr>
          <w:rFonts w:ascii="Verdana" w:eastAsia="Calibri" w:hAnsi="Verdana"/>
          <w:noProof/>
          <w:sz w:val="20"/>
          <w:szCs w:val="22"/>
        </w:rPr>
        <w:t>).</w:t>
      </w:r>
      <w:r>
        <w:rPr>
          <w:rFonts w:ascii="Verdana" w:hAnsi="Verdana"/>
          <w:noProof/>
          <w:sz w:val="20"/>
        </w:rPr>
        <w:t xml:space="preserve"> </w:t>
      </w:r>
    </w:p>
    <w:tbl>
      <w:tblPr>
        <w:tblW w:w="9356" w:type="dxa"/>
        <w:tblInd w:w="108" w:type="dxa"/>
        <w:tblLook w:val="04A0" w:firstRow="1" w:lastRow="0" w:firstColumn="1" w:lastColumn="0" w:noHBand="0" w:noVBand="1"/>
      </w:tblPr>
      <w:tblGrid>
        <w:gridCol w:w="3686"/>
        <w:gridCol w:w="1559"/>
        <w:gridCol w:w="1843"/>
        <w:gridCol w:w="2268"/>
      </w:tblGrid>
      <w:tr w:rsidR="008C2902">
        <w:trPr>
          <w:trHeight w:val="600"/>
        </w:trPr>
        <w:tc>
          <w:tcPr>
            <w:tcW w:w="9356" w:type="dxa"/>
            <w:gridSpan w:val="4"/>
            <w:tcBorders>
              <w:top w:val="nil"/>
              <w:left w:val="nil"/>
              <w:bottom w:val="nil"/>
              <w:right w:val="nil"/>
            </w:tcBorders>
            <w:shd w:val="clear" w:color="auto" w:fill="auto"/>
            <w:noWrap/>
            <w:vAlign w:val="center"/>
            <w:hideMark/>
          </w:tcPr>
          <w:p w:rsidR="008C2902" w:rsidRDefault="00AD2EC1">
            <w:pPr>
              <w:spacing w:after="0" w:line="240" w:lineRule="auto"/>
              <w:jc w:val="both"/>
              <w:rPr>
                <w:rFonts w:ascii="Verdana" w:eastAsia="Times New Roman" w:hAnsi="Verdana"/>
                <w:b/>
                <w:bCs/>
                <w:i/>
                <w:iCs/>
                <w:noProof/>
                <w:color w:val="000000"/>
                <w:sz w:val="20"/>
                <w:szCs w:val="20"/>
                <w:lang w:eastAsia="en-GB"/>
              </w:rPr>
            </w:pPr>
            <w:r>
              <w:rPr>
                <w:rFonts w:ascii="Verdana" w:eastAsia="Times New Roman" w:hAnsi="Verdana"/>
                <w:b/>
                <w:bCs/>
                <w:i/>
                <w:iCs/>
                <w:noProof/>
                <w:color w:val="000000"/>
                <w:sz w:val="20"/>
                <w:szCs w:val="20"/>
                <w:lang w:eastAsia="en-GB"/>
              </w:rPr>
              <w:lastRenderedPageBreak/>
              <w:t>Table 5.1.2: Breakdown of net financial corrections implemented in 2014</w:t>
            </w:r>
          </w:p>
        </w:tc>
      </w:tr>
      <w:tr w:rsidR="008C2902">
        <w:trPr>
          <w:trHeight w:val="270"/>
        </w:trPr>
        <w:tc>
          <w:tcPr>
            <w:tcW w:w="9356" w:type="dxa"/>
            <w:gridSpan w:val="4"/>
            <w:tcBorders>
              <w:top w:val="nil"/>
              <w:left w:val="nil"/>
              <w:bottom w:val="single" w:sz="8" w:space="0" w:color="auto"/>
              <w:right w:val="nil"/>
            </w:tcBorders>
            <w:shd w:val="clear" w:color="auto" w:fill="auto"/>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1275"/>
        </w:trPr>
        <w:tc>
          <w:tcPr>
            <w:tcW w:w="3686" w:type="dxa"/>
            <w:tcBorders>
              <w:top w:val="nil"/>
              <w:left w:val="single" w:sz="8" w:space="0" w:color="auto"/>
              <w:bottom w:val="single" w:sz="8" w:space="0" w:color="000000"/>
              <w:right w:val="single" w:sz="8" w:space="0" w:color="auto"/>
            </w:tcBorders>
            <w:shd w:val="clear" w:color="000000" w:fill="99CCFF"/>
            <w:noWrap/>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MFF Heading</w:t>
            </w:r>
          </w:p>
        </w:tc>
        <w:tc>
          <w:tcPr>
            <w:tcW w:w="1559" w:type="dxa"/>
            <w:tcBorders>
              <w:top w:val="nil"/>
              <w:left w:val="nil"/>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Net financial corrections implemented in 2014</w:t>
            </w:r>
          </w:p>
        </w:tc>
        <w:tc>
          <w:tcPr>
            <w:tcW w:w="1843" w:type="dxa"/>
            <w:tcBorders>
              <w:top w:val="nil"/>
              <w:left w:val="single" w:sz="8"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Financial corrections with replacement of expenditure implemented in 2014</w:t>
            </w:r>
          </w:p>
        </w:tc>
        <w:tc>
          <w:tcPr>
            <w:tcW w:w="2268" w:type="dxa"/>
            <w:tcBorders>
              <w:top w:val="nil"/>
              <w:left w:val="nil"/>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financial corrections </w:t>
            </w:r>
            <w:r>
              <w:rPr>
                <w:rFonts w:ascii="Verdana" w:eastAsia="Times New Roman" w:hAnsi="Verdana"/>
                <w:b/>
                <w:bCs/>
                <w:noProof/>
                <w:color w:val="000000"/>
                <w:sz w:val="16"/>
                <w:szCs w:val="16"/>
                <w:u w:val="single"/>
                <w:lang w:eastAsia="en-GB"/>
              </w:rPr>
              <w:t>implemented</w:t>
            </w:r>
            <w:r>
              <w:rPr>
                <w:rFonts w:ascii="Verdana" w:eastAsia="Times New Roman" w:hAnsi="Verdana"/>
                <w:b/>
                <w:bCs/>
                <w:noProof/>
                <w:color w:val="000000"/>
                <w:sz w:val="16"/>
                <w:szCs w:val="16"/>
                <w:lang w:eastAsia="en-GB"/>
              </w:rPr>
              <w:t xml:space="preserve"> in 2014</w:t>
            </w:r>
          </w:p>
        </w:tc>
      </w:tr>
      <w:tr w:rsidR="008C2902">
        <w:trPr>
          <w:trHeight w:val="275"/>
        </w:trPr>
        <w:tc>
          <w:tcPr>
            <w:tcW w:w="3686" w:type="dxa"/>
            <w:tcBorders>
              <w:top w:val="nil"/>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Smart &amp; inclusive growth</w:t>
            </w:r>
          </w:p>
        </w:tc>
        <w:tc>
          <w:tcPr>
            <w:tcW w:w="1559" w:type="dxa"/>
            <w:tcBorders>
              <w:top w:val="nil"/>
              <w:left w:val="nil"/>
              <w:bottom w:val="single" w:sz="8" w:space="0" w:color="auto"/>
              <w:right w:val="nil"/>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358</w:t>
            </w:r>
          </w:p>
        </w:tc>
        <w:tc>
          <w:tcPr>
            <w:tcW w:w="1843" w:type="dxa"/>
            <w:tcBorders>
              <w:top w:val="nil"/>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1 250</w:t>
            </w:r>
          </w:p>
        </w:tc>
        <w:tc>
          <w:tcPr>
            <w:tcW w:w="2268" w:type="dxa"/>
            <w:tcBorders>
              <w:top w:val="nil"/>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1 608</w:t>
            </w:r>
          </w:p>
        </w:tc>
      </w:tr>
      <w:tr w:rsidR="008C2902">
        <w:trPr>
          <w:trHeight w:val="123"/>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ERDF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204</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879</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1 083</w:t>
            </w:r>
          </w:p>
        </w:tc>
      </w:tr>
      <w:tr w:rsidR="008C2902">
        <w:trPr>
          <w:trHeight w:val="217"/>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Cohesion Fund</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55</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181</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236</w:t>
            </w:r>
          </w:p>
        </w:tc>
      </w:tr>
      <w:tr w:rsidR="008C2902">
        <w:trPr>
          <w:trHeight w:val="135"/>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ESF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99</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190</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289</w:t>
            </w:r>
          </w:p>
        </w:tc>
      </w:tr>
      <w:tr w:rsidR="008C2902">
        <w:trPr>
          <w:trHeight w:val="319"/>
        </w:trPr>
        <w:tc>
          <w:tcPr>
            <w:tcW w:w="368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jc w:val="both"/>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Sustainable growth: natural resources</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918</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18</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936</w:t>
            </w:r>
          </w:p>
        </w:tc>
      </w:tr>
      <w:tr w:rsidR="008C2902">
        <w:trPr>
          <w:trHeight w:val="81"/>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796</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796</w:t>
            </w:r>
          </w:p>
        </w:tc>
      </w:tr>
      <w:tr w:rsidR="008C2902">
        <w:trPr>
          <w:trHeight w:val="176"/>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Rural Development</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86</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86</w:t>
            </w:r>
          </w:p>
        </w:tc>
      </w:tr>
      <w:tr w:rsidR="008C2902">
        <w:trPr>
          <w:trHeight w:val="121"/>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FIFG/EFF</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23</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18</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41</w:t>
            </w:r>
          </w:p>
        </w:tc>
      </w:tr>
      <w:tr w:rsidR="008C2902">
        <w:trPr>
          <w:trHeight w:val="209"/>
        </w:trPr>
        <w:tc>
          <w:tcPr>
            <w:tcW w:w="3686"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EAGGF Guidance</w:t>
            </w:r>
          </w:p>
        </w:tc>
        <w:tc>
          <w:tcPr>
            <w:tcW w:w="1559" w:type="dxa"/>
            <w:tcBorders>
              <w:top w:val="nil"/>
              <w:left w:val="nil"/>
              <w:bottom w:val="nil"/>
              <w:right w:val="nil"/>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13</w:t>
            </w:r>
          </w:p>
        </w:tc>
        <w:tc>
          <w:tcPr>
            <w:tcW w:w="1843" w:type="dxa"/>
            <w:tcBorders>
              <w:top w:val="nil"/>
              <w:left w:val="single" w:sz="8" w:space="0" w:color="auto"/>
              <w:bottom w:val="nil"/>
              <w:right w:val="single" w:sz="8" w:space="0" w:color="auto"/>
            </w:tcBorders>
            <w:shd w:val="clear" w:color="auto" w:fill="auto"/>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w:t>
            </w:r>
          </w:p>
        </w:tc>
        <w:tc>
          <w:tcPr>
            <w:tcW w:w="2268" w:type="dxa"/>
            <w:tcBorders>
              <w:top w:val="nil"/>
              <w:left w:val="nil"/>
              <w:bottom w:val="nil"/>
              <w:right w:val="single" w:sz="8" w:space="0" w:color="auto"/>
            </w:tcBorders>
            <w:shd w:val="clear" w:color="000000" w:fill="C6D9F1"/>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13</w:t>
            </w:r>
          </w:p>
        </w:tc>
      </w:tr>
      <w:tr w:rsidR="008C2902">
        <w:trPr>
          <w:trHeight w:val="270"/>
        </w:trPr>
        <w:tc>
          <w:tcPr>
            <w:tcW w:w="368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Security &amp; citizenship </w:t>
            </w:r>
          </w:p>
        </w:tc>
        <w:tc>
          <w:tcPr>
            <w:tcW w:w="1559" w:type="dxa"/>
            <w:tcBorders>
              <w:top w:val="single" w:sz="8" w:space="0" w:color="auto"/>
              <w:left w:val="nil"/>
              <w:bottom w:val="single" w:sz="8" w:space="0" w:color="auto"/>
              <w:right w:val="nil"/>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5</w:t>
            </w:r>
          </w:p>
        </w:tc>
        <w:tc>
          <w:tcPr>
            <w:tcW w:w="184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 xml:space="preserve"> 5</w:t>
            </w:r>
          </w:p>
        </w:tc>
      </w:tr>
      <w:tr w:rsidR="008C2902">
        <w:trPr>
          <w:trHeight w:val="125"/>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Migration &amp; home affairs</w:t>
            </w:r>
          </w:p>
        </w:tc>
        <w:tc>
          <w:tcPr>
            <w:tcW w:w="1559" w:type="dxa"/>
            <w:tcBorders>
              <w:top w:val="nil"/>
              <w:left w:val="nil"/>
              <w:bottom w:val="nil"/>
              <w:right w:val="nil"/>
            </w:tcBorders>
            <w:shd w:val="clear" w:color="000000" w:fill="FFFFFF"/>
            <w:noWrap/>
            <w:vAlign w:val="center"/>
            <w:hideMark/>
          </w:tcPr>
          <w:p w:rsidR="008C2902" w:rsidRDefault="00AD2EC1">
            <w:pPr>
              <w:spacing w:after="0" w:line="240" w:lineRule="auto"/>
              <w:jc w:val="right"/>
              <w:rPr>
                <w:rFonts w:ascii="Verdana" w:eastAsia="Times New Roman" w:hAnsi="Verdana"/>
                <w:bCs/>
                <w:noProof/>
                <w:color w:val="000000"/>
                <w:sz w:val="16"/>
                <w:szCs w:val="16"/>
                <w:lang w:eastAsia="en-GB"/>
              </w:rPr>
            </w:pPr>
            <w:r>
              <w:rPr>
                <w:rFonts w:ascii="Verdana" w:eastAsia="Times New Roman" w:hAnsi="Verdana"/>
                <w:bCs/>
                <w:noProof/>
                <w:color w:val="000000"/>
                <w:sz w:val="16"/>
                <w:szCs w:val="16"/>
                <w:lang w:eastAsia="en-GB"/>
              </w:rPr>
              <w:t xml:space="preserve"> 5</w:t>
            </w:r>
          </w:p>
        </w:tc>
        <w:tc>
          <w:tcPr>
            <w:tcW w:w="1843" w:type="dxa"/>
            <w:tcBorders>
              <w:top w:val="nil"/>
              <w:left w:val="single" w:sz="8" w:space="0" w:color="auto"/>
              <w:bottom w:val="nil"/>
              <w:right w:val="single" w:sz="8" w:space="0" w:color="auto"/>
            </w:tcBorders>
            <w:shd w:val="clear" w:color="000000" w:fill="FFFFFF"/>
            <w:noWrap/>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w:t>
            </w:r>
          </w:p>
        </w:tc>
        <w:tc>
          <w:tcPr>
            <w:tcW w:w="2268" w:type="dxa"/>
            <w:tcBorders>
              <w:top w:val="nil"/>
              <w:left w:val="nil"/>
              <w:bottom w:val="nil"/>
              <w:right w:val="single" w:sz="8" w:space="0" w:color="auto"/>
            </w:tcBorders>
            <w:shd w:val="clear" w:color="000000" w:fill="C6D9F1"/>
            <w:noWrap/>
            <w:vAlign w:val="center"/>
            <w:hideMark/>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 5</w:t>
            </w:r>
          </w:p>
        </w:tc>
      </w:tr>
      <w:tr w:rsidR="008C2902">
        <w:trPr>
          <w:trHeight w:val="270"/>
        </w:trPr>
        <w:tc>
          <w:tcPr>
            <w:tcW w:w="3686" w:type="dxa"/>
            <w:tcBorders>
              <w:top w:val="nil"/>
              <w:left w:val="single" w:sz="8" w:space="0" w:color="auto"/>
              <w:bottom w:val="single" w:sz="8" w:space="0" w:color="auto"/>
              <w:right w:val="single" w:sz="8" w:space="0" w:color="auto"/>
            </w:tcBorders>
            <w:shd w:val="clear" w:color="000000" w:fill="D9D9D9"/>
            <w:noWrap/>
            <w:vAlign w:val="center"/>
            <w:hideMark/>
          </w:tcPr>
          <w:p w:rsidR="008C2902" w:rsidRDefault="00AD2EC1">
            <w:pPr>
              <w:spacing w:after="0" w:line="240" w:lineRule="auto"/>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559" w:type="dxa"/>
            <w:tcBorders>
              <w:top w:val="single" w:sz="8" w:space="0" w:color="auto"/>
              <w:left w:val="nil"/>
              <w:bottom w:val="single" w:sz="8" w:space="0" w:color="auto"/>
              <w:right w:val="nil"/>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1 281</w:t>
            </w:r>
          </w:p>
        </w:tc>
        <w:tc>
          <w:tcPr>
            <w:tcW w:w="184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1 268</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rsidR="008C2902" w:rsidRDefault="00AD2EC1">
            <w:pPr>
              <w:spacing w:after="0" w:line="240" w:lineRule="auto"/>
              <w:jc w:val="right"/>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2 549</w:t>
            </w:r>
          </w:p>
        </w:tc>
      </w:tr>
    </w:tbl>
    <w:p w:rsidR="008C2902" w:rsidRDefault="008C2902">
      <w:pPr>
        <w:spacing w:after="120" w:line="240" w:lineRule="auto"/>
        <w:jc w:val="both"/>
        <w:rPr>
          <w:rFonts w:ascii="Verdana" w:hAnsi="Verdana"/>
          <w:noProof/>
          <w:sz w:val="16"/>
          <w:szCs w:val="16"/>
        </w:rPr>
      </w:pPr>
    </w:p>
    <w:p w:rsidR="008C2902" w:rsidRDefault="00AD2EC1">
      <w:pPr>
        <w:spacing w:after="120" w:line="240" w:lineRule="auto"/>
        <w:jc w:val="both"/>
        <w:rPr>
          <w:rFonts w:ascii="Verdana" w:hAnsi="Verdana"/>
          <w:noProof/>
          <w:sz w:val="20"/>
        </w:rPr>
      </w:pPr>
      <w:r>
        <w:rPr>
          <w:rFonts w:ascii="Verdana" w:hAnsi="Verdana"/>
          <w:noProof/>
          <w:sz w:val="20"/>
        </w:rPr>
        <w:t xml:space="preserve">The increased application of implementation by instalment and deferrals explains why in the last three years (2012 to 2014) the amounts implemented for </w:t>
      </w:r>
      <w:r>
        <w:rPr>
          <w:rFonts w:ascii="Verdana" w:hAnsi="Verdana"/>
          <w:b/>
          <w:noProof/>
          <w:sz w:val="20"/>
        </w:rPr>
        <w:t>Agriculture</w:t>
      </w:r>
      <w:r>
        <w:rPr>
          <w:rFonts w:ascii="Verdana" w:hAnsi="Verdana"/>
          <w:noProof/>
          <w:sz w:val="20"/>
        </w:rPr>
        <w:t xml:space="preserve"> were lower than the amounts decided. The difference should disappear once cruising speed is reached. </w:t>
      </w:r>
      <w:bookmarkStart w:id="130" w:name="_Toc399420062"/>
    </w:p>
    <w:p w:rsidR="008C2902" w:rsidRDefault="00AD2EC1">
      <w:pPr>
        <w:pStyle w:val="ManualHeading2"/>
        <w:rPr>
          <w:noProof/>
        </w:rPr>
      </w:pPr>
      <w:bookmarkStart w:id="131" w:name="_Toc431383870"/>
      <w:bookmarkStart w:id="132" w:name="_Toc432061788"/>
      <w:r>
        <w:t>5.2.</w:t>
      </w:r>
      <w:r>
        <w:tab/>
      </w:r>
      <w:r>
        <w:rPr>
          <w:noProof/>
        </w:rPr>
        <w:t>Impact on the EU budget</w:t>
      </w:r>
      <w:bookmarkEnd w:id="130"/>
      <w:bookmarkEnd w:id="131"/>
      <w:bookmarkEnd w:id="132"/>
    </w:p>
    <w:p w:rsidR="008C2902" w:rsidRDefault="00AD2EC1">
      <w:pPr>
        <w:spacing w:after="0"/>
        <w:jc w:val="both"/>
        <w:rPr>
          <w:rFonts w:ascii="Verdana" w:hAnsi="Verdana" w:cs="Arial"/>
          <w:b/>
          <w:bCs/>
          <w:i/>
          <w:noProof/>
          <w:sz w:val="20"/>
        </w:rPr>
      </w:pPr>
      <w:r>
        <w:rPr>
          <w:rFonts w:ascii="Verdana" w:hAnsi="Verdana" w:cs="Arial"/>
          <w:b/>
          <w:bCs/>
          <w:i/>
          <w:noProof/>
          <w:sz w:val="20"/>
        </w:rPr>
        <w:t>Table 5.2: Impact on the EU Budget</w:t>
      </w:r>
    </w:p>
    <w:p w:rsidR="008C2902" w:rsidRDefault="00AD2EC1">
      <w:pPr>
        <w:spacing w:after="0"/>
        <w:jc w:val="both"/>
        <w:rPr>
          <w:rFonts w:ascii="Verdana" w:hAnsi="Verdana" w:cs="Arial"/>
          <w:bCs/>
          <w:i/>
          <w:noProof/>
          <w:sz w:val="16"/>
        </w:rPr>
      </w:pPr>
      <w:r>
        <w:rPr>
          <w:rFonts w:ascii="Verdana" w:hAnsi="Verdana" w:cs="Arial"/>
          <w:b/>
          <w:bCs/>
          <w:i/>
          <w:noProof/>
          <w:sz w:val="20"/>
        </w:rPr>
        <w:tab/>
      </w:r>
      <w:r>
        <w:rPr>
          <w:rFonts w:ascii="Verdana" w:hAnsi="Verdana" w:cs="Arial"/>
          <w:b/>
          <w:bCs/>
          <w:i/>
          <w:noProof/>
          <w:sz w:val="20"/>
        </w:rPr>
        <w:tab/>
      </w:r>
      <w:r>
        <w:rPr>
          <w:rFonts w:ascii="Verdana" w:hAnsi="Verdana" w:cs="Arial"/>
          <w:b/>
          <w:bCs/>
          <w:i/>
          <w:noProof/>
          <w:sz w:val="20"/>
        </w:rPr>
        <w:tab/>
      </w:r>
      <w:r>
        <w:rPr>
          <w:rFonts w:ascii="Verdana" w:hAnsi="Verdana" w:cs="Arial"/>
          <w:b/>
          <w:bCs/>
          <w:i/>
          <w:noProof/>
          <w:sz w:val="20"/>
        </w:rPr>
        <w:tab/>
      </w:r>
      <w:r>
        <w:rPr>
          <w:rFonts w:ascii="Verdana" w:hAnsi="Verdana" w:cs="Arial"/>
          <w:b/>
          <w:bCs/>
          <w:i/>
          <w:noProof/>
          <w:sz w:val="20"/>
        </w:rPr>
        <w:tab/>
      </w:r>
      <w:r>
        <w:rPr>
          <w:rFonts w:ascii="Verdana" w:hAnsi="Verdana" w:cs="Arial"/>
          <w:b/>
          <w:bCs/>
          <w:i/>
          <w:noProof/>
          <w:sz w:val="20"/>
        </w:rPr>
        <w:tab/>
      </w:r>
      <w:r>
        <w:rPr>
          <w:rFonts w:ascii="Verdana" w:hAnsi="Verdana" w:cs="Arial"/>
          <w:b/>
          <w:bCs/>
          <w:i/>
          <w:noProof/>
          <w:sz w:val="20"/>
        </w:rPr>
        <w:tab/>
        <w:t xml:space="preserve">      </w:t>
      </w:r>
      <w:r>
        <w:rPr>
          <w:rFonts w:ascii="Verdana" w:hAnsi="Verdana" w:cs="Arial"/>
          <w:bCs/>
          <w:i/>
          <w:noProof/>
          <w:sz w:val="16"/>
        </w:rPr>
        <w:t>EUR millions</w:t>
      </w:r>
    </w:p>
    <w:tbl>
      <w:tblPr>
        <w:tblStyle w:val="TableGrid"/>
        <w:tblW w:w="0" w:type="auto"/>
        <w:tblInd w:w="1048" w:type="dxa"/>
        <w:tblLook w:val="04A0" w:firstRow="1" w:lastRow="0" w:firstColumn="1" w:lastColumn="0" w:noHBand="0" w:noVBand="1"/>
      </w:tblPr>
      <w:tblGrid>
        <w:gridCol w:w="3455"/>
        <w:gridCol w:w="2268"/>
      </w:tblGrid>
      <w:tr w:rsidR="008C2902">
        <w:tc>
          <w:tcPr>
            <w:tcW w:w="3455" w:type="dxa"/>
            <w:tcBorders>
              <w:bottom w:val="single" w:sz="4" w:space="0" w:color="auto"/>
            </w:tcBorders>
            <w:shd w:val="clear" w:color="auto" w:fill="8DB3E2" w:themeFill="text2" w:themeFillTint="66"/>
          </w:tcPr>
          <w:p w:rsidR="008C2902" w:rsidRDefault="008C2902">
            <w:pPr>
              <w:autoSpaceDE w:val="0"/>
              <w:autoSpaceDN w:val="0"/>
              <w:adjustRightInd w:val="0"/>
              <w:spacing w:after="0"/>
              <w:jc w:val="both"/>
              <w:rPr>
                <w:rFonts w:ascii="Verdana" w:hAnsi="Verdana"/>
                <w:noProof/>
                <w:sz w:val="16"/>
                <w:szCs w:val="16"/>
                <w:lang w:eastAsia="en-GB"/>
              </w:rPr>
            </w:pPr>
          </w:p>
        </w:tc>
        <w:tc>
          <w:tcPr>
            <w:tcW w:w="2268" w:type="dxa"/>
            <w:tcBorders>
              <w:bottom w:val="single" w:sz="4" w:space="0" w:color="auto"/>
            </w:tcBorders>
            <w:shd w:val="clear" w:color="auto" w:fill="8DB3E2" w:themeFill="text2" w:themeFillTint="66"/>
          </w:tcPr>
          <w:p w:rsidR="008C2902" w:rsidRDefault="00AD2EC1">
            <w:pPr>
              <w:autoSpaceDE w:val="0"/>
              <w:autoSpaceDN w:val="0"/>
              <w:adjustRightInd w:val="0"/>
              <w:spacing w:after="0"/>
              <w:jc w:val="center"/>
              <w:rPr>
                <w:rFonts w:ascii="Verdana" w:hAnsi="Verdana"/>
                <w:b/>
                <w:noProof/>
                <w:sz w:val="16"/>
                <w:szCs w:val="16"/>
                <w:lang w:eastAsia="en-GB"/>
              </w:rPr>
            </w:pPr>
            <w:r>
              <w:rPr>
                <w:rFonts w:ascii="Verdana" w:hAnsi="Verdana"/>
                <w:b/>
                <w:noProof/>
                <w:sz w:val="16"/>
                <w:szCs w:val="16"/>
                <w:lang w:eastAsia="en-GB"/>
              </w:rPr>
              <w:t>Total impact on the EU budget</w:t>
            </w:r>
          </w:p>
        </w:tc>
      </w:tr>
      <w:tr w:rsidR="008C2902">
        <w:tc>
          <w:tcPr>
            <w:tcW w:w="3455" w:type="dxa"/>
            <w:tcBorders>
              <w:bottom w:val="nil"/>
            </w:tcBorders>
          </w:tcPr>
          <w:p w:rsidR="008C2902" w:rsidRDefault="00AD2EC1">
            <w:pPr>
              <w:autoSpaceDE w:val="0"/>
              <w:autoSpaceDN w:val="0"/>
              <w:adjustRightInd w:val="0"/>
              <w:spacing w:after="0"/>
              <w:rPr>
                <w:rFonts w:ascii="Verdana" w:hAnsi="Verdana"/>
                <w:noProof/>
                <w:sz w:val="16"/>
                <w:szCs w:val="16"/>
                <w:lang w:eastAsia="en-GB"/>
              </w:rPr>
            </w:pPr>
            <w:r>
              <w:rPr>
                <w:rFonts w:ascii="Verdana" w:hAnsi="Verdana"/>
                <w:noProof/>
                <w:sz w:val="16"/>
                <w:szCs w:val="16"/>
                <w:lang w:eastAsia="en-GB"/>
              </w:rPr>
              <w:t>Net financial corrections implemented*</w:t>
            </w:r>
          </w:p>
        </w:tc>
        <w:tc>
          <w:tcPr>
            <w:tcW w:w="2268" w:type="dxa"/>
            <w:tcBorders>
              <w:bottom w:val="nil"/>
            </w:tcBorders>
          </w:tcPr>
          <w:p w:rsidR="008C2902" w:rsidRDefault="00AD2EC1">
            <w:pPr>
              <w:autoSpaceDE w:val="0"/>
              <w:autoSpaceDN w:val="0"/>
              <w:adjustRightInd w:val="0"/>
              <w:spacing w:after="0"/>
              <w:jc w:val="right"/>
              <w:rPr>
                <w:rFonts w:ascii="Verdana" w:hAnsi="Verdana"/>
                <w:noProof/>
                <w:sz w:val="16"/>
                <w:szCs w:val="16"/>
                <w:lang w:eastAsia="en-GB"/>
              </w:rPr>
            </w:pPr>
            <w:r>
              <w:rPr>
                <w:rFonts w:ascii="Verdana" w:hAnsi="Verdana"/>
                <w:noProof/>
                <w:sz w:val="16"/>
                <w:szCs w:val="16"/>
                <w:lang w:eastAsia="en-GB"/>
              </w:rPr>
              <w:t>1 281</w:t>
            </w:r>
          </w:p>
        </w:tc>
      </w:tr>
      <w:tr w:rsidR="008C2902">
        <w:tc>
          <w:tcPr>
            <w:tcW w:w="3455" w:type="dxa"/>
            <w:tcBorders>
              <w:top w:val="nil"/>
            </w:tcBorders>
          </w:tcPr>
          <w:p w:rsidR="008C2902" w:rsidRDefault="00AD2EC1">
            <w:pPr>
              <w:autoSpaceDE w:val="0"/>
              <w:autoSpaceDN w:val="0"/>
              <w:adjustRightInd w:val="0"/>
              <w:spacing w:after="0"/>
              <w:jc w:val="both"/>
              <w:rPr>
                <w:rFonts w:ascii="Verdana" w:hAnsi="Verdana"/>
                <w:noProof/>
                <w:sz w:val="16"/>
                <w:szCs w:val="16"/>
                <w:lang w:eastAsia="en-GB"/>
              </w:rPr>
            </w:pPr>
            <w:r>
              <w:rPr>
                <w:rFonts w:ascii="Verdana" w:hAnsi="Verdana"/>
                <w:noProof/>
                <w:sz w:val="16"/>
                <w:szCs w:val="16"/>
                <w:lang w:eastAsia="en-GB"/>
              </w:rPr>
              <w:t>Recoveries implemented**</w:t>
            </w:r>
          </w:p>
        </w:tc>
        <w:tc>
          <w:tcPr>
            <w:tcW w:w="2268" w:type="dxa"/>
            <w:tcBorders>
              <w:top w:val="nil"/>
            </w:tcBorders>
          </w:tcPr>
          <w:p w:rsidR="008C2902" w:rsidRDefault="00AD2EC1">
            <w:pPr>
              <w:autoSpaceDE w:val="0"/>
              <w:autoSpaceDN w:val="0"/>
              <w:adjustRightInd w:val="0"/>
              <w:spacing w:after="0"/>
              <w:jc w:val="right"/>
              <w:rPr>
                <w:rFonts w:ascii="Verdana" w:hAnsi="Verdana"/>
                <w:noProof/>
                <w:sz w:val="16"/>
                <w:szCs w:val="16"/>
                <w:lang w:eastAsia="en-GB"/>
              </w:rPr>
            </w:pPr>
            <w:r>
              <w:rPr>
                <w:rFonts w:ascii="Verdana" w:hAnsi="Verdana"/>
                <w:noProof/>
                <w:sz w:val="16"/>
                <w:szCs w:val="16"/>
                <w:lang w:eastAsia="en-GB"/>
              </w:rPr>
              <w:t>736</w:t>
            </w:r>
          </w:p>
        </w:tc>
      </w:tr>
      <w:tr w:rsidR="008C2902">
        <w:tc>
          <w:tcPr>
            <w:tcW w:w="3455" w:type="dxa"/>
          </w:tcPr>
          <w:p w:rsidR="008C2902" w:rsidRDefault="00AD2EC1">
            <w:pPr>
              <w:autoSpaceDE w:val="0"/>
              <w:autoSpaceDN w:val="0"/>
              <w:adjustRightInd w:val="0"/>
              <w:spacing w:after="0"/>
              <w:jc w:val="both"/>
              <w:rPr>
                <w:rFonts w:ascii="Verdana" w:hAnsi="Verdana"/>
                <w:b/>
                <w:noProof/>
                <w:sz w:val="16"/>
                <w:szCs w:val="16"/>
                <w:lang w:eastAsia="en-GB"/>
              </w:rPr>
            </w:pPr>
            <w:r>
              <w:rPr>
                <w:rFonts w:ascii="Verdana" w:hAnsi="Verdana"/>
                <w:b/>
                <w:noProof/>
                <w:sz w:val="16"/>
                <w:szCs w:val="16"/>
                <w:lang w:eastAsia="en-GB"/>
              </w:rPr>
              <w:t>TOTAL</w:t>
            </w:r>
          </w:p>
        </w:tc>
        <w:tc>
          <w:tcPr>
            <w:tcW w:w="2268" w:type="dxa"/>
          </w:tcPr>
          <w:p w:rsidR="008C2902" w:rsidRDefault="00AD2EC1">
            <w:pPr>
              <w:autoSpaceDE w:val="0"/>
              <w:autoSpaceDN w:val="0"/>
              <w:adjustRightInd w:val="0"/>
              <w:spacing w:after="0"/>
              <w:jc w:val="right"/>
              <w:rPr>
                <w:rFonts w:ascii="Verdana" w:hAnsi="Verdana"/>
                <w:b/>
                <w:i/>
                <w:noProof/>
                <w:sz w:val="16"/>
                <w:szCs w:val="16"/>
                <w:lang w:eastAsia="en-GB"/>
              </w:rPr>
            </w:pPr>
            <w:r>
              <w:rPr>
                <w:rFonts w:ascii="Verdana" w:hAnsi="Verdana"/>
                <w:b/>
                <w:i/>
                <w:noProof/>
                <w:sz w:val="16"/>
                <w:szCs w:val="16"/>
                <w:lang w:eastAsia="en-GB"/>
              </w:rPr>
              <w:t>2 017</w:t>
            </w:r>
          </w:p>
        </w:tc>
      </w:tr>
    </w:tbl>
    <w:p w:rsidR="008C2902" w:rsidRDefault="00AD2EC1">
      <w:pPr>
        <w:autoSpaceDE w:val="0"/>
        <w:autoSpaceDN w:val="0"/>
        <w:adjustRightInd w:val="0"/>
        <w:spacing w:after="0"/>
        <w:jc w:val="both"/>
        <w:rPr>
          <w:rFonts w:ascii="Verdana" w:hAnsi="Verdana"/>
          <w:i/>
          <w:noProof/>
          <w:sz w:val="14"/>
          <w:szCs w:val="16"/>
          <w:lang w:eastAsia="en-GB"/>
        </w:rPr>
      </w:pPr>
      <w:r>
        <w:rPr>
          <w:rFonts w:ascii="Verdana" w:hAnsi="Verdana"/>
          <w:i/>
          <w:noProof/>
          <w:sz w:val="14"/>
          <w:szCs w:val="16"/>
          <w:lang w:eastAsia="en-GB"/>
        </w:rPr>
        <w:t xml:space="preserve">* </w:t>
      </w:r>
      <w:r>
        <w:rPr>
          <w:rFonts w:ascii="Verdana" w:hAnsi="Verdana"/>
          <w:i/>
          <w:noProof/>
          <w:sz w:val="14"/>
          <w:szCs w:val="16"/>
          <w:lang w:eastAsia="en-GB"/>
        </w:rPr>
        <w:tab/>
        <w:t>The main expenditure chapters concerned are 0502, 0503, 0504, 1303, 1304, 0402, 1106 and 1803.</w:t>
      </w:r>
    </w:p>
    <w:p w:rsidR="008C2902" w:rsidRDefault="00AD2EC1">
      <w:pPr>
        <w:autoSpaceDE w:val="0"/>
        <w:autoSpaceDN w:val="0"/>
        <w:adjustRightInd w:val="0"/>
        <w:spacing w:after="0"/>
        <w:ind w:left="709" w:hanging="709"/>
        <w:jc w:val="both"/>
        <w:rPr>
          <w:rFonts w:ascii="Verdana" w:hAnsi="Verdana"/>
          <w:i/>
          <w:noProof/>
          <w:sz w:val="14"/>
          <w:szCs w:val="16"/>
          <w:lang w:eastAsia="en-GB"/>
        </w:rPr>
      </w:pPr>
      <w:r>
        <w:rPr>
          <w:rFonts w:ascii="Verdana" w:hAnsi="Verdana"/>
          <w:i/>
          <w:noProof/>
          <w:sz w:val="14"/>
          <w:szCs w:val="16"/>
          <w:lang w:eastAsia="en-GB"/>
        </w:rPr>
        <w:t>**</w:t>
      </w:r>
      <w:r>
        <w:rPr>
          <w:rFonts w:ascii="Verdana" w:hAnsi="Verdana"/>
          <w:i/>
          <w:noProof/>
          <w:sz w:val="14"/>
          <w:szCs w:val="16"/>
          <w:lang w:eastAsia="en-GB"/>
        </w:rPr>
        <w:tab/>
        <w:t>The main expenditure chapters concerned are 0502, 0503, 1303, 1304, 0402 and 1106. For more information on recoveries see 4.3.</w:t>
      </w:r>
    </w:p>
    <w:p w:rsidR="008C2902" w:rsidRDefault="008C2902">
      <w:pPr>
        <w:autoSpaceDE w:val="0"/>
        <w:autoSpaceDN w:val="0"/>
        <w:adjustRightInd w:val="0"/>
        <w:spacing w:after="0"/>
        <w:jc w:val="both"/>
        <w:rPr>
          <w:rFonts w:ascii="Verdana" w:hAnsi="Verdana"/>
          <w:noProof/>
          <w:sz w:val="16"/>
          <w:szCs w:val="16"/>
          <w:lang w:eastAsia="en-GB"/>
        </w:rPr>
      </w:pPr>
    </w:p>
    <w:p w:rsidR="008C2902" w:rsidRDefault="00AD2EC1">
      <w:pPr>
        <w:tabs>
          <w:tab w:val="left" w:pos="0"/>
        </w:tabs>
        <w:spacing w:after="120" w:line="240" w:lineRule="auto"/>
        <w:jc w:val="both"/>
        <w:rPr>
          <w:rFonts w:ascii="Verdana" w:hAnsi="Verdana"/>
          <w:noProof/>
          <w:sz w:val="20"/>
          <w:szCs w:val="20"/>
        </w:rPr>
      </w:pPr>
      <w:r>
        <w:rPr>
          <w:rFonts w:ascii="Verdana" w:hAnsi="Verdana"/>
          <w:noProof/>
          <w:sz w:val="20"/>
          <w:szCs w:val="20"/>
        </w:rPr>
        <w:t xml:space="preserve">As explained above, revenue arising from net </w:t>
      </w:r>
      <w:r>
        <w:rPr>
          <w:rFonts w:ascii="Verdana" w:hAnsi="Verdana"/>
          <w:noProof/>
          <w:sz w:val="20"/>
          <w:szCs w:val="20"/>
          <w:lang w:val="en-US"/>
        </w:rPr>
        <w:t xml:space="preserve">financial corrections (see section </w:t>
      </w:r>
      <w:r>
        <w:rPr>
          <w:rFonts w:ascii="Verdana" w:hAnsi="Verdana"/>
          <w:b/>
          <w:noProof/>
          <w:sz w:val="20"/>
          <w:szCs w:val="20"/>
          <w:lang w:val="en-US"/>
        </w:rPr>
        <w:t>5.1.</w:t>
      </w:r>
      <w:r>
        <w:rPr>
          <w:rFonts w:ascii="Verdana" w:hAnsi="Verdana"/>
          <w:noProof/>
          <w:sz w:val="20"/>
          <w:szCs w:val="20"/>
          <w:lang w:val="en-US"/>
        </w:rPr>
        <w:t xml:space="preserve">) and recoveries (see sections </w:t>
      </w:r>
      <w:r>
        <w:rPr>
          <w:rFonts w:ascii="Verdana" w:hAnsi="Verdana"/>
          <w:b/>
          <w:noProof/>
          <w:sz w:val="20"/>
          <w:szCs w:val="20"/>
          <w:lang w:val="en-US"/>
        </w:rPr>
        <w:t>2.2.2. and 4.3.</w:t>
      </w:r>
      <w:r>
        <w:rPr>
          <w:rFonts w:ascii="Verdana" w:hAnsi="Verdana"/>
          <w:noProof/>
          <w:sz w:val="20"/>
          <w:szCs w:val="20"/>
          <w:lang w:val="en-US"/>
        </w:rPr>
        <w:t>) are treated as assigned revenue</w:t>
      </w:r>
      <w:r>
        <w:rPr>
          <w:rStyle w:val="FootnoteReference"/>
          <w:rFonts w:ascii="Verdana" w:hAnsi="Verdana"/>
          <w:noProof/>
          <w:sz w:val="20"/>
          <w:szCs w:val="20"/>
          <w:lang w:val="en-US"/>
        </w:rPr>
        <w:footnoteReference w:id="14"/>
      </w:r>
      <w:r>
        <w:rPr>
          <w:rFonts w:ascii="Verdana" w:hAnsi="Verdana"/>
          <w:noProof/>
          <w:sz w:val="20"/>
          <w:szCs w:val="20"/>
          <w:lang w:val="en-US"/>
        </w:rPr>
        <w:t>, noting that the Commission implements recoveries also "at source" by deducting ineligible expenditure (which has been identified in previous or current cost claims) from payments made. Apart from two exceptions, the Financial Regulation</w:t>
      </w:r>
      <w:r>
        <w:rPr>
          <w:rStyle w:val="FootnoteReference"/>
          <w:rFonts w:ascii="Verdana" w:hAnsi="Verdana"/>
          <w:noProof/>
          <w:sz w:val="20"/>
          <w:szCs w:val="20"/>
          <w:lang w:val="en-US"/>
        </w:rPr>
        <w:footnoteReference w:id="15"/>
      </w:r>
      <w:r>
        <w:rPr>
          <w:rFonts w:ascii="Verdana" w:hAnsi="Verdana"/>
          <w:noProof/>
          <w:sz w:val="20"/>
          <w:szCs w:val="20"/>
          <w:lang w:val="en-US"/>
        </w:rPr>
        <w:t xml:space="preserve"> does not include specific provisions on how the assigned revenue generated by a net financial correction or recovery can be used. However, Article 7 of the Rules of Application determines that the budget commentary shall show which budget lines may receive the appropriations corresponding to the assigned revenue.</w:t>
      </w:r>
      <w:r>
        <w:rPr>
          <w:rFonts w:ascii="Verdana" w:hAnsi="Verdana"/>
          <w:noProof/>
          <w:sz w:val="20"/>
          <w:szCs w:val="20"/>
        </w:rPr>
        <w:t xml:space="preserve"> </w:t>
      </w:r>
      <w:r>
        <w:rPr>
          <w:rFonts w:ascii="Verdana" w:hAnsi="Verdana" w:cs="Arial"/>
          <w:bCs/>
          <w:noProof/>
          <w:sz w:val="20"/>
        </w:rPr>
        <w:t>In general, assigned revenue goes back to the budget line or fund from which the expenditure was originally paid and may be spent again but it is</w:t>
      </w:r>
      <w:r>
        <w:rPr>
          <w:rFonts w:ascii="Verdana" w:hAnsi="Verdana"/>
          <w:noProof/>
          <w:sz w:val="20"/>
          <w:szCs w:val="20"/>
          <w:lang w:val="en-US"/>
        </w:rPr>
        <w:t xml:space="preserve"> not earmarked for specific Member States.</w:t>
      </w:r>
    </w:p>
    <w:p w:rsidR="008C2902" w:rsidRDefault="008C2902">
      <w:pPr>
        <w:spacing w:after="240" w:line="240" w:lineRule="auto"/>
        <w:jc w:val="both"/>
        <w:rPr>
          <w:rFonts w:ascii="Verdana" w:hAnsi="Verdana"/>
          <w:noProof/>
          <w:sz w:val="20"/>
          <w:szCs w:val="20"/>
          <w:lang w:val="en-US"/>
        </w:rPr>
      </w:pPr>
    </w:p>
    <w:p w:rsidR="008C2902" w:rsidRDefault="00AD2EC1">
      <w:pPr>
        <w:pStyle w:val="ManualHeading2"/>
        <w:rPr>
          <w:noProof/>
        </w:rPr>
      </w:pPr>
      <w:bookmarkStart w:id="133" w:name="_Toc431383871"/>
      <w:bookmarkStart w:id="134" w:name="_Toc432061789"/>
      <w:r>
        <w:lastRenderedPageBreak/>
        <w:t>5.3.</w:t>
      </w:r>
      <w:r>
        <w:tab/>
      </w:r>
      <w:r>
        <w:rPr>
          <w:noProof/>
        </w:rPr>
        <w:t>Impact on national budgets</w:t>
      </w:r>
      <w:bookmarkEnd w:id="133"/>
      <w:bookmarkEnd w:id="134"/>
      <w:r>
        <w:rPr>
          <w:noProof/>
        </w:rPr>
        <w:t xml:space="preserve"> </w:t>
      </w:r>
    </w:p>
    <w:p w:rsidR="008C2902" w:rsidRDefault="008C2902">
      <w:pPr>
        <w:autoSpaceDE w:val="0"/>
        <w:autoSpaceDN w:val="0"/>
        <w:adjustRightInd w:val="0"/>
        <w:spacing w:after="0"/>
        <w:jc w:val="both"/>
        <w:rPr>
          <w:rFonts w:ascii="Verdana" w:hAnsi="Verdana"/>
          <w:noProof/>
          <w:sz w:val="16"/>
          <w:szCs w:val="16"/>
          <w:lang w:eastAsia="en-GB"/>
        </w:rPr>
      </w:pPr>
    </w:p>
    <w:p w:rsidR="008C2902" w:rsidRDefault="00AD2EC1">
      <w:pPr>
        <w:spacing w:after="0" w:line="240" w:lineRule="auto"/>
        <w:jc w:val="both"/>
        <w:rPr>
          <w:rFonts w:ascii="Verdana" w:hAnsi="Verdana"/>
          <w:noProof/>
          <w:sz w:val="20"/>
          <w:lang w:eastAsia="en-GB"/>
        </w:rPr>
      </w:pPr>
      <w:r>
        <w:rPr>
          <w:rFonts w:ascii="Verdana" w:hAnsi="Verdana"/>
          <w:noProof/>
          <w:sz w:val="20"/>
          <w:lang w:eastAsia="en-GB"/>
        </w:rPr>
        <w:t>Under shared management, all financial corrections and recoveries have an impact on national budgets regardless of their method of implementation. It has to be underlined that even if no reimbursement to the EU budget is made, the impact of financial corrections is always negative at Member State’s level. This is because in order not to lose EU funding, the Member State must replace ineligible expenditure by eligible operations. This means that the Member State bears, with its own resources (from the national budget), the financial consequences of the loss of EU co-financing of expenditure considered ineligible under the EU programme rules (in the form of opportunity cost) unless it recovers the amounts from individual beneficiaries. This is not always possible, for example in the case of flat-rate corrections at programme level (due to deficiencies in the national administration managing the programme) which are not directly linked to individual irregularities at project level.</w:t>
      </w:r>
    </w:p>
    <w:bookmarkEnd w:id="128"/>
    <w:p w:rsidR="008C2902" w:rsidRDefault="008C2902">
      <w:pPr>
        <w:pStyle w:val="ListParagraph"/>
        <w:ind w:left="0"/>
        <w:contextualSpacing w:val="0"/>
        <w:rPr>
          <w:rFonts w:ascii="Verdana" w:hAnsi="Verdana"/>
          <w:noProof/>
          <w:sz w:val="20"/>
        </w:rPr>
      </w:pPr>
    </w:p>
    <w:p w:rsidR="008C2902" w:rsidRDefault="00AD2EC1">
      <w:pPr>
        <w:pStyle w:val="ManualHeading1"/>
        <w:rPr>
          <w:noProof/>
        </w:rPr>
      </w:pPr>
      <w:bookmarkStart w:id="135" w:name="_Toc431383872"/>
      <w:bookmarkStart w:id="136" w:name="_Toc432061790"/>
      <w:r>
        <w:t>6.</w:t>
      </w:r>
      <w:r>
        <w:tab/>
      </w:r>
      <w:r>
        <w:rPr>
          <w:noProof/>
        </w:rPr>
        <w:t>PREVENTIVE MEASURES</w:t>
      </w:r>
      <w:bookmarkEnd w:id="135"/>
      <w:bookmarkEnd w:id="136"/>
    </w:p>
    <w:p w:rsidR="008C2902" w:rsidRDefault="00AD2EC1">
      <w:pPr>
        <w:pStyle w:val="ManualHeading2"/>
        <w:rPr>
          <w:noProof/>
        </w:rPr>
      </w:pPr>
      <w:bookmarkStart w:id="137" w:name="_Toc431383873"/>
      <w:bookmarkStart w:id="138" w:name="_Toc432061791"/>
      <w:r>
        <w:t>6.1.</w:t>
      </w:r>
      <w:r>
        <w:tab/>
      </w:r>
      <w:r>
        <w:rPr>
          <w:noProof/>
        </w:rPr>
        <w:t>Agriculture</w:t>
      </w:r>
      <w:bookmarkEnd w:id="137"/>
      <w:bookmarkEnd w:id="138"/>
    </w:p>
    <w:p w:rsidR="008C2902" w:rsidRDefault="00AD2EC1">
      <w:pPr>
        <w:spacing w:after="120" w:line="240" w:lineRule="auto"/>
        <w:rPr>
          <w:rFonts w:ascii="Verdana" w:hAnsi="Verdana"/>
          <w:i/>
          <w:noProof/>
          <w:sz w:val="20"/>
          <w:szCs w:val="20"/>
        </w:rPr>
      </w:pPr>
      <w:r>
        <w:rPr>
          <w:rFonts w:ascii="Verdana" w:hAnsi="Verdana"/>
          <w:i/>
          <w:noProof/>
          <w:sz w:val="20"/>
          <w:szCs w:val="20"/>
        </w:rPr>
        <w:t>6.1.1.</w:t>
      </w:r>
      <w:r>
        <w:rPr>
          <w:rFonts w:ascii="Verdana" w:hAnsi="Verdana"/>
          <w:i/>
          <w:noProof/>
          <w:sz w:val="20"/>
          <w:szCs w:val="20"/>
        </w:rPr>
        <w:tab/>
        <w:t>Interruptions, suspensions and reductions</w:t>
      </w:r>
    </w:p>
    <w:p w:rsidR="008C2902" w:rsidRDefault="00AD2EC1">
      <w:pPr>
        <w:spacing w:after="240" w:line="240" w:lineRule="auto"/>
        <w:jc w:val="both"/>
        <w:rPr>
          <w:rFonts w:ascii="Verdana" w:hAnsi="Verdana" w:cs="Calibri"/>
          <w:noProof/>
          <w:sz w:val="20"/>
          <w:szCs w:val="20"/>
        </w:rPr>
      </w:pPr>
      <w:r>
        <w:rPr>
          <w:rFonts w:ascii="Verdana" w:hAnsi="Verdana" w:cs="Calibri"/>
          <w:noProof/>
          <w:sz w:val="20"/>
          <w:szCs w:val="20"/>
        </w:rPr>
        <w:t>In 2014, under the previous legal basis</w:t>
      </w:r>
      <w:r>
        <w:rPr>
          <w:rStyle w:val="FootnoteReference"/>
          <w:rFonts w:ascii="Verdana" w:hAnsi="Verdana" w:cs="Calibri"/>
          <w:noProof/>
          <w:sz w:val="20"/>
          <w:szCs w:val="20"/>
        </w:rPr>
        <w:footnoteReference w:id="16"/>
      </w:r>
      <w:r>
        <w:rPr>
          <w:rFonts w:ascii="Verdana" w:hAnsi="Verdana" w:cs="Calibri"/>
          <w:noProof/>
          <w:sz w:val="20"/>
          <w:szCs w:val="20"/>
        </w:rPr>
        <w:t xml:space="preserve">, there were 17 interruptions of payments. In addition, a reduction decision based on Article 41(1) for two quarters for Greece has been adopted at the beginning of 2015. </w:t>
      </w:r>
      <w:r>
        <w:rPr>
          <w:rFonts w:ascii="Verdana" w:eastAsia="Times New Roman" w:hAnsi="Verdana"/>
          <w:noProof/>
          <w:sz w:val="20"/>
          <w:szCs w:val="20"/>
          <w:lang w:eastAsia="en-GB"/>
        </w:rPr>
        <w:t>Those interruptions and reductions concerned some investment measures not managed under the Integrated Administration and Control System (IACS) in 6 out of 92 Rural Development Programmes.</w:t>
      </w:r>
    </w:p>
    <w:p w:rsidR="008C2902" w:rsidRDefault="00AD2EC1">
      <w:pPr>
        <w:spacing w:after="240" w:line="240" w:lineRule="auto"/>
        <w:jc w:val="both"/>
        <w:rPr>
          <w:rFonts w:ascii="Verdana" w:eastAsia="Times New Roman" w:hAnsi="Verdana"/>
          <w:noProof/>
          <w:sz w:val="20"/>
          <w:szCs w:val="20"/>
          <w:lang w:eastAsia="en-GB"/>
        </w:rPr>
      </w:pPr>
      <w:r>
        <w:rPr>
          <w:rFonts w:ascii="Verdana" w:eastAsia="Times New Roman" w:hAnsi="Verdana"/>
          <w:noProof/>
          <w:sz w:val="20"/>
          <w:szCs w:val="20"/>
          <w:lang w:eastAsia="en-GB"/>
        </w:rPr>
        <w:t>For EAGF, the Commission adopted a decision to reduce from claim year 2014 the direct payments in Greece. This decision was based on Article 41(1) of R. 1306/2013 and protects the EU financial interest against remaining, limited and precisely quantified problems with the inclusion of ineligible permanent pasture land in the Land Parcel Identification System (LPIS).</w:t>
      </w:r>
    </w:p>
    <w:p w:rsidR="008C2902" w:rsidRDefault="00AD2EC1">
      <w:pPr>
        <w:spacing w:after="120" w:line="240" w:lineRule="auto"/>
        <w:rPr>
          <w:rFonts w:ascii="Verdana" w:hAnsi="Verdana"/>
          <w:i/>
          <w:noProof/>
          <w:sz w:val="20"/>
          <w:szCs w:val="20"/>
        </w:rPr>
      </w:pPr>
      <w:r>
        <w:rPr>
          <w:rFonts w:ascii="Verdana" w:hAnsi="Verdana"/>
          <w:i/>
          <w:noProof/>
          <w:sz w:val="20"/>
          <w:szCs w:val="20"/>
        </w:rPr>
        <w:t>6.1.2.</w:t>
      </w:r>
      <w:r>
        <w:rPr>
          <w:rFonts w:ascii="Verdana" w:hAnsi="Verdana"/>
          <w:i/>
          <w:noProof/>
          <w:sz w:val="20"/>
          <w:szCs w:val="20"/>
        </w:rPr>
        <w:tab/>
        <w:t xml:space="preserve"> Other preventive measures</w:t>
      </w:r>
    </w:p>
    <w:p w:rsidR="008C2902" w:rsidRDefault="00AD2EC1">
      <w:pPr>
        <w:spacing w:after="240" w:line="240" w:lineRule="auto"/>
        <w:jc w:val="both"/>
        <w:rPr>
          <w:rFonts w:ascii="Verdana" w:hAnsi="Verdana"/>
          <w:noProof/>
          <w:sz w:val="20"/>
          <w:szCs w:val="20"/>
        </w:rPr>
      </w:pPr>
      <w:r>
        <w:rPr>
          <w:rFonts w:ascii="Verdana" w:hAnsi="Verdana"/>
          <w:noProof/>
          <w:sz w:val="20"/>
          <w:szCs w:val="20"/>
        </w:rPr>
        <w:t xml:space="preserve">A compulsory administrative structure has been set up at the level of Member States (see section </w:t>
      </w:r>
      <w:r>
        <w:rPr>
          <w:rFonts w:ascii="Verdana" w:hAnsi="Verdana"/>
          <w:b/>
          <w:noProof/>
          <w:sz w:val="20"/>
          <w:szCs w:val="20"/>
        </w:rPr>
        <w:t>7.1</w:t>
      </w:r>
      <w:r>
        <w:rPr>
          <w:rFonts w:ascii="Verdana" w:hAnsi="Verdana"/>
          <w:noProof/>
          <w:sz w:val="20"/>
          <w:szCs w:val="20"/>
        </w:rPr>
        <w:t>):</w:t>
      </w:r>
    </w:p>
    <w:p w:rsidR="008C2902" w:rsidRDefault="00AD2EC1">
      <w:pPr>
        <w:numPr>
          <w:ilvl w:val="0"/>
          <w:numId w:val="36"/>
        </w:numPr>
        <w:spacing w:after="240" w:line="240" w:lineRule="auto"/>
        <w:ind w:left="714" w:hanging="357"/>
        <w:jc w:val="both"/>
        <w:rPr>
          <w:rFonts w:ascii="Verdana" w:hAnsi="Verdana"/>
          <w:noProof/>
          <w:sz w:val="20"/>
          <w:szCs w:val="20"/>
        </w:rPr>
      </w:pPr>
      <w:r>
        <w:rPr>
          <w:rFonts w:ascii="Verdana" w:hAnsi="Verdana"/>
          <w:noProof/>
          <w:sz w:val="20"/>
          <w:szCs w:val="20"/>
        </w:rPr>
        <w:t xml:space="preserve">The management and control of the expenditure is entrusted to dedicated paying agencies, which must be accredited by the Member State prior to their operations on the basis of a comprehensive set of accreditation criteria laid down in EU law. The paying agencies' compliance with these criteria is subject to a detailed review </w:t>
      </w:r>
      <w:r>
        <w:rPr>
          <w:rFonts w:ascii="Verdana" w:hAnsi="Verdana"/>
          <w:noProof/>
          <w:sz w:val="20"/>
          <w:szCs w:val="20"/>
        </w:rPr>
        <w:lastRenderedPageBreak/>
        <w:t xml:space="preserve">by an external audit body, as well as to a constant supervision by the competent national authority, and clear procedures exist as to how to address and remedy any problem. </w:t>
      </w:r>
    </w:p>
    <w:p w:rsidR="008C2902" w:rsidRDefault="00AD2EC1">
      <w:pPr>
        <w:numPr>
          <w:ilvl w:val="0"/>
          <w:numId w:val="36"/>
        </w:numPr>
        <w:spacing w:after="240" w:line="240" w:lineRule="auto"/>
        <w:ind w:left="714" w:hanging="357"/>
        <w:jc w:val="both"/>
        <w:rPr>
          <w:rFonts w:ascii="Verdana" w:hAnsi="Verdana"/>
          <w:noProof/>
          <w:sz w:val="20"/>
          <w:szCs w:val="20"/>
        </w:rPr>
      </w:pPr>
      <w:r>
        <w:rPr>
          <w:rFonts w:ascii="Verdana" w:hAnsi="Verdana"/>
          <w:noProof/>
          <w:sz w:val="20"/>
          <w:szCs w:val="20"/>
        </w:rPr>
        <w:t xml:space="preserve">Moreover, the heads of the paying agencies are required to provide an annual statement of assurance which covers the completeness, accuracy and veracity of the paying agency’s accounts, as well as a declaration of assurance on the legality and regularity of the underlying transactions. These statements of assurance are verified by independent certification bodies, which are required to provide an opinion thereon. For those Member States with only one paying agency, this statement of assurance received from the director of the paying agency, together with the certificate and opinion of the certification body, constitute by definition the “annual summary”. </w:t>
      </w:r>
    </w:p>
    <w:p w:rsidR="008C2902" w:rsidRDefault="00AD2EC1">
      <w:pPr>
        <w:pStyle w:val="ManualHeading2"/>
        <w:rPr>
          <w:noProof/>
        </w:rPr>
      </w:pPr>
      <w:bookmarkStart w:id="139" w:name="_Toc431383874"/>
      <w:bookmarkStart w:id="140" w:name="_Toc432061792"/>
      <w:r>
        <w:t>6.2.</w:t>
      </w:r>
      <w:r>
        <w:tab/>
      </w:r>
      <w:r>
        <w:rPr>
          <w:noProof/>
        </w:rPr>
        <w:t>Cohesion</w:t>
      </w:r>
      <w:bookmarkEnd w:id="139"/>
      <w:bookmarkEnd w:id="140"/>
    </w:p>
    <w:p w:rsidR="008C2902" w:rsidRDefault="00AD2EC1">
      <w:pPr>
        <w:spacing w:after="120" w:line="240" w:lineRule="auto"/>
        <w:rPr>
          <w:rFonts w:ascii="Verdana" w:hAnsi="Verdana"/>
          <w:i/>
          <w:noProof/>
          <w:sz w:val="20"/>
          <w:szCs w:val="20"/>
        </w:rPr>
      </w:pPr>
      <w:r>
        <w:rPr>
          <w:rFonts w:ascii="Verdana" w:hAnsi="Verdana"/>
          <w:i/>
          <w:noProof/>
          <w:sz w:val="20"/>
          <w:szCs w:val="20"/>
        </w:rPr>
        <w:t xml:space="preserve">6.2.1. Interruptions and suspensions </w:t>
      </w:r>
    </w:p>
    <w:p w:rsidR="008C2902" w:rsidRDefault="00AD2EC1">
      <w:pPr>
        <w:spacing w:after="0" w:line="240" w:lineRule="auto"/>
        <w:jc w:val="both"/>
        <w:rPr>
          <w:rFonts w:ascii="Verdana" w:hAnsi="Verdana"/>
          <w:b/>
          <w:i/>
          <w:noProof/>
          <w:sz w:val="20"/>
        </w:rPr>
      </w:pPr>
      <w:r>
        <w:rPr>
          <w:rFonts w:ascii="Verdana" w:hAnsi="Verdana"/>
          <w:b/>
          <w:i/>
          <w:noProof/>
          <w:sz w:val="20"/>
        </w:rPr>
        <w:t>Table 6.2.1: Interruptions</w:t>
      </w:r>
    </w:p>
    <w:tbl>
      <w:tblPr>
        <w:tblW w:w="5000" w:type="pct"/>
        <w:tblLook w:val="04A0" w:firstRow="1" w:lastRow="0" w:firstColumn="1" w:lastColumn="0" w:noHBand="0" w:noVBand="1"/>
      </w:tblPr>
      <w:tblGrid>
        <w:gridCol w:w="2330"/>
        <w:gridCol w:w="892"/>
        <w:gridCol w:w="885"/>
        <w:gridCol w:w="890"/>
        <w:gridCol w:w="886"/>
        <w:gridCol w:w="890"/>
        <w:gridCol w:w="886"/>
        <w:gridCol w:w="890"/>
        <w:gridCol w:w="881"/>
      </w:tblGrid>
      <w:tr w:rsidR="008C2902">
        <w:trPr>
          <w:trHeight w:val="255"/>
        </w:trPr>
        <w:tc>
          <w:tcPr>
            <w:tcW w:w="5000" w:type="pct"/>
            <w:gridSpan w:val="9"/>
            <w:tcBorders>
              <w:top w:val="nil"/>
              <w:left w:val="nil"/>
              <w:bottom w:val="nil"/>
              <w:right w:val="nil"/>
            </w:tcBorders>
            <w:shd w:val="clear" w:color="auto" w:fill="auto"/>
            <w:noWrap/>
            <w:vAlign w:val="bottom"/>
            <w:hideMark/>
          </w:tcPr>
          <w:p w:rsidR="008C2902" w:rsidRDefault="00AD2EC1">
            <w:pPr>
              <w:spacing w:after="0" w:line="240" w:lineRule="auto"/>
              <w:jc w:val="right"/>
              <w:rPr>
                <w:rFonts w:ascii="Verdana" w:eastAsia="Times New Roman" w:hAnsi="Verdana"/>
                <w:i/>
                <w:noProof/>
                <w:color w:val="000000"/>
                <w:sz w:val="16"/>
                <w:szCs w:val="16"/>
                <w:lang w:eastAsia="en-GB"/>
              </w:rPr>
            </w:pPr>
            <w:r>
              <w:rPr>
                <w:rFonts w:ascii="Verdana" w:eastAsia="Times New Roman" w:hAnsi="Verdana"/>
                <w:i/>
                <w:noProof/>
                <w:color w:val="000000"/>
                <w:sz w:val="16"/>
                <w:szCs w:val="16"/>
                <w:lang w:eastAsia="en-GB"/>
              </w:rPr>
              <w:t>EUR millions</w:t>
            </w:r>
          </w:p>
        </w:tc>
      </w:tr>
      <w:tr w:rsidR="008C2902">
        <w:trPr>
          <w:trHeight w:val="513"/>
        </w:trPr>
        <w:tc>
          <w:tcPr>
            <w:tcW w:w="1235" w:type="pct"/>
            <w:vMerge w:val="restart"/>
            <w:tcBorders>
              <w:top w:val="single" w:sz="4" w:space="0" w:color="auto"/>
              <w:left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Fund</w:t>
            </w:r>
          </w:p>
        </w:tc>
        <w:tc>
          <w:tcPr>
            <w:tcW w:w="3765" w:type="pct"/>
            <w:gridSpan w:val="8"/>
            <w:tcBorders>
              <w:top w:val="single" w:sz="4" w:space="0" w:color="auto"/>
              <w:left w:val="nil"/>
              <w:bottom w:val="nil"/>
              <w:right w:val="single" w:sz="4" w:space="0" w:color="000000"/>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Cohesion policy: 2007-2013 programming period</w:t>
            </w:r>
          </w:p>
        </w:tc>
      </w:tr>
      <w:tr w:rsidR="008C2902">
        <w:trPr>
          <w:trHeight w:val="570"/>
        </w:trPr>
        <w:tc>
          <w:tcPr>
            <w:tcW w:w="1235" w:type="pct"/>
            <w:vMerge/>
            <w:tcBorders>
              <w:left w:val="single" w:sz="4" w:space="0" w:color="auto"/>
              <w:right w:val="single" w:sz="4" w:space="0" w:color="auto"/>
            </w:tcBorders>
            <w:shd w:val="clear" w:color="000000" w:fill="99CCFF"/>
            <w:vAlign w:val="center"/>
            <w:hideMark/>
          </w:tcPr>
          <w:p w:rsidR="008C2902" w:rsidRDefault="008C2902">
            <w:pPr>
              <w:spacing w:after="0" w:line="240" w:lineRule="auto"/>
              <w:jc w:val="center"/>
              <w:rPr>
                <w:rFonts w:ascii="Verdana" w:eastAsia="Times New Roman" w:hAnsi="Verdana"/>
                <w:b/>
                <w:bCs/>
                <w:noProof/>
                <w:color w:val="000000"/>
                <w:sz w:val="16"/>
                <w:szCs w:val="16"/>
                <w:lang w:eastAsia="en-GB"/>
              </w:rPr>
            </w:pPr>
          </w:p>
        </w:tc>
        <w:tc>
          <w:tcPr>
            <w:tcW w:w="942" w:type="pct"/>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 open cases at 31.12.2013</w:t>
            </w:r>
          </w:p>
        </w:tc>
        <w:tc>
          <w:tcPr>
            <w:tcW w:w="942" w:type="pct"/>
            <w:gridSpan w:val="2"/>
            <w:tcBorders>
              <w:top w:val="single" w:sz="4" w:space="0" w:color="auto"/>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New cases 2014</w:t>
            </w:r>
          </w:p>
        </w:tc>
        <w:tc>
          <w:tcPr>
            <w:tcW w:w="942" w:type="pct"/>
            <w:gridSpan w:val="2"/>
            <w:tcBorders>
              <w:top w:val="single" w:sz="4" w:space="0" w:color="auto"/>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Closed cases during 2014</w:t>
            </w:r>
          </w:p>
        </w:tc>
        <w:tc>
          <w:tcPr>
            <w:tcW w:w="939" w:type="pct"/>
            <w:gridSpan w:val="2"/>
            <w:tcBorders>
              <w:top w:val="single" w:sz="4" w:space="0" w:color="auto"/>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 open cases at 31.12.2014</w:t>
            </w:r>
          </w:p>
        </w:tc>
      </w:tr>
      <w:tr w:rsidR="008C2902">
        <w:trPr>
          <w:trHeight w:val="510"/>
        </w:trPr>
        <w:tc>
          <w:tcPr>
            <w:tcW w:w="1235" w:type="pct"/>
            <w:vMerge/>
            <w:tcBorders>
              <w:left w:val="single" w:sz="4" w:space="0" w:color="auto"/>
              <w:bottom w:val="single" w:sz="4" w:space="0" w:color="000000"/>
              <w:right w:val="single" w:sz="4"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473" w:type="pct"/>
            <w:tcBorders>
              <w:top w:val="nil"/>
              <w:left w:val="single" w:sz="4" w:space="0" w:color="auto"/>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Number of cases</w:t>
            </w:r>
          </w:p>
        </w:tc>
        <w:tc>
          <w:tcPr>
            <w:tcW w:w="469"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Amount</w:t>
            </w:r>
          </w:p>
        </w:tc>
        <w:tc>
          <w:tcPr>
            <w:tcW w:w="472"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Number of cases</w:t>
            </w:r>
          </w:p>
        </w:tc>
        <w:tc>
          <w:tcPr>
            <w:tcW w:w="470"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Amount</w:t>
            </w:r>
          </w:p>
        </w:tc>
        <w:tc>
          <w:tcPr>
            <w:tcW w:w="472"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Number of cases</w:t>
            </w:r>
          </w:p>
        </w:tc>
        <w:tc>
          <w:tcPr>
            <w:tcW w:w="470"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Amount</w:t>
            </w:r>
          </w:p>
        </w:tc>
        <w:tc>
          <w:tcPr>
            <w:tcW w:w="472"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Number of cases</w:t>
            </w:r>
          </w:p>
        </w:tc>
        <w:tc>
          <w:tcPr>
            <w:tcW w:w="467" w:type="pct"/>
            <w:tcBorders>
              <w:top w:val="nil"/>
              <w:left w:val="nil"/>
              <w:bottom w:val="single" w:sz="4" w:space="0" w:color="auto"/>
              <w:right w:val="single" w:sz="4"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4"/>
                <w:szCs w:val="14"/>
                <w:lang w:eastAsia="en-GB"/>
              </w:rPr>
            </w:pPr>
            <w:r>
              <w:rPr>
                <w:rFonts w:ascii="Verdana" w:eastAsia="Times New Roman" w:hAnsi="Verdana"/>
                <w:b/>
                <w:bCs/>
                <w:noProof/>
                <w:color w:val="000000"/>
                <w:sz w:val="14"/>
                <w:szCs w:val="14"/>
                <w:lang w:eastAsia="en-GB"/>
              </w:rPr>
              <w:t>Amount</w:t>
            </w:r>
          </w:p>
        </w:tc>
      </w:tr>
      <w:tr w:rsidR="008C2902">
        <w:trPr>
          <w:trHeight w:val="270"/>
        </w:trPr>
        <w:tc>
          <w:tcPr>
            <w:tcW w:w="1235" w:type="pct"/>
            <w:tcBorders>
              <w:top w:val="nil"/>
              <w:left w:val="single" w:sz="4" w:space="0" w:color="auto"/>
              <w:bottom w:val="nil"/>
              <w:right w:val="single" w:sz="4" w:space="0" w:color="auto"/>
            </w:tcBorders>
            <w:shd w:val="clear" w:color="auto" w:fill="auto"/>
            <w:noWrap/>
            <w:vAlign w:val="bottom"/>
            <w:hideMark/>
          </w:tcPr>
          <w:p w:rsidR="008C2902" w:rsidRDefault="00AD2EC1">
            <w:pPr>
              <w:widowControl w:val="0"/>
              <w:spacing w:after="0" w:line="240" w:lineRule="auto"/>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ERDF &amp; Cohesion Fund</w:t>
            </w:r>
          </w:p>
        </w:tc>
        <w:tc>
          <w:tcPr>
            <w:tcW w:w="473"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101</w:t>
            </w:r>
          </w:p>
        </w:tc>
        <w:tc>
          <w:tcPr>
            <w:tcW w:w="469"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1 608</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134</w:t>
            </w:r>
          </w:p>
        </w:tc>
        <w:tc>
          <w:tcPr>
            <w:tcW w:w="470"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6 227</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137</w:t>
            </w:r>
          </w:p>
        </w:tc>
        <w:tc>
          <w:tcPr>
            <w:tcW w:w="470"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3 998</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98</w:t>
            </w:r>
          </w:p>
        </w:tc>
        <w:tc>
          <w:tcPr>
            <w:tcW w:w="467"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3 837</w:t>
            </w:r>
          </w:p>
        </w:tc>
      </w:tr>
      <w:tr w:rsidR="008C2902">
        <w:trPr>
          <w:trHeight w:val="255"/>
        </w:trPr>
        <w:tc>
          <w:tcPr>
            <w:tcW w:w="1235" w:type="pct"/>
            <w:tcBorders>
              <w:top w:val="nil"/>
              <w:left w:val="single" w:sz="4" w:space="0" w:color="auto"/>
              <w:bottom w:val="nil"/>
              <w:right w:val="single" w:sz="4" w:space="0" w:color="auto"/>
            </w:tcBorders>
            <w:shd w:val="clear" w:color="auto" w:fill="auto"/>
            <w:noWrap/>
            <w:vAlign w:val="bottom"/>
            <w:hideMark/>
          </w:tcPr>
          <w:p w:rsidR="008C2902" w:rsidRDefault="00AD2EC1">
            <w:pPr>
              <w:widowControl w:val="0"/>
              <w:spacing w:after="0" w:line="240" w:lineRule="auto"/>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ESF</w:t>
            </w:r>
          </w:p>
        </w:tc>
        <w:tc>
          <w:tcPr>
            <w:tcW w:w="473"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20</w:t>
            </w:r>
          </w:p>
        </w:tc>
        <w:tc>
          <w:tcPr>
            <w:tcW w:w="469"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272</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31</w:t>
            </w:r>
          </w:p>
        </w:tc>
        <w:tc>
          <w:tcPr>
            <w:tcW w:w="470"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1 323</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19</w:t>
            </w:r>
          </w:p>
        </w:tc>
        <w:tc>
          <w:tcPr>
            <w:tcW w:w="470"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625</w:t>
            </w:r>
          </w:p>
        </w:tc>
        <w:tc>
          <w:tcPr>
            <w:tcW w:w="472"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32</w:t>
            </w:r>
          </w:p>
        </w:tc>
        <w:tc>
          <w:tcPr>
            <w:tcW w:w="467" w:type="pct"/>
            <w:tcBorders>
              <w:top w:val="nil"/>
              <w:left w:val="nil"/>
              <w:bottom w:val="nil"/>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970</w:t>
            </w:r>
          </w:p>
        </w:tc>
      </w:tr>
      <w:tr w:rsidR="008C2902">
        <w:trPr>
          <w:trHeight w:val="255"/>
        </w:trPr>
        <w:tc>
          <w:tcPr>
            <w:tcW w:w="1235" w:type="pct"/>
            <w:tcBorders>
              <w:top w:val="nil"/>
              <w:left w:val="single" w:sz="4" w:space="0" w:color="auto"/>
              <w:bottom w:val="single" w:sz="4" w:space="0" w:color="auto"/>
              <w:right w:val="single" w:sz="4" w:space="0" w:color="auto"/>
            </w:tcBorders>
            <w:shd w:val="clear" w:color="auto" w:fill="auto"/>
            <w:noWrap/>
            <w:vAlign w:val="bottom"/>
            <w:hideMark/>
          </w:tcPr>
          <w:p w:rsidR="008C2902" w:rsidRDefault="00AD2EC1">
            <w:pPr>
              <w:widowControl w:val="0"/>
              <w:spacing w:after="0" w:line="240" w:lineRule="auto"/>
              <w:rPr>
                <w:rFonts w:ascii="Verdana" w:eastAsia="Times New Roman" w:hAnsi="Verdana"/>
                <w:b/>
                <w:bCs/>
                <w:i/>
                <w:iCs/>
                <w:noProof/>
                <w:color w:val="000000"/>
                <w:sz w:val="16"/>
                <w:szCs w:val="16"/>
                <w:lang w:eastAsia="en-GB"/>
              </w:rPr>
            </w:pPr>
            <w:r>
              <w:rPr>
                <w:rFonts w:ascii="Verdana" w:eastAsia="Times New Roman" w:hAnsi="Verdana"/>
                <w:b/>
                <w:bCs/>
                <w:i/>
                <w:iCs/>
                <w:noProof/>
                <w:color w:val="000000"/>
                <w:sz w:val="16"/>
                <w:szCs w:val="16"/>
                <w:lang w:eastAsia="en-GB"/>
              </w:rPr>
              <w:t>EFF</w:t>
            </w:r>
          </w:p>
        </w:tc>
        <w:tc>
          <w:tcPr>
            <w:tcW w:w="473"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10</w:t>
            </w:r>
          </w:p>
        </w:tc>
        <w:tc>
          <w:tcPr>
            <w:tcW w:w="469"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97</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13</w:t>
            </w:r>
          </w:p>
        </w:tc>
        <w:tc>
          <w:tcPr>
            <w:tcW w:w="470"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103</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15</w:t>
            </w:r>
          </w:p>
        </w:tc>
        <w:tc>
          <w:tcPr>
            <w:tcW w:w="470"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186</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8</w:t>
            </w:r>
          </w:p>
        </w:tc>
        <w:tc>
          <w:tcPr>
            <w:tcW w:w="467"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noProof/>
                <w:color w:val="000000"/>
                <w:sz w:val="16"/>
                <w:szCs w:val="16"/>
              </w:rPr>
            </w:pPr>
            <w:r>
              <w:rPr>
                <w:rFonts w:ascii="Verdana" w:hAnsi="Verdana"/>
                <w:noProof/>
                <w:color w:val="000000"/>
                <w:sz w:val="16"/>
                <w:szCs w:val="16"/>
              </w:rPr>
              <w:t xml:space="preserve"> 14</w:t>
            </w:r>
          </w:p>
        </w:tc>
      </w:tr>
      <w:tr w:rsidR="008C2902">
        <w:trPr>
          <w:trHeight w:val="255"/>
        </w:trPr>
        <w:tc>
          <w:tcPr>
            <w:tcW w:w="1235" w:type="pct"/>
            <w:tcBorders>
              <w:top w:val="nil"/>
              <w:left w:val="single" w:sz="4" w:space="0" w:color="auto"/>
              <w:bottom w:val="single" w:sz="4" w:space="0" w:color="auto"/>
              <w:right w:val="single" w:sz="4" w:space="0" w:color="auto"/>
            </w:tcBorders>
            <w:shd w:val="clear" w:color="auto" w:fill="auto"/>
            <w:noWrap/>
            <w:vAlign w:val="bottom"/>
            <w:hideMark/>
          </w:tcPr>
          <w:p w:rsidR="008C2902" w:rsidRDefault="00AD2EC1">
            <w:pPr>
              <w:widowControl w:val="0"/>
              <w:spacing w:after="0" w:line="240" w:lineRule="auto"/>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 xml:space="preserve">Total </w:t>
            </w:r>
          </w:p>
        </w:tc>
        <w:tc>
          <w:tcPr>
            <w:tcW w:w="473"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 xml:space="preserve"> 131</w:t>
            </w:r>
          </w:p>
        </w:tc>
        <w:tc>
          <w:tcPr>
            <w:tcW w:w="469"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1 977</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 xml:space="preserve"> 178</w:t>
            </w:r>
          </w:p>
        </w:tc>
        <w:tc>
          <w:tcPr>
            <w:tcW w:w="470"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7 653</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 xml:space="preserve"> 171</w:t>
            </w:r>
          </w:p>
        </w:tc>
        <w:tc>
          <w:tcPr>
            <w:tcW w:w="470"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4 809</w:t>
            </w:r>
          </w:p>
        </w:tc>
        <w:tc>
          <w:tcPr>
            <w:tcW w:w="472"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 xml:space="preserve"> 138</w:t>
            </w:r>
          </w:p>
        </w:tc>
        <w:tc>
          <w:tcPr>
            <w:tcW w:w="467" w:type="pct"/>
            <w:tcBorders>
              <w:top w:val="nil"/>
              <w:left w:val="nil"/>
              <w:bottom w:val="single" w:sz="4" w:space="0" w:color="auto"/>
              <w:right w:val="single" w:sz="4" w:space="0" w:color="auto"/>
            </w:tcBorders>
            <w:shd w:val="clear" w:color="auto" w:fill="auto"/>
            <w:noWrap/>
            <w:vAlign w:val="center"/>
          </w:tcPr>
          <w:p w:rsidR="008C2902" w:rsidRDefault="00AD2EC1">
            <w:pPr>
              <w:widowControl w:val="0"/>
              <w:spacing w:after="0" w:line="240" w:lineRule="auto"/>
              <w:jc w:val="right"/>
              <w:rPr>
                <w:rFonts w:ascii="Verdana" w:hAnsi="Verdana"/>
                <w:b/>
                <w:bCs/>
                <w:noProof/>
                <w:color w:val="000000"/>
                <w:sz w:val="16"/>
                <w:szCs w:val="16"/>
              </w:rPr>
            </w:pPr>
            <w:r>
              <w:rPr>
                <w:rFonts w:ascii="Verdana" w:hAnsi="Verdana"/>
                <w:b/>
                <w:bCs/>
                <w:noProof/>
                <w:color w:val="000000"/>
                <w:sz w:val="16"/>
                <w:szCs w:val="16"/>
              </w:rPr>
              <w:t>4 821</w:t>
            </w:r>
          </w:p>
        </w:tc>
      </w:tr>
    </w:tbl>
    <w:p w:rsidR="008C2902" w:rsidRDefault="00AD2EC1">
      <w:pPr>
        <w:spacing w:before="120" w:after="120" w:line="240" w:lineRule="auto"/>
        <w:jc w:val="both"/>
        <w:rPr>
          <w:rFonts w:ascii="Verdana" w:hAnsi="Verdana"/>
          <w:b/>
          <w:i/>
          <w:noProof/>
          <w:sz w:val="14"/>
          <w:szCs w:val="14"/>
        </w:rPr>
      </w:pPr>
      <w:r>
        <w:rPr>
          <w:rFonts w:ascii="Verdana" w:hAnsi="Verdana"/>
          <w:noProof/>
          <w:sz w:val="14"/>
          <w:szCs w:val="14"/>
        </w:rPr>
        <w:t>The table above presents for the ERDF, the Cohesion Fund, the ESF and the EFF, a view on the evolution of the interruption cases both in number and in amount. The opening balance includes all the cases still open at end 2013, irrespective of the year when the interruption was notified to the Member State. The new cases only refer to the interruptions notified in the year 2014. The closed cases represent the cases for which the payment of cost claims resumed in 2014, irrespective of the year when the interruption started. The cases still open at end 2014 represent the interruptions that remain active at 31 December 2014, i.e. the payment deadline of cost claims is still interrupted pending corrective measures to be taken by the Member State concerned.</w:t>
      </w:r>
    </w:p>
    <w:p w:rsidR="008C2902" w:rsidRDefault="00AD2EC1">
      <w:pPr>
        <w:spacing w:before="240" w:after="240" w:line="240" w:lineRule="auto"/>
        <w:jc w:val="both"/>
        <w:rPr>
          <w:rFonts w:ascii="Verdana" w:hAnsi="Verdana"/>
          <w:noProof/>
          <w:sz w:val="20"/>
        </w:rPr>
      </w:pPr>
      <w:r>
        <w:rPr>
          <w:rFonts w:ascii="Verdana" w:hAnsi="Verdana"/>
          <w:noProof/>
          <w:sz w:val="20"/>
        </w:rPr>
        <w:t xml:space="preserve">In 2014, the number of warning letters, interruptions and pre-suspensions for </w:t>
      </w:r>
      <w:r>
        <w:rPr>
          <w:rFonts w:ascii="Verdana" w:hAnsi="Verdana"/>
          <w:b/>
          <w:noProof/>
          <w:sz w:val="20"/>
        </w:rPr>
        <w:t>ERDF/CF</w:t>
      </w:r>
      <w:r>
        <w:rPr>
          <w:rFonts w:ascii="Verdana" w:hAnsi="Verdana"/>
          <w:noProof/>
          <w:sz w:val="20"/>
        </w:rPr>
        <w:t xml:space="preserve"> programmes were still at a very high level. 16 new warning letters were sent and 36 new interruptions were decided and communicated to Member States in the year. The Commission initiated 28 pre-suspension procedures. 121 programmes were impacted by either a warning or an interruption. Approximately two third of these interruptions and pre-suspensions are based on audit results reported to the Commission by audit authorities during the year or at year end. </w:t>
      </w:r>
    </w:p>
    <w:p w:rsidR="008C2902" w:rsidRDefault="00AD2EC1">
      <w:pPr>
        <w:spacing w:line="240" w:lineRule="auto"/>
        <w:jc w:val="both"/>
        <w:rPr>
          <w:rFonts w:ascii="Verdana" w:hAnsi="Verdana"/>
          <w:noProof/>
          <w:sz w:val="20"/>
        </w:rPr>
      </w:pPr>
      <w:r>
        <w:rPr>
          <w:rFonts w:ascii="Verdana" w:hAnsi="Verdana"/>
          <w:noProof/>
          <w:sz w:val="20"/>
        </w:rPr>
        <w:t xml:space="preserve">Concerning </w:t>
      </w:r>
      <w:r>
        <w:rPr>
          <w:rFonts w:ascii="Verdana" w:hAnsi="Verdana"/>
          <w:b/>
          <w:bCs/>
          <w:noProof/>
          <w:sz w:val="20"/>
        </w:rPr>
        <w:t>ESF</w:t>
      </w:r>
      <w:r>
        <w:rPr>
          <w:rFonts w:ascii="Verdana" w:hAnsi="Verdana"/>
          <w:noProof/>
          <w:sz w:val="20"/>
        </w:rPr>
        <w:t>, at end 2013, 20 interruptions remained open. During 2014, 31 interruptions were decided and 19 interruptions were lifted. This meant that 32 payments remained interrupted at end 2014 (Czech Republic (1), Spain (18), France (3) Italy (8) and the United Kingdom (2)), of which 13 were already interrupted at end 2013.</w:t>
      </w:r>
    </w:p>
    <w:p w:rsidR="008C2902" w:rsidRDefault="00AD2EC1">
      <w:pPr>
        <w:spacing w:line="240" w:lineRule="auto"/>
        <w:jc w:val="both"/>
        <w:rPr>
          <w:rFonts w:ascii="Verdana" w:hAnsi="Verdana"/>
          <w:noProof/>
          <w:sz w:val="20"/>
        </w:rPr>
      </w:pPr>
      <w:r>
        <w:rPr>
          <w:rFonts w:ascii="Verdana" w:hAnsi="Verdana"/>
          <w:noProof/>
          <w:sz w:val="20"/>
        </w:rPr>
        <w:t xml:space="preserve">For </w:t>
      </w:r>
      <w:r>
        <w:rPr>
          <w:rFonts w:ascii="Verdana" w:hAnsi="Verdana"/>
          <w:b/>
          <w:noProof/>
          <w:sz w:val="20"/>
        </w:rPr>
        <w:t>EFF</w:t>
      </w:r>
      <w:r>
        <w:rPr>
          <w:rFonts w:ascii="Verdana" w:hAnsi="Verdana"/>
          <w:noProof/>
          <w:sz w:val="20"/>
        </w:rPr>
        <w:t>, most of the interruptions relate to issues stemming from the analysis of the ACRs provided by the MS at the beginning of each year (reports not provided, not reliable or showing high error rates). The significant reduction in the interrupted amounts between the two years resulted from the lifting of the interruption for Spain.</w:t>
      </w:r>
    </w:p>
    <w:p w:rsidR="008C2902" w:rsidRDefault="00AD2EC1">
      <w:pPr>
        <w:keepNext/>
        <w:spacing w:after="120" w:line="240" w:lineRule="auto"/>
        <w:rPr>
          <w:rFonts w:ascii="Verdana" w:hAnsi="Verdana"/>
          <w:b/>
          <w:i/>
          <w:noProof/>
        </w:rPr>
      </w:pPr>
      <w:r>
        <w:rPr>
          <w:rFonts w:ascii="Verdana" w:hAnsi="Verdana"/>
          <w:b/>
          <w:i/>
          <w:noProof/>
        </w:rPr>
        <w:lastRenderedPageBreak/>
        <w:t>Suspensions</w:t>
      </w:r>
    </w:p>
    <w:p w:rsidR="008C2902" w:rsidRDefault="00AD2EC1">
      <w:pPr>
        <w:spacing w:line="240" w:lineRule="auto"/>
        <w:jc w:val="both"/>
        <w:rPr>
          <w:rFonts w:ascii="Verdana" w:hAnsi="Verdana"/>
          <w:noProof/>
          <w:sz w:val="20"/>
        </w:rPr>
      </w:pPr>
      <w:r>
        <w:rPr>
          <w:rFonts w:ascii="Verdana" w:hAnsi="Verdana"/>
          <w:noProof/>
          <w:sz w:val="20"/>
        </w:rPr>
        <w:t xml:space="preserve">Concerning </w:t>
      </w:r>
      <w:r>
        <w:rPr>
          <w:rFonts w:ascii="Verdana" w:hAnsi="Verdana"/>
          <w:b/>
          <w:noProof/>
          <w:sz w:val="20"/>
        </w:rPr>
        <w:t>ERDF</w:t>
      </w:r>
      <w:r>
        <w:rPr>
          <w:rFonts w:ascii="Verdana" w:hAnsi="Verdana"/>
          <w:noProof/>
          <w:sz w:val="20"/>
        </w:rPr>
        <w:t xml:space="preserve"> and the </w:t>
      </w:r>
      <w:r>
        <w:rPr>
          <w:rFonts w:ascii="Verdana" w:hAnsi="Verdana"/>
          <w:b/>
          <w:noProof/>
          <w:sz w:val="20"/>
        </w:rPr>
        <w:t>Cohesion Fund</w:t>
      </w:r>
      <w:r>
        <w:rPr>
          <w:rFonts w:ascii="Verdana" w:hAnsi="Verdana"/>
          <w:noProof/>
          <w:sz w:val="20"/>
        </w:rPr>
        <w:t>, five</w:t>
      </w:r>
      <w:r>
        <w:rPr>
          <w:rFonts w:ascii="Verdana" w:hAnsi="Verdana"/>
          <w:noProof/>
          <w:sz w:val="20"/>
          <w:vertAlign w:val="superscript"/>
        </w:rPr>
        <w:footnoteReference w:id="17"/>
      </w:r>
      <w:r>
        <w:rPr>
          <w:rFonts w:ascii="Verdana" w:hAnsi="Verdana"/>
          <w:noProof/>
          <w:sz w:val="20"/>
          <w:vertAlign w:val="superscript"/>
        </w:rPr>
        <w:t xml:space="preserve"> </w:t>
      </w:r>
      <w:r>
        <w:rPr>
          <w:rFonts w:ascii="Verdana" w:hAnsi="Verdana"/>
          <w:noProof/>
          <w:sz w:val="20"/>
        </w:rPr>
        <w:t>suspension decisions were still in force at the end of 2013. Decisions to lift the suspensions for the intermediate bodies AENA in Spain and Social Affairs in Estonia were taken during 2014. The other three suspension decisions for Spain and Italy remained in force at the end of 2014. Four new suspension decisions were adopted in 2014: three related to Spain, and one related to an IPA CBC programme (Adriatic –Technical assistance priority). Two of the suspension decisions related to Spain were still in force and one was lifted before the year-end.</w:t>
      </w:r>
    </w:p>
    <w:p w:rsidR="008C2902" w:rsidRDefault="00AD2EC1">
      <w:pPr>
        <w:spacing w:line="240" w:lineRule="auto"/>
        <w:jc w:val="both"/>
        <w:rPr>
          <w:rFonts w:ascii="Verdana" w:hAnsi="Verdana"/>
          <w:noProof/>
          <w:sz w:val="20"/>
        </w:rPr>
      </w:pPr>
      <w:r>
        <w:rPr>
          <w:rFonts w:ascii="Verdana" w:hAnsi="Verdana"/>
          <w:noProof/>
          <w:sz w:val="20"/>
        </w:rPr>
        <w:t xml:space="preserve">Concerning </w:t>
      </w:r>
      <w:r>
        <w:rPr>
          <w:rFonts w:ascii="Verdana" w:hAnsi="Verdana"/>
          <w:b/>
          <w:bCs/>
          <w:noProof/>
          <w:sz w:val="20"/>
        </w:rPr>
        <w:t>ESF</w:t>
      </w:r>
      <w:r>
        <w:rPr>
          <w:rFonts w:ascii="Verdana" w:hAnsi="Verdana"/>
          <w:noProof/>
          <w:sz w:val="20"/>
        </w:rPr>
        <w:t xml:space="preserve">, one suspension decision adopted in 2011 for France was still on-going at 31 December 2014. Seven suspension decisions adopted during 2013 were still ongoing at 31 December 2014: Belgium, Czech Republic, Spain (3), Italy and Slovakia. During 2014, eleven suspension decisions were adopted (Czech Republic, Spain (9) and Italy) and all of them were still ongoing at 31 December 2014. </w:t>
      </w:r>
    </w:p>
    <w:p w:rsidR="008C2902" w:rsidRDefault="00AD2EC1">
      <w:pPr>
        <w:spacing w:line="240" w:lineRule="auto"/>
        <w:jc w:val="both"/>
        <w:rPr>
          <w:rFonts w:ascii="Verdana" w:hAnsi="Verdana"/>
          <w:noProof/>
          <w:sz w:val="20"/>
        </w:rPr>
      </w:pPr>
      <w:r>
        <w:rPr>
          <w:rFonts w:ascii="Verdana" w:hAnsi="Verdana"/>
          <w:noProof/>
          <w:sz w:val="20"/>
        </w:rPr>
        <w:t xml:space="preserve">Interim payments for the </w:t>
      </w:r>
      <w:r>
        <w:rPr>
          <w:rFonts w:ascii="Verdana" w:hAnsi="Verdana"/>
          <w:b/>
          <w:noProof/>
          <w:sz w:val="20"/>
        </w:rPr>
        <w:t>EFF</w:t>
      </w:r>
      <w:r>
        <w:rPr>
          <w:rFonts w:ascii="Verdana" w:hAnsi="Verdana"/>
          <w:noProof/>
          <w:sz w:val="20"/>
        </w:rPr>
        <w:t xml:space="preserve"> operational programme for Estonia were suspended in May 2014. Following the suspension decision, a number of exchanges between Estonia and the Commission services took place to analyse and address the measures undertaken by Estonia, which led to the lifting of the suspension in April 2015.</w:t>
      </w:r>
      <w:r>
        <w:rPr>
          <w:rFonts w:ascii="Verdana" w:hAnsi="Verdana"/>
          <w:noProof/>
          <w:sz w:val="20"/>
        </w:rPr>
        <w:tab/>
      </w:r>
    </w:p>
    <w:p w:rsidR="008C2902" w:rsidRDefault="00AD2EC1">
      <w:pPr>
        <w:spacing w:after="120" w:line="240" w:lineRule="auto"/>
        <w:rPr>
          <w:rFonts w:ascii="Verdana" w:hAnsi="Verdana"/>
          <w:i/>
          <w:noProof/>
          <w:sz w:val="20"/>
          <w:szCs w:val="20"/>
        </w:rPr>
      </w:pPr>
      <w:r>
        <w:rPr>
          <w:rFonts w:ascii="Verdana" w:hAnsi="Verdana"/>
          <w:i/>
          <w:noProof/>
          <w:sz w:val="20"/>
          <w:szCs w:val="20"/>
        </w:rPr>
        <w:t>6.2.2.</w:t>
      </w:r>
      <w:r>
        <w:rPr>
          <w:rFonts w:ascii="Verdana" w:hAnsi="Verdana"/>
          <w:i/>
          <w:noProof/>
          <w:sz w:val="20"/>
          <w:szCs w:val="20"/>
        </w:rPr>
        <w:tab/>
        <w:t xml:space="preserve">Fraud-prevention measures </w:t>
      </w:r>
    </w:p>
    <w:p w:rsidR="008C2902" w:rsidRDefault="00AD2EC1">
      <w:pPr>
        <w:spacing w:after="0" w:line="240" w:lineRule="auto"/>
        <w:jc w:val="both"/>
        <w:rPr>
          <w:rFonts w:ascii="Verdana" w:hAnsi="Verdana"/>
          <w:noProof/>
          <w:sz w:val="20"/>
        </w:rPr>
      </w:pPr>
      <w:r>
        <w:rPr>
          <w:rFonts w:ascii="Verdana" w:hAnsi="Verdana"/>
          <w:noProof/>
          <w:sz w:val="20"/>
        </w:rPr>
        <w:t>Fraud, when it occurs, raises significant attention and damages the reputation of the EU. In this respect, an important initiative taken by the Commission was firstly to hold in December 2013 a conference on anti-fraud measures for all Member States. Secondly, this was followed by a series of conferences in 2014-2015 in Greece, Slovakia, Czech Republic, Bulgaria, Croatia, Romania, Italy, Slovenia and Spain, Poland and Latvia (for the 3 Baltic States). Furthermore the Commission produced specific guidance to support Member States’ fraud risk assessment and developed tailor-made IT tools in order to help them target their anti-fraud efforts on high risk projects. These actions are in line with the increased responsibilities at Member State level arising from the new Cohesion Policy regulation (Article 125(4)(c)) which requires Member States to “put in place effective and proportionate anti-fraud measures taking into account the risks identified”.</w:t>
      </w:r>
    </w:p>
    <w:p w:rsidR="008C2902" w:rsidRDefault="008C2902">
      <w:pPr>
        <w:spacing w:after="0" w:line="240" w:lineRule="auto"/>
        <w:jc w:val="both"/>
        <w:rPr>
          <w:rFonts w:ascii="Verdana" w:hAnsi="Verdana"/>
          <w:noProof/>
          <w:sz w:val="20"/>
        </w:rPr>
      </w:pPr>
    </w:p>
    <w:p w:rsidR="008C2902" w:rsidRDefault="00AD2EC1">
      <w:pPr>
        <w:spacing w:after="0" w:line="240" w:lineRule="auto"/>
        <w:jc w:val="both"/>
        <w:rPr>
          <w:rFonts w:ascii="Verdana" w:hAnsi="Verdana"/>
          <w:noProof/>
          <w:sz w:val="20"/>
          <w:szCs w:val="20"/>
        </w:rPr>
      </w:pPr>
      <w:r>
        <w:rPr>
          <w:rFonts w:ascii="Verdana" w:hAnsi="Verdana"/>
          <w:noProof/>
          <w:sz w:val="20"/>
          <w:szCs w:val="20"/>
        </w:rPr>
        <w:t xml:space="preserve">These above-mentioned awareness raising events have provided positive results; for example, the region of Andalucía (Spain) has decided to start using the ARACHNE fraud risk scoring tool already for the 2007-2013 programming period. The Commission is providing the necessary support to set up the system and assisting the regional authorities in creating the relevant data files required. The Andalusian authorities also committed (written communication of December 2014) to have a dedicated anti-fraud agency carrying out detection and prevention activities. </w:t>
      </w:r>
    </w:p>
    <w:p w:rsidR="008C2902" w:rsidRDefault="008C2902">
      <w:pPr>
        <w:spacing w:after="0" w:line="240" w:lineRule="auto"/>
        <w:jc w:val="both"/>
        <w:rPr>
          <w:rFonts w:ascii="Verdana" w:hAnsi="Verdana" w:cs="Calibri"/>
          <w:noProof/>
          <w:sz w:val="20"/>
          <w:szCs w:val="20"/>
        </w:rPr>
      </w:pPr>
    </w:p>
    <w:p w:rsidR="008C2902" w:rsidRDefault="00AD2EC1">
      <w:pPr>
        <w:spacing w:after="0" w:line="240" w:lineRule="auto"/>
        <w:jc w:val="both"/>
        <w:rPr>
          <w:rFonts w:ascii="Verdana" w:hAnsi="Verdana"/>
          <w:noProof/>
          <w:sz w:val="20"/>
          <w:szCs w:val="20"/>
        </w:rPr>
      </w:pPr>
      <w:r>
        <w:rPr>
          <w:rFonts w:ascii="Verdana" w:hAnsi="Verdana" w:cs="Calibri"/>
          <w:noProof/>
          <w:sz w:val="20"/>
          <w:szCs w:val="20"/>
        </w:rPr>
        <w:t>ARACHNE has been presented to 22 Member States. So far, sixteen have sent programme data and the roll out of the system is continuing. Eight Member States already use the ARACHNE tool and the Commission continues to monitor its use. Eight other Member States have access since the first quarter of 2015. Further presentations to the remaining six will take place in 2015. ARACHNE aims at establishing a comprehensive database of financial and operational data on projects and beneficiaries in order to carry out, on the basis of objective criteria, a risk scoring allowing the identification of the most risky projects and the most risky operational programmes.</w:t>
      </w:r>
    </w:p>
    <w:p w:rsidR="008C2902" w:rsidRDefault="008C2902">
      <w:pPr>
        <w:spacing w:after="0" w:line="240" w:lineRule="auto"/>
        <w:jc w:val="both"/>
        <w:rPr>
          <w:rFonts w:ascii="Verdana" w:hAnsi="Verdana"/>
          <w:noProof/>
          <w:sz w:val="20"/>
        </w:rPr>
      </w:pPr>
    </w:p>
    <w:p w:rsidR="008C2902" w:rsidRDefault="00AD2EC1">
      <w:pPr>
        <w:pStyle w:val="ManualHeading1"/>
        <w:rPr>
          <w:noProof/>
        </w:rPr>
      </w:pPr>
      <w:bookmarkStart w:id="141" w:name="_Toc431383875"/>
      <w:bookmarkStart w:id="142" w:name="_Toc432061793"/>
      <w:r>
        <w:lastRenderedPageBreak/>
        <w:t>7.</w:t>
      </w:r>
      <w:r>
        <w:tab/>
      </w:r>
      <w:r>
        <w:rPr>
          <w:noProof/>
        </w:rPr>
        <w:t>CORRECTIVE ACTIONS MADE BY MEMBER STATES ON THEIR OWN INITIATIVE</w:t>
      </w:r>
      <w:bookmarkEnd w:id="141"/>
      <w:bookmarkEnd w:id="142"/>
    </w:p>
    <w:p w:rsidR="008C2902" w:rsidRDefault="00AD2EC1">
      <w:pPr>
        <w:spacing w:line="240" w:lineRule="auto"/>
        <w:jc w:val="both"/>
        <w:rPr>
          <w:rFonts w:ascii="Verdana" w:hAnsi="Verdana"/>
          <w:noProof/>
          <w:sz w:val="20"/>
          <w:szCs w:val="20"/>
        </w:rPr>
      </w:pPr>
      <w:r>
        <w:rPr>
          <w:rFonts w:ascii="Verdana" w:hAnsi="Verdana"/>
          <w:noProof/>
          <w:sz w:val="20"/>
          <w:szCs w:val="20"/>
        </w:rPr>
        <w:t>Under shared management, Member States have the primary obligation to prevent and detect irregularities, and thus they make major efforts and commit resources to making financial corrections and recovering undue amounts from beneficiaries. Moreover, they perform management verifications, controls and audits in the first instance, these being in addition to those of the Commission detailed above. The figures below are in addition to the corrections reported by the Commission above.</w:t>
      </w:r>
    </w:p>
    <w:p w:rsidR="008C2902" w:rsidRPr="00AD2EC1" w:rsidRDefault="00AD2EC1">
      <w:pPr>
        <w:pStyle w:val="ManualHeading2"/>
        <w:rPr>
          <w:noProof/>
        </w:rPr>
      </w:pPr>
      <w:bookmarkStart w:id="143" w:name="_Toc431383876"/>
      <w:bookmarkStart w:id="144" w:name="_Toc432061794"/>
      <w:r>
        <w:t>7.1.</w:t>
      </w:r>
      <w:r>
        <w:tab/>
      </w:r>
      <w:r w:rsidRPr="00AD2EC1">
        <w:rPr>
          <w:noProof/>
        </w:rPr>
        <w:t>Agriculture</w:t>
      </w:r>
      <w:bookmarkEnd w:id="143"/>
      <w:bookmarkEnd w:id="144"/>
    </w:p>
    <w:p w:rsidR="008C2902" w:rsidRDefault="00AD2EC1">
      <w:pPr>
        <w:spacing w:after="240" w:line="240" w:lineRule="auto"/>
        <w:jc w:val="both"/>
        <w:rPr>
          <w:rFonts w:ascii="Verdana" w:hAnsi="Verdana"/>
          <w:noProof/>
          <w:sz w:val="20"/>
          <w:szCs w:val="20"/>
        </w:rPr>
      </w:pPr>
      <w:r>
        <w:rPr>
          <w:rFonts w:ascii="Verdana" w:hAnsi="Verdana"/>
          <w:noProof/>
          <w:sz w:val="20"/>
          <w:szCs w:val="20"/>
        </w:rPr>
        <w:t>Member States are required to put in place systems for ex-ante controls and dissuasive sanctions:</w:t>
      </w:r>
    </w:p>
    <w:p w:rsidR="008C2902" w:rsidRDefault="00AD2EC1">
      <w:pPr>
        <w:numPr>
          <w:ilvl w:val="0"/>
          <w:numId w:val="39"/>
        </w:numPr>
        <w:spacing w:after="240" w:line="240" w:lineRule="auto"/>
        <w:jc w:val="both"/>
        <w:rPr>
          <w:rFonts w:ascii="Verdana" w:hAnsi="Verdana"/>
          <w:noProof/>
          <w:sz w:val="20"/>
          <w:szCs w:val="20"/>
        </w:rPr>
      </w:pPr>
      <w:r>
        <w:rPr>
          <w:rFonts w:ascii="Verdana" w:hAnsi="Verdana"/>
          <w:noProof/>
          <w:sz w:val="20"/>
          <w:szCs w:val="20"/>
        </w:rPr>
        <w:t xml:space="preserve">For each aid support scheme financed by EAGF or EAFRD, ex-ante administrative and on-the-spot checks are performed and dissuasive sanctions are applied in case of non-compliance by the beneficiary. These control systems are to be applied by the paying agencies and encompass common features and special rules tailored to the specificities of each aid regime. They are designed to provide exhaustive ex-ante administrative controls of 100% of aid applications, cross-checks with other databases where appropriate, as well as on-the-spot checks of pre-payments on a sample of transactions ranging between 1 % and 100 % of the population, depending on the risk associated with the regime concerned. If on-the-spot checks reveal a high number of irregularities, additional controls must be carried out. </w:t>
      </w:r>
    </w:p>
    <w:p w:rsidR="008C2902" w:rsidRDefault="00AD2EC1">
      <w:pPr>
        <w:numPr>
          <w:ilvl w:val="0"/>
          <w:numId w:val="36"/>
        </w:numPr>
        <w:spacing w:after="240" w:line="240" w:lineRule="auto"/>
        <w:ind w:left="714" w:hanging="357"/>
        <w:jc w:val="both"/>
        <w:rPr>
          <w:rFonts w:ascii="Verdana" w:hAnsi="Verdana"/>
          <w:noProof/>
          <w:sz w:val="20"/>
          <w:szCs w:val="20"/>
        </w:rPr>
      </w:pPr>
      <w:r>
        <w:rPr>
          <w:rFonts w:ascii="Verdana" w:hAnsi="Verdana"/>
          <w:noProof/>
          <w:sz w:val="20"/>
          <w:szCs w:val="20"/>
        </w:rPr>
        <w:t>In this context, the most important system is the IACS, which covered 94 % of EAGF expenditure in financial year 2014 (92 % in 2013). To the extent possible, the IACS is also used to manage and control Rural Development measures relating to parcels or livestock, which accounted for 40 % of payments under the EAFRD in 2014. For both Funds, the IACS covered 83 % of total expenditure in 2014.</w:t>
      </w:r>
    </w:p>
    <w:p w:rsidR="008C2902" w:rsidRDefault="00AD2EC1">
      <w:pPr>
        <w:numPr>
          <w:ilvl w:val="0"/>
          <w:numId w:val="36"/>
        </w:numPr>
        <w:spacing w:after="240" w:line="240" w:lineRule="auto"/>
        <w:ind w:left="714" w:hanging="357"/>
        <w:jc w:val="both"/>
        <w:rPr>
          <w:rFonts w:ascii="Verdana" w:hAnsi="Verdana"/>
          <w:noProof/>
          <w:sz w:val="20"/>
          <w:szCs w:val="20"/>
        </w:rPr>
      </w:pPr>
      <w:r>
        <w:rPr>
          <w:rFonts w:ascii="Verdana" w:hAnsi="Verdana"/>
          <w:noProof/>
          <w:sz w:val="20"/>
          <w:szCs w:val="20"/>
        </w:rPr>
        <w:t>A detailed reporting from Member States to the Commission on the checks carried out by them and on the sanctions applied is foreseen in the legislation. The reporting system enables a calculation, for the main aid schemes, of the level of error found by Member States at the level of the final beneficiaries. The accuracy of the statistical information reported and the quality of the underlying on-the-spot checks is also verified and validated by the certification bodies for direct aids and Rural Development measures.</w:t>
      </w:r>
    </w:p>
    <w:p w:rsidR="008C2902" w:rsidRDefault="00AD2EC1">
      <w:pPr>
        <w:spacing w:after="240" w:line="240" w:lineRule="auto"/>
        <w:jc w:val="both"/>
        <w:rPr>
          <w:rFonts w:ascii="Verdana" w:hAnsi="Verdana"/>
          <w:noProof/>
          <w:sz w:val="20"/>
          <w:szCs w:val="20"/>
        </w:rPr>
      </w:pPr>
      <w:r>
        <w:rPr>
          <w:rFonts w:ascii="Verdana" w:hAnsi="Verdana"/>
          <w:noProof/>
          <w:sz w:val="20"/>
          <w:szCs w:val="20"/>
        </w:rPr>
        <w:t>The latter reports from the Member States disclose the preventive effect of the ex-ante administrative and on-the-spot controls carried out.</w:t>
      </w:r>
    </w:p>
    <w:p w:rsidR="008C2902" w:rsidRDefault="008C2902">
      <w:pPr>
        <w:spacing w:after="0" w:line="240" w:lineRule="auto"/>
        <w:rPr>
          <w:rFonts w:ascii="Verdana" w:hAnsi="Verdana"/>
          <w:b/>
          <w:i/>
          <w:noProof/>
          <w:sz w:val="20"/>
          <w:szCs w:val="20"/>
        </w:rPr>
      </w:pPr>
    </w:p>
    <w:p w:rsidR="008C2902" w:rsidRDefault="00AD2EC1">
      <w:pPr>
        <w:spacing w:after="0" w:line="240" w:lineRule="auto"/>
        <w:rPr>
          <w:rFonts w:ascii="Verdana" w:hAnsi="Verdana"/>
          <w:b/>
          <w:i/>
          <w:noProof/>
          <w:sz w:val="20"/>
          <w:szCs w:val="20"/>
        </w:rPr>
      </w:pPr>
      <w:r>
        <w:rPr>
          <w:rFonts w:ascii="Verdana" w:hAnsi="Verdana"/>
          <w:b/>
          <w:i/>
          <w:noProof/>
          <w:sz w:val="20"/>
          <w:szCs w:val="20"/>
        </w:rPr>
        <w:br w:type="page"/>
      </w:r>
    </w:p>
    <w:p w:rsidR="008C2902" w:rsidRDefault="00AD2EC1">
      <w:pPr>
        <w:spacing w:after="0" w:line="240" w:lineRule="auto"/>
        <w:jc w:val="both"/>
        <w:rPr>
          <w:rFonts w:ascii="Verdana" w:hAnsi="Verdana"/>
          <w:b/>
          <w:i/>
          <w:noProof/>
          <w:sz w:val="20"/>
          <w:szCs w:val="20"/>
        </w:rPr>
      </w:pPr>
      <w:r>
        <w:rPr>
          <w:rFonts w:ascii="Verdana" w:hAnsi="Verdana"/>
          <w:b/>
          <w:i/>
          <w:noProof/>
          <w:sz w:val="20"/>
          <w:szCs w:val="20"/>
        </w:rPr>
        <w:lastRenderedPageBreak/>
        <w:t>Table 7.1: Member States’ own corrections applied before payments to beneficiaries are executed in 2014 (in addition to Commission reporting)</w:t>
      </w:r>
    </w:p>
    <w:tbl>
      <w:tblPr>
        <w:tblW w:w="6379" w:type="dxa"/>
        <w:tblInd w:w="108" w:type="dxa"/>
        <w:tblLook w:val="04A0" w:firstRow="1" w:lastRow="0" w:firstColumn="1" w:lastColumn="0" w:noHBand="0" w:noVBand="1"/>
      </w:tblPr>
      <w:tblGrid>
        <w:gridCol w:w="2010"/>
        <w:gridCol w:w="1109"/>
        <w:gridCol w:w="1134"/>
        <w:gridCol w:w="850"/>
        <w:gridCol w:w="1276"/>
      </w:tblGrid>
      <w:tr w:rsidR="008C2902">
        <w:trPr>
          <w:trHeight w:val="270"/>
        </w:trPr>
        <w:tc>
          <w:tcPr>
            <w:tcW w:w="6379" w:type="dxa"/>
            <w:gridSpan w:val="5"/>
            <w:tcBorders>
              <w:top w:val="nil"/>
              <w:left w:val="nil"/>
              <w:bottom w:val="single" w:sz="8" w:space="0" w:color="auto"/>
              <w:right w:val="nil"/>
            </w:tcBorders>
            <w:shd w:val="clear" w:color="auto" w:fill="auto"/>
            <w:noWrap/>
            <w:vAlign w:val="bottom"/>
            <w:hideMark/>
          </w:tcPr>
          <w:p w:rsidR="008C2902" w:rsidRDefault="00AD2EC1">
            <w:pPr>
              <w:spacing w:after="0" w:line="240" w:lineRule="auto"/>
              <w:jc w:val="right"/>
              <w:rPr>
                <w:rFonts w:ascii="Verdana" w:eastAsia="Times New Roman" w:hAnsi="Verdana" w:cs="Arial"/>
                <w:i/>
                <w:iCs/>
                <w:noProof/>
                <w:color w:val="000000"/>
                <w:sz w:val="18"/>
                <w:szCs w:val="18"/>
                <w:lang w:eastAsia="en-GB"/>
              </w:rPr>
            </w:pPr>
            <w:r>
              <w:rPr>
                <w:rFonts w:ascii="Verdana" w:eastAsia="Times New Roman" w:hAnsi="Verdana" w:cs="Arial"/>
                <w:i/>
                <w:iCs/>
                <w:noProof/>
                <w:color w:val="000000"/>
                <w:sz w:val="18"/>
                <w:szCs w:val="18"/>
                <w:lang w:eastAsia="en-GB"/>
              </w:rPr>
              <w:t>EUR millions</w:t>
            </w:r>
          </w:p>
        </w:tc>
      </w:tr>
      <w:tr w:rsidR="008C2902">
        <w:trPr>
          <w:trHeight w:val="512"/>
        </w:trPr>
        <w:tc>
          <w:tcPr>
            <w:tcW w:w="2010" w:type="dxa"/>
            <w:tcBorders>
              <w:top w:val="nil"/>
              <w:left w:val="single" w:sz="8"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Member State</w:t>
            </w:r>
          </w:p>
        </w:tc>
        <w:tc>
          <w:tcPr>
            <w:tcW w:w="1109" w:type="dxa"/>
            <w:tcBorders>
              <w:top w:val="nil"/>
              <w:left w:val="single" w:sz="4"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EAGF Market Measures</w:t>
            </w:r>
          </w:p>
        </w:tc>
        <w:tc>
          <w:tcPr>
            <w:tcW w:w="1134" w:type="dxa"/>
            <w:tcBorders>
              <w:top w:val="nil"/>
              <w:left w:val="single" w:sz="4"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EAGF Direct Payments</w:t>
            </w:r>
          </w:p>
        </w:tc>
        <w:tc>
          <w:tcPr>
            <w:tcW w:w="850" w:type="dxa"/>
            <w:tcBorders>
              <w:top w:val="nil"/>
              <w:left w:val="single" w:sz="4" w:space="0" w:color="auto"/>
              <w:bottom w:val="single" w:sz="8" w:space="0" w:color="auto"/>
              <w:right w:val="nil"/>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EAFRD</w:t>
            </w:r>
          </w:p>
        </w:tc>
        <w:tc>
          <w:tcPr>
            <w:tcW w:w="1276" w:type="dxa"/>
            <w:tcBorders>
              <w:top w:val="nil"/>
              <w:left w:val="single" w:sz="4" w:space="0" w:color="auto"/>
              <w:bottom w:val="single" w:sz="8" w:space="0" w:color="auto"/>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 2014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14</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9</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6</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7</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8</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12</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24</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20</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56</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4</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4</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11</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17</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9</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30</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14</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20</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5</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6</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9</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14</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4</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6</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9</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18</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29</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4</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2</w:t>
            </w:r>
          </w:p>
        </w:tc>
      </w:tr>
      <w:tr w:rsidR="008C2902">
        <w:trPr>
          <w:trHeight w:val="227"/>
        </w:trPr>
        <w:tc>
          <w:tcPr>
            <w:tcW w:w="2010" w:type="dxa"/>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1109"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850"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1</w:t>
            </w:r>
          </w:p>
        </w:tc>
        <w:tc>
          <w:tcPr>
            <w:tcW w:w="1276"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r>
      <w:tr w:rsidR="008C2902">
        <w:trPr>
          <w:trHeight w:val="227"/>
        </w:trPr>
        <w:tc>
          <w:tcPr>
            <w:tcW w:w="2010" w:type="dxa"/>
            <w:tcBorders>
              <w:top w:val="nil"/>
              <w:left w:val="single" w:sz="8" w:space="0" w:color="auto"/>
              <w:bottom w:val="single" w:sz="4" w:space="0" w:color="auto"/>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1109" w:type="dxa"/>
            <w:tcBorders>
              <w:top w:val="nil"/>
              <w:left w:val="nil"/>
              <w:bottom w:val="single" w:sz="4"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0</w:t>
            </w:r>
          </w:p>
        </w:tc>
        <w:tc>
          <w:tcPr>
            <w:tcW w:w="1134" w:type="dxa"/>
            <w:tcBorders>
              <w:top w:val="nil"/>
              <w:left w:val="nil"/>
              <w:bottom w:val="single" w:sz="4"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3</w:t>
            </w:r>
          </w:p>
        </w:tc>
        <w:tc>
          <w:tcPr>
            <w:tcW w:w="850" w:type="dxa"/>
            <w:tcBorders>
              <w:top w:val="nil"/>
              <w:left w:val="nil"/>
              <w:bottom w:val="single" w:sz="4"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4</w:t>
            </w:r>
          </w:p>
        </w:tc>
        <w:tc>
          <w:tcPr>
            <w:tcW w:w="1276" w:type="dxa"/>
            <w:tcBorders>
              <w:top w:val="nil"/>
              <w:left w:val="nil"/>
              <w:bottom w:val="single" w:sz="4"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noProof/>
                <w:color w:val="000000"/>
                <w:sz w:val="16"/>
                <w:szCs w:val="16"/>
              </w:rPr>
            </w:pPr>
            <w:r>
              <w:rPr>
                <w:rFonts w:ascii="Verdana" w:hAnsi="Verdana"/>
                <w:noProof/>
                <w:color w:val="000000"/>
                <w:sz w:val="16"/>
                <w:szCs w:val="16"/>
              </w:rPr>
              <w:t>7</w:t>
            </w:r>
          </w:p>
        </w:tc>
      </w:tr>
      <w:tr w:rsidR="008C2902">
        <w:trPr>
          <w:trHeight w:val="270"/>
        </w:trPr>
        <w:tc>
          <w:tcPr>
            <w:tcW w:w="2010" w:type="dxa"/>
            <w:tcBorders>
              <w:top w:val="nil"/>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c>
          <w:tcPr>
            <w:tcW w:w="1109" w:type="dxa"/>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b/>
                <w:bCs/>
                <w:noProof/>
                <w:color w:val="000000"/>
                <w:sz w:val="16"/>
                <w:szCs w:val="16"/>
              </w:rPr>
            </w:pPr>
            <w:r>
              <w:rPr>
                <w:rFonts w:ascii="Verdana" w:hAnsi="Verdana"/>
                <w:b/>
                <w:bCs/>
                <w:noProof/>
                <w:color w:val="000000"/>
                <w:sz w:val="16"/>
                <w:szCs w:val="16"/>
              </w:rPr>
              <w:t>39</w:t>
            </w:r>
          </w:p>
        </w:tc>
        <w:tc>
          <w:tcPr>
            <w:tcW w:w="1134" w:type="dxa"/>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b/>
                <w:bCs/>
                <w:noProof/>
                <w:color w:val="000000"/>
                <w:sz w:val="16"/>
                <w:szCs w:val="16"/>
              </w:rPr>
            </w:pPr>
            <w:r>
              <w:rPr>
                <w:rFonts w:ascii="Verdana" w:hAnsi="Verdana"/>
                <w:b/>
                <w:bCs/>
                <w:noProof/>
                <w:color w:val="000000"/>
                <w:sz w:val="16"/>
                <w:szCs w:val="16"/>
              </w:rPr>
              <w:t>128</w:t>
            </w:r>
          </w:p>
        </w:tc>
        <w:tc>
          <w:tcPr>
            <w:tcW w:w="850" w:type="dxa"/>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b/>
                <w:bCs/>
                <w:noProof/>
                <w:color w:val="000000"/>
                <w:sz w:val="16"/>
                <w:szCs w:val="16"/>
              </w:rPr>
            </w:pPr>
            <w:r>
              <w:rPr>
                <w:rFonts w:ascii="Verdana" w:hAnsi="Verdana"/>
                <w:b/>
                <w:bCs/>
                <w:noProof/>
                <w:color w:val="000000"/>
                <w:sz w:val="16"/>
                <w:szCs w:val="16"/>
              </w:rPr>
              <w:t>122</w:t>
            </w:r>
          </w:p>
        </w:tc>
        <w:tc>
          <w:tcPr>
            <w:tcW w:w="1276" w:type="dxa"/>
            <w:tcBorders>
              <w:top w:val="nil"/>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b/>
                <w:bCs/>
                <w:noProof/>
                <w:color w:val="000000"/>
                <w:sz w:val="16"/>
                <w:szCs w:val="16"/>
              </w:rPr>
            </w:pPr>
            <w:r>
              <w:rPr>
                <w:rFonts w:ascii="Verdana" w:hAnsi="Verdana"/>
                <w:b/>
                <w:bCs/>
                <w:noProof/>
                <w:color w:val="000000"/>
                <w:sz w:val="16"/>
                <w:szCs w:val="16"/>
              </w:rPr>
              <w:t>289</w:t>
            </w:r>
          </w:p>
        </w:tc>
      </w:tr>
    </w:tbl>
    <w:p w:rsidR="008C2902" w:rsidRDefault="008C2902">
      <w:pPr>
        <w:rPr>
          <w:noProof/>
          <w:highlight w:val="yellow"/>
          <w:lang w:val="fr-BE"/>
        </w:rPr>
      </w:pPr>
    </w:p>
    <w:p w:rsidR="008C2902" w:rsidRDefault="00AD2EC1">
      <w:pPr>
        <w:pStyle w:val="ManualHeading2"/>
        <w:rPr>
          <w:noProof/>
          <w:lang w:val="fr-BE"/>
        </w:rPr>
      </w:pPr>
      <w:bookmarkStart w:id="145" w:name="_Toc397943414"/>
      <w:bookmarkStart w:id="146" w:name="_Toc397943693"/>
      <w:bookmarkStart w:id="147" w:name="_Toc397954315"/>
      <w:bookmarkStart w:id="148" w:name="_Toc397943415"/>
      <w:bookmarkStart w:id="149" w:name="_Toc397943694"/>
      <w:bookmarkStart w:id="150" w:name="_Toc397954316"/>
      <w:bookmarkStart w:id="151" w:name="_Toc397943416"/>
      <w:bookmarkStart w:id="152" w:name="_Toc397943695"/>
      <w:bookmarkStart w:id="153" w:name="_Toc397954317"/>
      <w:bookmarkStart w:id="154" w:name="_Toc397943417"/>
      <w:bookmarkStart w:id="155" w:name="_Toc397943696"/>
      <w:bookmarkStart w:id="156" w:name="_Toc397954318"/>
      <w:bookmarkStart w:id="157" w:name="_Toc397943418"/>
      <w:bookmarkStart w:id="158" w:name="_Toc397943697"/>
      <w:bookmarkStart w:id="159" w:name="_Toc397954319"/>
      <w:bookmarkStart w:id="160" w:name="_Toc431383877"/>
      <w:bookmarkStart w:id="161" w:name="_Toc432061795"/>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t>7.2.</w:t>
      </w:r>
      <w:r>
        <w:tab/>
      </w:r>
      <w:r>
        <w:rPr>
          <w:noProof/>
          <w:lang w:val="fr-BE"/>
        </w:rPr>
        <w:t>Cohesion</w:t>
      </w:r>
      <w:bookmarkEnd w:id="160"/>
      <w:bookmarkEnd w:id="161"/>
    </w:p>
    <w:p w:rsidR="008C2902" w:rsidRDefault="00AD2EC1">
      <w:pPr>
        <w:spacing w:after="0" w:line="240" w:lineRule="auto"/>
        <w:jc w:val="both"/>
        <w:rPr>
          <w:rFonts w:ascii="Verdana" w:hAnsi="Verdana"/>
          <w:noProof/>
          <w:sz w:val="20"/>
          <w:szCs w:val="20"/>
        </w:rPr>
      </w:pPr>
      <w:r>
        <w:rPr>
          <w:rFonts w:ascii="Verdana" w:hAnsi="Verdana"/>
          <w:noProof/>
          <w:sz w:val="20"/>
          <w:szCs w:val="20"/>
        </w:rPr>
        <w:t xml:space="preserve">Under the regulations for the 2007-2013 programming period, Member States have to report annually to the Commission the corrections stemming from all controls performed. The Commission is performing risk-based audits to test the reliability of these figures as part of its assurance process. </w:t>
      </w:r>
    </w:p>
    <w:p w:rsidR="008C2902" w:rsidRDefault="008C2902">
      <w:pPr>
        <w:spacing w:after="0" w:line="240" w:lineRule="auto"/>
        <w:jc w:val="both"/>
        <w:rPr>
          <w:rFonts w:ascii="Verdana" w:hAnsi="Verdana"/>
          <w:noProof/>
          <w:sz w:val="20"/>
          <w:szCs w:val="20"/>
        </w:rPr>
      </w:pPr>
    </w:p>
    <w:p w:rsidR="008C2902" w:rsidRDefault="00AD2EC1">
      <w:pPr>
        <w:spacing w:after="0" w:line="240" w:lineRule="auto"/>
        <w:jc w:val="both"/>
        <w:rPr>
          <w:rFonts w:ascii="Verdana" w:hAnsi="Verdana"/>
          <w:noProof/>
          <w:sz w:val="20"/>
          <w:szCs w:val="20"/>
        </w:rPr>
      </w:pPr>
      <w:r>
        <w:rPr>
          <w:rFonts w:ascii="Verdana" w:hAnsi="Verdana"/>
          <w:noProof/>
          <w:sz w:val="20"/>
        </w:rPr>
        <w:t>It is highlighted that the Commission has taken a prudent approach, due to certain weaknesses in the Member State figures, so as to ensure that the amounts are not overstated – as a result some of them may in reality be higher. This, however, has no impact on the reliability of the Commission's own figures. The amounts in question are very significant and when added to the results of the Commission's work, give a very clear indication of the success of the controls put in place by both parties.</w:t>
      </w:r>
    </w:p>
    <w:p w:rsidR="008C2902" w:rsidRDefault="008C2902">
      <w:pPr>
        <w:spacing w:after="0" w:line="240" w:lineRule="auto"/>
        <w:jc w:val="both"/>
        <w:rPr>
          <w:rFonts w:ascii="Verdana" w:hAnsi="Verdana"/>
          <w:noProof/>
          <w:sz w:val="20"/>
          <w:szCs w:val="20"/>
        </w:rPr>
      </w:pPr>
    </w:p>
    <w:p w:rsidR="008C2902" w:rsidRDefault="00AD2EC1">
      <w:pPr>
        <w:spacing w:after="0" w:line="240" w:lineRule="auto"/>
        <w:rPr>
          <w:rFonts w:ascii="Verdana" w:hAnsi="Verdana"/>
          <w:b/>
          <w:i/>
          <w:noProof/>
          <w:sz w:val="20"/>
        </w:rPr>
      </w:pPr>
      <w:r>
        <w:rPr>
          <w:rFonts w:ascii="Verdana" w:hAnsi="Verdana"/>
          <w:b/>
          <w:i/>
          <w:noProof/>
          <w:sz w:val="20"/>
        </w:rPr>
        <w:br w:type="page"/>
      </w:r>
    </w:p>
    <w:p w:rsidR="008C2902" w:rsidRDefault="00AD2EC1">
      <w:pPr>
        <w:spacing w:after="0" w:line="240" w:lineRule="auto"/>
        <w:jc w:val="both"/>
        <w:rPr>
          <w:rFonts w:ascii="Verdana" w:hAnsi="Verdana"/>
          <w:b/>
          <w:i/>
          <w:noProof/>
          <w:sz w:val="20"/>
        </w:rPr>
      </w:pPr>
      <w:r>
        <w:rPr>
          <w:rFonts w:ascii="Verdana" w:hAnsi="Verdana"/>
          <w:b/>
          <w:i/>
          <w:noProof/>
          <w:sz w:val="20"/>
        </w:rPr>
        <w:lastRenderedPageBreak/>
        <w:t>Table 7.2: Cumulative corrections at end 2014 reported by Member States for Cohesion Policy period 2007-2013</w:t>
      </w:r>
    </w:p>
    <w:tbl>
      <w:tblPr>
        <w:tblW w:w="3082" w:type="pct"/>
        <w:tblInd w:w="1144" w:type="dxa"/>
        <w:tblLook w:val="04A0" w:firstRow="1" w:lastRow="0" w:firstColumn="1" w:lastColumn="0" w:noHBand="0" w:noVBand="1"/>
      </w:tblPr>
      <w:tblGrid>
        <w:gridCol w:w="2267"/>
        <w:gridCol w:w="1018"/>
        <w:gridCol w:w="684"/>
        <w:gridCol w:w="850"/>
        <w:gridCol w:w="994"/>
      </w:tblGrid>
      <w:tr w:rsidR="008C2902">
        <w:trPr>
          <w:trHeight w:val="270"/>
        </w:trPr>
        <w:tc>
          <w:tcPr>
            <w:tcW w:w="5000" w:type="pct"/>
            <w:gridSpan w:val="5"/>
            <w:tcBorders>
              <w:top w:val="nil"/>
              <w:left w:val="nil"/>
              <w:bottom w:val="single" w:sz="8" w:space="0" w:color="auto"/>
              <w:right w:val="nil"/>
            </w:tcBorders>
            <w:shd w:val="clear" w:color="auto" w:fill="auto"/>
            <w:vAlign w:val="center"/>
            <w:hideMark/>
          </w:tcPr>
          <w:p w:rsidR="008C2902" w:rsidRDefault="00AD2EC1">
            <w:pPr>
              <w:spacing w:after="0" w:line="240" w:lineRule="auto"/>
              <w:jc w:val="right"/>
              <w:rPr>
                <w:rFonts w:ascii="Verdana" w:eastAsia="Times New Roman" w:hAnsi="Verdana"/>
                <w:i/>
                <w:iCs/>
                <w:noProof/>
                <w:color w:val="000000"/>
                <w:sz w:val="16"/>
                <w:szCs w:val="16"/>
                <w:lang w:eastAsia="en-GB"/>
              </w:rPr>
            </w:pPr>
            <w:r>
              <w:rPr>
                <w:rFonts w:ascii="Verdana" w:eastAsia="Times New Roman" w:hAnsi="Verdana"/>
                <w:i/>
                <w:iCs/>
                <w:noProof/>
                <w:color w:val="000000"/>
                <w:sz w:val="16"/>
                <w:szCs w:val="16"/>
                <w:lang w:eastAsia="en-GB"/>
              </w:rPr>
              <w:t>EUR millions</w:t>
            </w:r>
          </w:p>
        </w:tc>
      </w:tr>
      <w:tr w:rsidR="008C2902">
        <w:trPr>
          <w:trHeight w:val="255"/>
        </w:trPr>
        <w:tc>
          <w:tcPr>
            <w:tcW w:w="1950"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Member State</w:t>
            </w:r>
          </w:p>
        </w:tc>
        <w:tc>
          <w:tcPr>
            <w:tcW w:w="876"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ERDF/CF</w:t>
            </w:r>
          </w:p>
        </w:tc>
        <w:tc>
          <w:tcPr>
            <w:tcW w:w="588"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ESF</w:t>
            </w:r>
          </w:p>
        </w:tc>
        <w:tc>
          <w:tcPr>
            <w:tcW w:w="731"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EFF</w:t>
            </w:r>
          </w:p>
        </w:tc>
        <w:tc>
          <w:tcPr>
            <w:tcW w:w="855" w:type="pct"/>
            <w:vMerge w:val="restart"/>
            <w:tcBorders>
              <w:top w:val="nil"/>
              <w:left w:val="single" w:sz="8" w:space="0" w:color="auto"/>
              <w:bottom w:val="single" w:sz="8" w:space="0" w:color="000000"/>
              <w:right w:val="single" w:sz="8" w:space="0" w:color="auto"/>
            </w:tcBorders>
            <w:shd w:val="clear" w:color="000000" w:fill="99CCFF"/>
            <w:vAlign w:val="center"/>
            <w:hideMark/>
          </w:tcPr>
          <w:p w:rsidR="008C2902" w:rsidRDefault="00AD2EC1">
            <w:pPr>
              <w:spacing w:after="0" w:line="240" w:lineRule="auto"/>
              <w:jc w:val="center"/>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w:t>
            </w:r>
          </w:p>
        </w:tc>
      </w:tr>
      <w:tr w:rsidR="008C2902">
        <w:trPr>
          <w:trHeight w:val="270"/>
        </w:trPr>
        <w:tc>
          <w:tcPr>
            <w:tcW w:w="1950"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876"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588"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731"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c>
          <w:tcPr>
            <w:tcW w:w="855" w:type="pct"/>
            <w:vMerge/>
            <w:tcBorders>
              <w:top w:val="nil"/>
              <w:left w:val="single" w:sz="8" w:space="0" w:color="auto"/>
              <w:bottom w:val="single" w:sz="8" w:space="0" w:color="000000"/>
              <w:right w:val="single" w:sz="8" w:space="0" w:color="auto"/>
            </w:tcBorders>
            <w:vAlign w:val="center"/>
            <w:hideMark/>
          </w:tcPr>
          <w:p w:rsidR="008C2902" w:rsidRDefault="008C2902">
            <w:pPr>
              <w:spacing w:after="0" w:line="240" w:lineRule="auto"/>
              <w:rPr>
                <w:rFonts w:ascii="Verdana" w:eastAsia="Times New Roman" w:hAnsi="Verdana"/>
                <w:b/>
                <w:bCs/>
                <w:noProof/>
                <w:color w:val="000000"/>
                <w:sz w:val="16"/>
                <w:szCs w:val="16"/>
                <w:lang w:eastAsia="en-GB"/>
              </w:rPr>
            </w:pP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Belgium</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20</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24</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Bulgaria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17</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Czech Republic</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364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9</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374</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Denmark</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Germany</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266</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78</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345</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Estonia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Ireland</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0</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18</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19</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Greece</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301</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25</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329</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Spain</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466</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221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38</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725</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France</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140</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212</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Croatia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0</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0</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Italy</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280</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46</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329</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Cyprus</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Latvia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46</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50</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Lithuania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18</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18</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Luxembourg</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0</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Hungary</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255</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255</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Malta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0</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Netherlands</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7</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3</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10</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Austria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2</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16</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Poland</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444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444</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Portugal</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169</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46</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2</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216</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Romania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136</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136</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Slovenia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45</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6</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51</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Slovakia</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34</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7</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41</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Finland</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2</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1</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Sweden</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8</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1</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0</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9</w:t>
            </w:r>
          </w:p>
        </w:tc>
      </w:tr>
      <w:tr w:rsidR="008C2902">
        <w:trPr>
          <w:trHeight w:val="244"/>
        </w:trPr>
        <w:tc>
          <w:tcPr>
            <w:tcW w:w="1950" w:type="pct"/>
            <w:tcBorders>
              <w:top w:val="nil"/>
              <w:left w:val="single" w:sz="8" w:space="0" w:color="auto"/>
              <w:bottom w:val="nil"/>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United Kingdom</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95</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8</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3</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105</w:t>
            </w:r>
          </w:p>
        </w:tc>
      </w:tr>
      <w:tr w:rsidR="008C2902">
        <w:trPr>
          <w:trHeight w:val="244"/>
        </w:trPr>
        <w:tc>
          <w:tcPr>
            <w:tcW w:w="1950" w:type="pct"/>
            <w:tcBorders>
              <w:top w:val="nil"/>
              <w:left w:val="single" w:sz="8" w:space="0" w:color="auto"/>
              <w:bottom w:val="single" w:sz="8" w:space="0" w:color="auto"/>
              <w:right w:val="single" w:sz="8" w:space="0" w:color="auto"/>
            </w:tcBorders>
            <w:shd w:val="clear" w:color="auto" w:fill="auto"/>
            <w:noWrap/>
            <w:vAlign w:val="center"/>
            <w:hideMark/>
          </w:tcPr>
          <w:p w:rsidR="008C2902" w:rsidRDefault="00AD2EC1">
            <w:pPr>
              <w:spacing w:after="0" w:line="240" w:lineRule="auto"/>
              <w:jc w:val="both"/>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Cross-border</w:t>
            </w:r>
          </w:p>
        </w:tc>
        <w:tc>
          <w:tcPr>
            <w:tcW w:w="876"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 xml:space="preserve"> 31</w:t>
            </w:r>
          </w:p>
        </w:tc>
        <w:tc>
          <w:tcPr>
            <w:tcW w:w="588" w:type="pct"/>
            <w:tcBorders>
              <w:top w:val="nil"/>
              <w:left w:val="nil"/>
              <w:bottom w:val="nil"/>
              <w:right w:val="single" w:sz="8" w:space="0" w:color="auto"/>
            </w:tcBorders>
            <w:shd w:val="clear" w:color="auto" w:fill="auto"/>
            <w:vAlign w:val="center"/>
          </w:tcPr>
          <w:p w:rsidR="008C2902" w:rsidRDefault="00AD2EC1">
            <w:pPr>
              <w:spacing w:after="0" w:line="240" w:lineRule="auto"/>
              <w:jc w:val="right"/>
              <w:rPr>
                <w:rFonts w:ascii="Verdana" w:eastAsia="Times New Roman" w:hAnsi="Verdana"/>
                <w:noProof/>
                <w:color w:val="000000"/>
                <w:sz w:val="16"/>
                <w:szCs w:val="16"/>
                <w:lang w:eastAsia="en-GB"/>
              </w:rPr>
            </w:pPr>
            <w:r>
              <w:rPr>
                <w:rFonts w:ascii="Verdana" w:eastAsia="Times New Roman" w:hAnsi="Verdana"/>
                <w:noProof/>
                <w:color w:val="000000"/>
                <w:sz w:val="16"/>
                <w:szCs w:val="16"/>
                <w:lang w:eastAsia="en-GB"/>
              </w:rPr>
              <w:t>-</w:t>
            </w:r>
          </w:p>
        </w:tc>
        <w:tc>
          <w:tcPr>
            <w:tcW w:w="731" w:type="pct"/>
            <w:tcBorders>
              <w:top w:val="nil"/>
              <w:left w:val="nil"/>
              <w:bottom w:val="nil"/>
              <w:right w:val="single" w:sz="8" w:space="0" w:color="auto"/>
            </w:tcBorders>
            <w:shd w:val="clear" w:color="auto" w:fill="auto"/>
            <w:vAlign w:val="center"/>
          </w:tcPr>
          <w:p w:rsidR="008C2902" w:rsidRDefault="00AD2EC1">
            <w:pPr>
              <w:spacing w:after="0"/>
              <w:jc w:val="right"/>
              <w:rPr>
                <w:rFonts w:ascii="Verdana" w:hAnsi="Verdana"/>
                <w:noProof/>
                <w:color w:val="000000"/>
                <w:sz w:val="16"/>
                <w:szCs w:val="16"/>
              </w:rPr>
            </w:pPr>
            <w:r>
              <w:rPr>
                <w:rFonts w:ascii="Verdana" w:hAnsi="Verdana"/>
                <w:noProof/>
                <w:color w:val="000000"/>
                <w:sz w:val="16"/>
                <w:szCs w:val="16"/>
              </w:rPr>
              <w:t>-</w:t>
            </w:r>
          </w:p>
        </w:tc>
        <w:tc>
          <w:tcPr>
            <w:tcW w:w="855" w:type="pct"/>
            <w:tcBorders>
              <w:top w:val="nil"/>
              <w:left w:val="nil"/>
              <w:bottom w:val="nil"/>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 xml:space="preserve"> 31</w:t>
            </w:r>
          </w:p>
        </w:tc>
      </w:tr>
      <w:tr w:rsidR="008C2902">
        <w:trPr>
          <w:trHeight w:val="300"/>
        </w:trPr>
        <w:tc>
          <w:tcPr>
            <w:tcW w:w="1950" w:type="pct"/>
            <w:tcBorders>
              <w:top w:val="nil"/>
              <w:left w:val="single" w:sz="8" w:space="0" w:color="auto"/>
              <w:bottom w:val="single" w:sz="8" w:space="0" w:color="auto"/>
              <w:right w:val="nil"/>
            </w:tcBorders>
            <w:shd w:val="clear" w:color="auto" w:fill="auto"/>
            <w:noWrap/>
            <w:vAlign w:val="center"/>
            <w:hideMark/>
          </w:tcPr>
          <w:p w:rsidR="008C2902" w:rsidRDefault="00AD2EC1">
            <w:pPr>
              <w:spacing w:after="0" w:line="240" w:lineRule="auto"/>
              <w:jc w:val="both"/>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TOTAL IMPLEMENTED</w:t>
            </w:r>
          </w:p>
        </w:tc>
        <w:tc>
          <w:tcPr>
            <w:tcW w:w="8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3 142</w:t>
            </w:r>
          </w:p>
        </w:tc>
        <w:tc>
          <w:tcPr>
            <w:tcW w:w="588" w:type="pct"/>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eastAsia="Times New Roman" w:hAnsi="Verdana"/>
                <w:b/>
                <w:bCs/>
                <w:noProof/>
                <w:color w:val="000000"/>
                <w:sz w:val="16"/>
                <w:szCs w:val="16"/>
                <w:lang w:eastAsia="en-GB"/>
              </w:rPr>
            </w:pPr>
            <w:r>
              <w:rPr>
                <w:rFonts w:ascii="Verdana" w:eastAsia="Times New Roman" w:hAnsi="Verdana"/>
                <w:b/>
                <w:bCs/>
                <w:noProof/>
                <w:color w:val="000000"/>
                <w:sz w:val="16"/>
                <w:szCs w:val="16"/>
                <w:lang w:eastAsia="en-GB"/>
              </w:rPr>
              <w:t>570</w:t>
            </w:r>
          </w:p>
        </w:tc>
        <w:tc>
          <w:tcPr>
            <w:tcW w:w="731" w:type="pct"/>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56</w:t>
            </w:r>
          </w:p>
        </w:tc>
        <w:tc>
          <w:tcPr>
            <w:tcW w:w="855" w:type="pct"/>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jc w:val="right"/>
              <w:rPr>
                <w:rFonts w:ascii="Verdana" w:hAnsi="Verdana"/>
                <w:b/>
                <w:bCs/>
                <w:noProof/>
                <w:color w:val="000000"/>
                <w:sz w:val="16"/>
                <w:szCs w:val="16"/>
              </w:rPr>
            </w:pPr>
            <w:r>
              <w:rPr>
                <w:rFonts w:ascii="Verdana" w:hAnsi="Verdana"/>
                <w:b/>
                <w:bCs/>
                <w:noProof/>
                <w:color w:val="000000"/>
                <w:sz w:val="16"/>
                <w:szCs w:val="16"/>
              </w:rPr>
              <w:t>3 769</w:t>
            </w:r>
          </w:p>
        </w:tc>
      </w:tr>
    </w:tbl>
    <w:p w:rsidR="008C2902" w:rsidRDefault="008C2902">
      <w:pPr>
        <w:spacing w:before="240" w:after="0" w:line="240" w:lineRule="auto"/>
        <w:jc w:val="both"/>
        <w:rPr>
          <w:rFonts w:ascii="Verdana" w:hAnsi="Verdana"/>
          <w:noProof/>
          <w:sz w:val="20"/>
        </w:rPr>
      </w:pPr>
    </w:p>
    <w:p w:rsidR="008C2902" w:rsidRDefault="00AD2EC1">
      <w:pPr>
        <w:pStyle w:val="ManualHeading1"/>
        <w:rPr>
          <w:caps/>
          <w:noProof/>
        </w:rPr>
      </w:pPr>
      <w:r>
        <w:rPr>
          <w:noProof/>
          <w:sz w:val="20"/>
        </w:rPr>
        <w:br w:type="page"/>
      </w:r>
      <w:bookmarkStart w:id="162" w:name="_Toc431383878"/>
      <w:bookmarkStart w:id="163" w:name="_Toc432061796"/>
      <w:r>
        <w:lastRenderedPageBreak/>
        <w:t>8.</w:t>
      </w:r>
      <w:r>
        <w:tab/>
      </w:r>
      <w:r>
        <w:rPr>
          <w:noProof/>
        </w:rPr>
        <w:t>RECOVERY OF PRE-FINANCING AMOUNTS</w:t>
      </w:r>
      <w:bookmarkEnd w:id="162"/>
      <w:bookmarkEnd w:id="163"/>
    </w:p>
    <w:p w:rsidR="008C2902" w:rsidRDefault="00AD2EC1">
      <w:pPr>
        <w:spacing w:line="240" w:lineRule="auto"/>
        <w:jc w:val="both"/>
        <w:rPr>
          <w:rFonts w:ascii="Verdana" w:hAnsi="Verdana"/>
          <w:noProof/>
          <w:sz w:val="20"/>
        </w:rPr>
      </w:pPr>
      <w:r>
        <w:rPr>
          <w:rFonts w:ascii="Verdana" w:hAnsi="Verdana"/>
          <w:noProof/>
          <w:sz w:val="20"/>
        </w:rPr>
        <w:t xml:space="preserve">So as to provide a complete picture of all the tools used by the Commission to protect the EU budget, it is also necessary to consider the recoveries made in the areas of pre-financing, that being the recovery of unused (i.e. unspent) pre-financing amounts. </w:t>
      </w:r>
    </w:p>
    <w:p w:rsidR="008C2902" w:rsidRDefault="00AD2EC1">
      <w:pPr>
        <w:spacing w:line="240" w:lineRule="auto"/>
        <w:jc w:val="both"/>
        <w:rPr>
          <w:noProof/>
        </w:rPr>
      </w:pPr>
      <w:r>
        <w:rPr>
          <w:rFonts w:ascii="Verdana" w:hAnsi="Verdana"/>
          <w:noProof/>
          <w:sz w:val="20"/>
        </w:rPr>
        <w:t>When a beneficiary has not used (spent) the advances received from the EU on eligible expenditure, the Commission issues a recovery order to return the monies to the EU budget. This procedure represents an important step in the control system of the EU to ensure that no excess money is kept by the beneficiary without proper expense justification, thus contributing to the protection of the EU budget. The amounts are the result of the issuance of a recovery order by the Commission, and are recorded in the accounting system as such. The below recovery of unused pre-financing amounts should not be confused with irregular expenditure recovered. Where Commission services identify and recover such expenditure in relation to pre-financing amounts paid out, these are included in the normal financial correction or recovery processes described above.</w:t>
      </w:r>
    </w:p>
    <w:tbl>
      <w:tblPr>
        <w:tblW w:w="5990" w:type="dxa"/>
        <w:tblInd w:w="1156" w:type="dxa"/>
        <w:tblLook w:val="04A0" w:firstRow="1" w:lastRow="0" w:firstColumn="1" w:lastColumn="0" w:noHBand="0" w:noVBand="1"/>
      </w:tblPr>
      <w:tblGrid>
        <w:gridCol w:w="4339"/>
        <w:gridCol w:w="283"/>
        <w:gridCol w:w="343"/>
        <w:gridCol w:w="1025"/>
      </w:tblGrid>
      <w:tr w:rsidR="008C2902">
        <w:trPr>
          <w:trHeight w:val="270"/>
        </w:trPr>
        <w:tc>
          <w:tcPr>
            <w:tcW w:w="5990" w:type="dxa"/>
            <w:gridSpan w:val="4"/>
            <w:tcBorders>
              <w:top w:val="nil"/>
              <w:left w:val="nil"/>
              <w:bottom w:val="nil"/>
              <w:right w:val="nil"/>
            </w:tcBorders>
            <w:shd w:val="clear" w:color="auto" w:fill="auto"/>
            <w:noWrap/>
            <w:vAlign w:val="center"/>
          </w:tcPr>
          <w:p w:rsidR="008C2902" w:rsidRDefault="00AD2EC1">
            <w:pPr>
              <w:spacing w:after="0"/>
              <w:jc w:val="both"/>
              <w:rPr>
                <w:rFonts w:ascii="Verdana" w:hAnsi="Verdana" w:cs="Arial"/>
                <w:b/>
                <w:i/>
                <w:iCs/>
                <w:noProof/>
                <w:sz w:val="18"/>
                <w:szCs w:val="18"/>
                <w:lang w:eastAsia="en-GB"/>
              </w:rPr>
            </w:pPr>
            <w:r>
              <w:rPr>
                <w:rFonts w:ascii="Verdana" w:hAnsi="Verdana" w:cs="Arial"/>
                <w:b/>
                <w:i/>
                <w:iCs/>
                <w:noProof/>
                <w:sz w:val="18"/>
                <w:szCs w:val="18"/>
                <w:lang w:eastAsia="en-GB"/>
              </w:rPr>
              <w:t>Table 8: Recovery of pre-financing amounts</w:t>
            </w:r>
          </w:p>
        </w:tc>
      </w:tr>
      <w:tr w:rsidR="008C2902">
        <w:trPr>
          <w:trHeight w:val="100"/>
        </w:trPr>
        <w:tc>
          <w:tcPr>
            <w:tcW w:w="5990" w:type="dxa"/>
            <w:gridSpan w:val="4"/>
            <w:tcBorders>
              <w:top w:val="nil"/>
              <w:left w:val="nil"/>
              <w:bottom w:val="nil"/>
              <w:right w:val="nil"/>
            </w:tcBorders>
            <w:shd w:val="clear" w:color="auto" w:fill="auto"/>
            <w:noWrap/>
            <w:vAlign w:val="center"/>
            <w:hideMark/>
          </w:tcPr>
          <w:p w:rsidR="008C2902" w:rsidRDefault="00AD2EC1">
            <w:pPr>
              <w:spacing w:after="0"/>
              <w:jc w:val="right"/>
              <w:rPr>
                <w:rFonts w:ascii="Verdana" w:hAnsi="Verdana" w:cs="Arial"/>
                <w:i/>
                <w:iCs/>
                <w:noProof/>
                <w:sz w:val="16"/>
                <w:szCs w:val="16"/>
                <w:lang w:eastAsia="en-GB"/>
              </w:rPr>
            </w:pPr>
            <w:r>
              <w:rPr>
                <w:rFonts w:ascii="Verdana" w:hAnsi="Verdana" w:cs="Arial"/>
                <w:i/>
                <w:iCs/>
                <w:noProof/>
                <w:sz w:val="16"/>
                <w:szCs w:val="16"/>
                <w:lang w:eastAsia="en-GB"/>
              </w:rPr>
              <w:t>EUR millions</w:t>
            </w:r>
          </w:p>
        </w:tc>
      </w:tr>
      <w:tr w:rsidR="008C2902">
        <w:trPr>
          <w:trHeight w:val="270"/>
        </w:trPr>
        <w:tc>
          <w:tcPr>
            <w:tcW w:w="4339" w:type="dxa"/>
            <w:tcBorders>
              <w:top w:val="single" w:sz="8" w:space="0" w:color="auto"/>
              <w:left w:val="single" w:sz="8" w:space="0" w:color="auto"/>
              <w:bottom w:val="single" w:sz="8" w:space="0" w:color="auto"/>
              <w:right w:val="nil"/>
            </w:tcBorders>
            <w:shd w:val="clear" w:color="000000" w:fill="99CCFF"/>
            <w:noWrap/>
            <w:vAlign w:val="center"/>
            <w:hideMark/>
          </w:tcPr>
          <w:p w:rsidR="008C2902" w:rsidRDefault="008C2902">
            <w:pPr>
              <w:spacing w:after="0" w:line="240" w:lineRule="auto"/>
              <w:jc w:val="both"/>
              <w:rPr>
                <w:rFonts w:ascii="Verdana" w:hAnsi="Verdana" w:cs="Arial"/>
                <w:b/>
                <w:bCs/>
                <w:noProof/>
                <w:sz w:val="16"/>
                <w:szCs w:val="16"/>
                <w:lang w:eastAsia="en-GB"/>
              </w:rPr>
            </w:pPr>
          </w:p>
        </w:tc>
        <w:tc>
          <w:tcPr>
            <w:tcW w:w="283" w:type="dxa"/>
            <w:tcBorders>
              <w:top w:val="single" w:sz="8" w:space="0" w:color="auto"/>
              <w:left w:val="nil"/>
              <w:bottom w:val="single" w:sz="8" w:space="0" w:color="auto"/>
            </w:tcBorders>
            <w:shd w:val="clear" w:color="000000" w:fill="99CCFF"/>
            <w:noWrap/>
            <w:vAlign w:val="center"/>
            <w:hideMark/>
          </w:tcPr>
          <w:p w:rsidR="008C2902" w:rsidRDefault="00AD2EC1">
            <w:pPr>
              <w:spacing w:after="0" w:line="240" w:lineRule="auto"/>
              <w:jc w:val="both"/>
              <w:rPr>
                <w:rFonts w:ascii="Verdana" w:hAnsi="Verdana" w:cs="Arial"/>
                <w:b/>
                <w:bCs/>
                <w:noProof/>
                <w:sz w:val="16"/>
                <w:szCs w:val="16"/>
                <w:lang w:eastAsia="en-GB"/>
              </w:rPr>
            </w:pPr>
            <w:r>
              <w:rPr>
                <w:rFonts w:ascii="Verdana" w:hAnsi="Verdana" w:cs="Arial"/>
                <w:b/>
                <w:bCs/>
                <w:noProof/>
                <w:sz w:val="16"/>
                <w:szCs w:val="16"/>
                <w:lang w:eastAsia="en-GB"/>
              </w:rPr>
              <w:t> </w:t>
            </w:r>
          </w:p>
        </w:tc>
        <w:tc>
          <w:tcPr>
            <w:tcW w:w="343" w:type="dxa"/>
            <w:tcBorders>
              <w:top w:val="single" w:sz="8" w:space="0" w:color="auto"/>
              <w:bottom w:val="single" w:sz="8" w:space="0" w:color="auto"/>
              <w:right w:val="single" w:sz="8" w:space="0" w:color="auto"/>
            </w:tcBorders>
            <w:shd w:val="clear" w:color="000000" w:fill="99CCFF"/>
            <w:noWrap/>
            <w:vAlign w:val="center"/>
          </w:tcPr>
          <w:p w:rsidR="008C2902" w:rsidRDefault="008C2902">
            <w:pPr>
              <w:spacing w:after="0" w:line="240" w:lineRule="auto"/>
              <w:jc w:val="both"/>
              <w:rPr>
                <w:rFonts w:ascii="Verdana" w:hAnsi="Verdana" w:cs="Arial"/>
                <w:b/>
                <w:bCs/>
                <w:noProof/>
                <w:sz w:val="16"/>
                <w:szCs w:val="16"/>
                <w:lang w:eastAsia="en-GB"/>
              </w:rPr>
            </w:pPr>
          </w:p>
        </w:tc>
        <w:tc>
          <w:tcPr>
            <w:tcW w:w="1025" w:type="dxa"/>
            <w:tcBorders>
              <w:top w:val="single" w:sz="8" w:space="0" w:color="auto"/>
              <w:left w:val="nil"/>
              <w:bottom w:val="single" w:sz="8" w:space="0" w:color="auto"/>
              <w:right w:val="single" w:sz="8" w:space="0" w:color="auto"/>
            </w:tcBorders>
            <w:shd w:val="clear" w:color="000000" w:fill="99CCFF"/>
            <w:noWrap/>
            <w:vAlign w:val="center"/>
            <w:hideMark/>
          </w:tcPr>
          <w:p w:rsidR="008C2902" w:rsidRDefault="00AD2EC1">
            <w:pPr>
              <w:spacing w:after="0" w:line="240" w:lineRule="auto"/>
              <w:jc w:val="center"/>
              <w:rPr>
                <w:rFonts w:ascii="Verdana" w:hAnsi="Verdana" w:cs="Arial"/>
                <w:b/>
                <w:bCs/>
                <w:noProof/>
                <w:sz w:val="16"/>
                <w:szCs w:val="16"/>
                <w:lang w:eastAsia="en-GB"/>
              </w:rPr>
            </w:pPr>
            <w:r>
              <w:rPr>
                <w:rFonts w:ascii="Verdana" w:hAnsi="Verdana" w:cs="Arial"/>
                <w:b/>
                <w:bCs/>
                <w:noProof/>
                <w:sz w:val="16"/>
                <w:szCs w:val="16"/>
                <w:lang w:eastAsia="en-GB"/>
              </w:rPr>
              <w:t>2014</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jc w:val="both"/>
              <w:rPr>
                <w:rFonts w:ascii="Verdana" w:hAnsi="Verdana" w:cs="Arial"/>
                <w:noProof/>
                <w:sz w:val="16"/>
                <w:szCs w:val="16"/>
                <w:lang w:eastAsia="en-GB"/>
              </w:rPr>
            </w:pPr>
            <w:r>
              <w:rPr>
                <w:rFonts w:ascii="Verdana" w:hAnsi="Verdana" w:cs="Arial"/>
                <w:noProof/>
                <w:sz w:val="16"/>
                <w:szCs w:val="16"/>
                <w:lang w:eastAsia="en-GB"/>
              </w:rPr>
              <w:t>Cohesion Policy:</w:t>
            </w:r>
          </w:p>
        </w:tc>
        <w:tc>
          <w:tcPr>
            <w:tcW w:w="283" w:type="dxa"/>
            <w:tcBorders>
              <w:top w:val="nil"/>
              <w:left w:val="nil"/>
              <w:bottom w:val="nil"/>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8C2902">
            <w:pPr>
              <w:spacing w:after="0" w:line="240" w:lineRule="auto"/>
              <w:jc w:val="right"/>
              <w:rPr>
                <w:rFonts w:ascii="Verdana" w:hAnsi="Verdana"/>
                <w:i/>
                <w:iCs/>
                <w:noProof/>
                <w:color w:val="000000"/>
                <w:sz w:val="18"/>
                <w:szCs w:val="18"/>
              </w:rPr>
            </w:pP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ind w:firstLineChars="100" w:firstLine="160"/>
              <w:jc w:val="both"/>
              <w:rPr>
                <w:rFonts w:ascii="Verdana" w:hAnsi="Verdana" w:cs="Arial"/>
                <w:i/>
                <w:iCs/>
                <w:noProof/>
                <w:sz w:val="16"/>
                <w:szCs w:val="16"/>
                <w:lang w:eastAsia="en-GB"/>
              </w:rPr>
            </w:pPr>
            <w:r>
              <w:rPr>
                <w:rFonts w:ascii="Verdana" w:hAnsi="Verdana" w:cs="Arial"/>
                <w:i/>
                <w:iCs/>
                <w:noProof/>
                <w:sz w:val="16"/>
                <w:szCs w:val="16"/>
                <w:lang w:eastAsia="en-GB"/>
              </w:rPr>
              <w:t>ESF</w:t>
            </w:r>
          </w:p>
        </w:tc>
        <w:tc>
          <w:tcPr>
            <w:tcW w:w="283" w:type="dxa"/>
            <w:tcBorders>
              <w:top w:val="nil"/>
              <w:left w:val="nil"/>
              <w:bottom w:val="nil"/>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9</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ind w:firstLineChars="100" w:firstLine="160"/>
              <w:jc w:val="both"/>
              <w:rPr>
                <w:rFonts w:ascii="Verdana" w:hAnsi="Verdana" w:cs="Arial"/>
                <w:i/>
                <w:iCs/>
                <w:noProof/>
                <w:sz w:val="16"/>
                <w:szCs w:val="16"/>
                <w:lang w:eastAsia="en-GB"/>
              </w:rPr>
            </w:pPr>
            <w:r>
              <w:rPr>
                <w:rFonts w:ascii="Verdana" w:hAnsi="Verdana" w:cs="Arial"/>
                <w:i/>
                <w:iCs/>
                <w:noProof/>
                <w:sz w:val="16"/>
                <w:szCs w:val="16"/>
                <w:lang w:eastAsia="en-GB"/>
              </w:rPr>
              <w:t>FIFG/EFF</w:t>
            </w:r>
          </w:p>
        </w:tc>
        <w:tc>
          <w:tcPr>
            <w:tcW w:w="283" w:type="dxa"/>
            <w:tcBorders>
              <w:top w:val="nil"/>
              <w:left w:val="nil"/>
              <w:bottom w:val="nil"/>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10</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ind w:firstLineChars="100" w:firstLine="160"/>
              <w:jc w:val="both"/>
              <w:rPr>
                <w:rFonts w:ascii="Verdana" w:hAnsi="Verdana" w:cs="Arial"/>
                <w:i/>
                <w:iCs/>
                <w:noProof/>
                <w:sz w:val="16"/>
                <w:szCs w:val="16"/>
                <w:lang w:eastAsia="en-GB"/>
              </w:rPr>
            </w:pPr>
            <w:r>
              <w:rPr>
                <w:rFonts w:ascii="Verdana" w:hAnsi="Verdana" w:cs="Arial"/>
                <w:i/>
                <w:iCs/>
                <w:noProof/>
                <w:sz w:val="16"/>
                <w:szCs w:val="16"/>
                <w:lang w:eastAsia="en-GB"/>
              </w:rPr>
              <w:t>EAGGF Guidance</w:t>
            </w:r>
          </w:p>
        </w:tc>
        <w:tc>
          <w:tcPr>
            <w:tcW w:w="283" w:type="dxa"/>
            <w:tcBorders>
              <w:top w:val="nil"/>
              <w:left w:val="nil"/>
              <w:bottom w:val="nil"/>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6</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jc w:val="both"/>
              <w:rPr>
                <w:rFonts w:ascii="Verdana" w:hAnsi="Verdana" w:cs="Arial"/>
                <w:noProof/>
                <w:sz w:val="16"/>
                <w:szCs w:val="16"/>
                <w:lang w:eastAsia="en-GB"/>
              </w:rPr>
            </w:pPr>
            <w:r>
              <w:rPr>
                <w:rFonts w:ascii="Verdana" w:hAnsi="Verdana" w:cs="Arial"/>
                <w:noProof/>
                <w:sz w:val="16"/>
                <w:szCs w:val="16"/>
                <w:lang w:eastAsia="en-GB"/>
              </w:rPr>
              <w:t>Internal policy areas</w:t>
            </w:r>
          </w:p>
        </w:tc>
        <w:tc>
          <w:tcPr>
            <w:tcW w:w="283" w:type="dxa"/>
            <w:tcBorders>
              <w:top w:val="nil"/>
              <w:left w:val="nil"/>
              <w:bottom w:val="nil"/>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278</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jc w:val="both"/>
              <w:rPr>
                <w:rFonts w:ascii="Verdana" w:hAnsi="Verdana" w:cs="Arial"/>
                <w:noProof/>
                <w:sz w:val="16"/>
                <w:szCs w:val="16"/>
                <w:lang w:eastAsia="en-GB"/>
              </w:rPr>
            </w:pPr>
            <w:r>
              <w:rPr>
                <w:rFonts w:ascii="Verdana" w:hAnsi="Verdana" w:cs="Arial"/>
                <w:noProof/>
                <w:sz w:val="16"/>
                <w:szCs w:val="16"/>
                <w:lang w:eastAsia="en-GB"/>
              </w:rPr>
              <w:t>External policy areas</w:t>
            </w:r>
          </w:p>
        </w:tc>
        <w:tc>
          <w:tcPr>
            <w:tcW w:w="283" w:type="dxa"/>
            <w:vMerge w:val="restart"/>
            <w:tcBorders>
              <w:top w:val="nil"/>
              <w:left w:val="nil"/>
              <w:bottom w:val="single" w:sz="8" w:space="0" w:color="000000"/>
            </w:tcBorders>
            <w:shd w:val="clear" w:color="auto" w:fill="auto"/>
            <w:noWrap/>
            <w:vAlign w:val="center"/>
            <w:hideMark/>
          </w:tcPr>
          <w:p w:rsidR="008C2902" w:rsidRDefault="00AD2EC1">
            <w:pPr>
              <w:spacing w:after="0" w:line="240" w:lineRule="auto"/>
              <w:jc w:val="both"/>
              <w:rPr>
                <w:rFonts w:ascii="Verdana" w:hAnsi="Verdana" w:cs="Arial"/>
                <w:i/>
                <w:iCs/>
                <w:noProof/>
                <w:color w:val="000080"/>
                <w:sz w:val="16"/>
                <w:szCs w:val="16"/>
                <w:lang w:eastAsia="en-GB"/>
              </w:rPr>
            </w:pPr>
            <w:r>
              <w:rPr>
                <w:rFonts w:ascii="Verdana" w:hAnsi="Verdana" w:cs="Arial"/>
                <w:i/>
                <w:iCs/>
                <w:noProof/>
                <w:color w:val="000080"/>
                <w:sz w:val="16"/>
                <w:szCs w:val="16"/>
                <w:lang w:eastAsia="en-GB"/>
              </w:rPr>
              <w:t> </w:t>
            </w: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95</w:t>
            </w:r>
          </w:p>
        </w:tc>
      </w:tr>
      <w:tr w:rsidR="008C2902">
        <w:trPr>
          <w:trHeight w:val="227"/>
        </w:trPr>
        <w:tc>
          <w:tcPr>
            <w:tcW w:w="4339" w:type="dxa"/>
            <w:tcBorders>
              <w:top w:val="nil"/>
              <w:left w:val="single" w:sz="8" w:space="0" w:color="auto"/>
              <w:bottom w:val="nil"/>
              <w:right w:val="nil"/>
            </w:tcBorders>
            <w:shd w:val="clear" w:color="auto" w:fill="auto"/>
            <w:noWrap/>
            <w:vAlign w:val="center"/>
            <w:hideMark/>
          </w:tcPr>
          <w:p w:rsidR="008C2902" w:rsidRDefault="00AD2EC1">
            <w:pPr>
              <w:spacing w:after="0" w:line="240" w:lineRule="auto"/>
              <w:jc w:val="both"/>
              <w:rPr>
                <w:rFonts w:ascii="Verdana" w:hAnsi="Verdana" w:cs="Arial"/>
                <w:noProof/>
                <w:sz w:val="16"/>
                <w:szCs w:val="16"/>
                <w:lang w:eastAsia="en-GB"/>
              </w:rPr>
            </w:pPr>
            <w:r>
              <w:rPr>
                <w:rFonts w:ascii="Verdana" w:hAnsi="Verdana" w:cs="Arial"/>
                <w:noProof/>
                <w:sz w:val="16"/>
                <w:szCs w:val="16"/>
                <w:lang w:eastAsia="en-GB"/>
              </w:rPr>
              <w:t>Administration</w:t>
            </w:r>
          </w:p>
        </w:tc>
        <w:tc>
          <w:tcPr>
            <w:tcW w:w="283" w:type="dxa"/>
            <w:vMerge/>
            <w:tcBorders>
              <w:top w:val="nil"/>
              <w:left w:val="nil"/>
              <w:bottom w:val="single" w:sz="8" w:space="0" w:color="000000"/>
            </w:tcBorders>
            <w:vAlign w:val="center"/>
            <w:hideMark/>
          </w:tcPr>
          <w:p w:rsidR="008C2902" w:rsidRDefault="008C2902">
            <w:pPr>
              <w:spacing w:after="0" w:line="240" w:lineRule="auto"/>
              <w:jc w:val="both"/>
              <w:rPr>
                <w:rFonts w:ascii="Verdana" w:hAnsi="Verdana" w:cs="Arial"/>
                <w:i/>
                <w:iCs/>
                <w:noProof/>
                <w:color w:val="000080"/>
                <w:sz w:val="16"/>
                <w:szCs w:val="16"/>
                <w:lang w:eastAsia="en-GB"/>
              </w:rPr>
            </w:pPr>
          </w:p>
        </w:tc>
        <w:tc>
          <w:tcPr>
            <w:tcW w:w="343" w:type="dxa"/>
            <w:tcBorders>
              <w:top w:val="nil"/>
              <w:bottom w:val="nil"/>
              <w:right w:val="single" w:sz="8" w:space="0" w:color="auto"/>
            </w:tcBorders>
            <w:shd w:val="clear" w:color="auto" w:fill="auto"/>
            <w:noWrap/>
            <w:vAlign w:val="center"/>
          </w:tcPr>
          <w:p w:rsidR="008C2902" w:rsidRDefault="008C2902">
            <w:pPr>
              <w:spacing w:after="0" w:line="240" w:lineRule="auto"/>
              <w:jc w:val="both"/>
              <w:rPr>
                <w:rFonts w:ascii="Verdana" w:hAnsi="Verdana" w:cs="Arial"/>
                <w:noProof/>
                <w:sz w:val="16"/>
                <w:szCs w:val="16"/>
                <w:lang w:eastAsia="en-GB"/>
              </w:rPr>
            </w:pPr>
          </w:p>
        </w:tc>
        <w:tc>
          <w:tcPr>
            <w:tcW w:w="1025" w:type="dxa"/>
            <w:tcBorders>
              <w:top w:val="nil"/>
              <w:left w:val="nil"/>
              <w:bottom w:val="nil"/>
              <w:right w:val="single" w:sz="8" w:space="0" w:color="auto"/>
            </w:tcBorders>
            <w:shd w:val="clear" w:color="auto" w:fill="auto"/>
            <w:noWrap/>
            <w:vAlign w:val="center"/>
          </w:tcPr>
          <w:p w:rsidR="008C2902" w:rsidRDefault="00AD2EC1">
            <w:pPr>
              <w:spacing w:after="0" w:line="240" w:lineRule="auto"/>
              <w:jc w:val="right"/>
              <w:rPr>
                <w:rFonts w:ascii="Verdana" w:hAnsi="Verdana"/>
                <w:i/>
                <w:iCs/>
                <w:noProof/>
                <w:color w:val="000000"/>
                <w:sz w:val="18"/>
                <w:szCs w:val="18"/>
              </w:rPr>
            </w:pPr>
            <w:r>
              <w:rPr>
                <w:rFonts w:ascii="Verdana" w:hAnsi="Verdana"/>
                <w:i/>
                <w:iCs/>
                <w:noProof/>
                <w:color w:val="000000"/>
                <w:sz w:val="18"/>
                <w:szCs w:val="18"/>
              </w:rPr>
              <w:t>2</w:t>
            </w:r>
          </w:p>
        </w:tc>
      </w:tr>
      <w:tr w:rsidR="008C2902">
        <w:trPr>
          <w:trHeight w:val="270"/>
        </w:trPr>
        <w:tc>
          <w:tcPr>
            <w:tcW w:w="4339" w:type="dxa"/>
            <w:tcBorders>
              <w:top w:val="single" w:sz="8" w:space="0" w:color="auto"/>
              <w:left w:val="single" w:sz="8" w:space="0" w:color="auto"/>
              <w:bottom w:val="single" w:sz="8" w:space="0" w:color="auto"/>
              <w:right w:val="nil"/>
            </w:tcBorders>
            <w:shd w:val="clear" w:color="auto" w:fill="auto"/>
            <w:noWrap/>
            <w:vAlign w:val="center"/>
            <w:hideMark/>
          </w:tcPr>
          <w:p w:rsidR="008C2902" w:rsidRDefault="00AD2EC1">
            <w:pPr>
              <w:spacing w:after="0" w:line="240" w:lineRule="auto"/>
              <w:jc w:val="both"/>
              <w:rPr>
                <w:rFonts w:ascii="Verdana" w:hAnsi="Verdana" w:cs="Arial"/>
                <w:b/>
                <w:bCs/>
                <w:noProof/>
                <w:sz w:val="16"/>
                <w:szCs w:val="16"/>
                <w:lang w:eastAsia="en-GB"/>
              </w:rPr>
            </w:pPr>
            <w:r>
              <w:rPr>
                <w:rFonts w:ascii="Verdana" w:hAnsi="Verdana" w:cs="Arial"/>
                <w:b/>
                <w:bCs/>
                <w:noProof/>
                <w:sz w:val="16"/>
                <w:szCs w:val="16"/>
                <w:lang w:eastAsia="en-GB"/>
              </w:rPr>
              <w:t>Total recovered pre-Financing</w:t>
            </w:r>
          </w:p>
        </w:tc>
        <w:tc>
          <w:tcPr>
            <w:tcW w:w="283" w:type="dxa"/>
            <w:tcBorders>
              <w:top w:val="nil"/>
              <w:left w:val="nil"/>
              <w:bottom w:val="single" w:sz="8" w:space="0" w:color="auto"/>
            </w:tcBorders>
            <w:shd w:val="clear" w:color="auto" w:fill="auto"/>
            <w:noWrap/>
            <w:vAlign w:val="center"/>
            <w:hideMark/>
          </w:tcPr>
          <w:p w:rsidR="008C2902" w:rsidRDefault="00AD2EC1">
            <w:pPr>
              <w:spacing w:after="0" w:line="240" w:lineRule="auto"/>
              <w:jc w:val="both"/>
              <w:rPr>
                <w:rFonts w:ascii="Verdana" w:hAnsi="Verdana" w:cs="Arial"/>
                <w:b/>
                <w:bCs/>
                <w:noProof/>
                <w:sz w:val="16"/>
                <w:szCs w:val="16"/>
                <w:lang w:eastAsia="en-GB"/>
              </w:rPr>
            </w:pPr>
            <w:r>
              <w:rPr>
                <w:rFonts w:ascii="Verdana" w:hAnsi="Verdana" w:cs="Arial"/>
                <w:b/>
                <w:bCs/>
                <w:noProof/>
                <w:sz w:val="16"/>
                <w:szCs w:val="16"/>
                <w:lang w:eastAsia="en-GB"/>
              </w:rPr>
              <w:t> </w:t>
            </w:r>
          </w:p>
        </w:tc>
        <w:tc>
          <w:tcPr>
            <w:tcW w:w="343" w:type="dxa"/>
            <w:tcBorders>
              <w:top w:val="single" w:sz="8" w:space="0" w:color="auto"/>
              <w:bottom w:val="single" w:sz="8" w:space="0" w:color="auto"/>
              <w:right w:val="single" w:sz="8" w:space="0" w:color="auto"/>
            </w:tcBorders>
            <w:shd w:val="clear" w:color="auto" w:fill="auto"/>
            <w:noWrap/>
            <w:vAlign w:val="center"/>
          </w:tcPr>
          <w:p w:rsidR="008C2902" w:rsidRDefault="008C2902">
            <w:pPr>
              <w:spacing w:after="0" w:line="240" w:lineRule="auto"/>
              <w:jc w:val="both"/>
              <w:rPr>
                <w:rFonts w:ascii="Verdana" w:hAnsi="Verdana" w:cs="Arial"/>
                <w:b/>
                <w:bCs/>
                <w:noProof/>
                <w:sz w:val="16"/>
                <w:szCs w:val="16"/>
                <w:lang w:eastAsia="en-GB"/>
              </w:rPr>
            </w:pPr>
          </w:p>
        </w:tc>
        <w:tc>
          <w:tcPr>
            <w:tcW w:w="1025" w:type="dxa"/>
            <w:tcBorders>
              <w:top w:val="single" w:sz="8" w:space="0" w:color="auto"/>
              <w:left w:val="nil"/>
              <w:bottom w:val="single" w:sz="8" w:space="0" w:color="auto"/>
              <w:right w:val="single" w:sz="8" w:space="0" w:color="auto"/>
            </w:tcBorders>
            <w:shd w:val="clear" w:color="auto" w:fill="auto"/>
            <w:noWrap/>
            <w:vAlign w:val="center"/>
          </w:tcPr>
          <w:p w:rsidR="008C2902" w:rsidRDefault="00AD2EC1">
            <w:pPr>
              <w:spacing w:after="0" w:line="240" w:lineRule="auto"/>
              <w:jc w:val="right"/>
              <w:rPr>
                <w:rFonts w:ascii="Verdana" w:hAnsi="Verdana"/>
                <w:b/>
                <w:bCs/>
                <w:noProof/>
                <w:color w:val="000000"/>
                <w:sz w:val="18"/>
                <w:szCs w:val="18"/>
              </w:rPr>
            </w:pPr>
            <w:r>
              <w:rPr>
                <w:rFonts w:ascii="Verdana" w:hAnsi="Verdana"/>
                <w:b/>
                <w:bCs/>
                <w:noProof/>
                <w:color w:val="000000"/>
                <w:sz w:val="18"/>
                <w:szCs w:val="18"/>
              </w:rPr>
              <w:t>400</w:t>
            </w:r>
          </w:p>
        </w:tc>
      </w:tr>
    </w:tbl>
    <w:p w:rsidR="008C2902" w:rsidRDefault="008C2902">
      <w:pPr>
        <w:pStyle w:val="NormalLeft"/>
        <w:jc w:val="both"/>
        <w:rPr>
          <w:rFonts w:ascii="Verdana" w:hAnsi="Verdana"/>
          <w:noProof/>
          <w:highlight w:val="yellow"/>
        </w:rPr>
      </w:pPr>
    </w:p>
    <w:sectPr w:rsidR="008C2902">
      <w:headerReference w:type="even" r:id="rId32"/>
      <w:headerReference w:type="default" r:id="rId33"/>
      <w:footerReference w:type="even" r:id="rId34"/>
      <w:footerReference w:type="default" r:id="rId35"/>
      <w:headerReference w:type="first" r:id="rId36"/>
      <w:footerReference w:type="first" r:id="rId37"/>
      <w:pgSz w:w="11906" w:h="16838"/>
      <w:pgMar w:top="1440" w:right="1558" w:bottom="1440" w:left="1134" w:header="708" w:footer="708" w:gutter="0"/>
      <w:pgNumType w:start="2"/>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EC1" w:rsidRDefault="00AD2EC1">
      <w:pPr>
        <w:spacing w:after="0" w:line="240" w:lineRule="auto"/>
      </w:pPr>
      <w:r>
        <w:separator/>
      </w:r>
    </w:p>
  </w:endnote>
  <w:endnote w:type="continuationSeparator" w:id="0">
    <w:p w:rsidR="00AD2EC1" w:rsidRDefault="00AD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51" w:rsidRDefault="00825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fldSimple w:instr=" DOCVARIABLE &quot;LW_Confidence&quot; \* MERGEFORMAT ">
      <w:r w:rsidR="00DA7078">
        <w:t xml:space="preserve"> </w:t>
      </w:r>
    </w:fldSimple>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51" w:rsidRDefault="008255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Footer"/>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sidR="00825551">
      <w:rPr>
        <w:rFonts w:ascii="Verdana" w:hAnsi="Verdana"/>
        <w:noProof/>
        <w:sz w:val="20"/>
        <w:szCs w:val="20"/>
      </w:rPr>
      <w:t>3</w:t>
    </w:r>
    <w:r>
      <w:rPr>
        <w:rFonts w:ascii="Verdana" w:hAnsi="Verdana"/>
        <w:noProof/>
        <w:sz w:val="20"/>
        <w:szCs w:val="20"/>
      </w:rPr>
      <w:fldChar w:fldCharType="end"/>
    </w:r>
  </w:p>
  <w:p w:rsidR="00AD2EC1" w:rsidRDefault="00AD2E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EC1" w:rsidRDefault="00AD2EC1">
      <w:pPr>
        <w:spacing w:after="0" w:line="240" w:lineRule="auto"/>
      </w:pPr>
      <w:r>
        <w:separator/>
      </w:r>
    </w:p>
  </w:footnote>
  <w:footnote w:type="continuationSeparator" w:id="0">
    <w:p w:rsidR="00AD2EC1" w:rsidRDefault="00AD2EC1">
      <w:pPr>
        <w:spacing w:after="0" w:line="240" w:lineRule="auto"/>
      </w:pPr>
      <w:r>
        <w:continuationSeparator/>
      </w:r>
    </w:p>
  </w:footnote>
  <w:footnote w:id="1">
    <w:p w:rsidR="00AD2EC1" w:rsidRDefault="00AD2EC1">
      <w:pPr>
        <w:pStyle w:val="FootnoteText"/>
        <w:spacing w:after="0"/>
        <w:rPr>
          <w:rStyle w:val="FootnoteReference"/>
          <w:sz w:val="16"/>
        </w:rPr>
      </w:pPr>
      <w:r>
        <w:rPr>
          <w:rStyle w:val="FootnoteReference"/>
          <w:rFonts w:ascii="Verdana" w:hAnsi="Verdana"/>
          <w:sz w:val="16"/>
        </w:rPr>
        <w:footnoteRef/>
      </w:r>
      <w:r>
        <w:rPr>
          <w:rStyle w:val="FootnoteReference"/>
          <w:sz w:val="16"/>
        </w:rPr>
        <w:t xml:space="preserve"> </w:t>
      </w:r>
      <w:r>
        <w:rPr>
          <w:sz w:val="16"/>
          <w:lang w:val="fr-BE"/>
        </w:rPr>
        <w:tab/>
      </w:r>
      <w:r>
        <w:rPr>
          <w:rStyle w:val="FootnoteReference"/>
          <w:rFonts w:ascii="Verdana" w:hAnsi="Verdana"/>
          <w:sz w:val="16"/>
          <w:szCs w:val="16"/>
          <w:vertAlign w:val="baseline"/>
        </w:rPr>
        <w:t>OJ C 326, 26.10.2012, p. 47.</w:t>
      </w:r>
    </w:p>
  </w:footnote>
  <w:footnote w:id="2">
    <w:p w:rsidR="00AD2EC1" w:rsidRDefault="00AD2EC1">
      <w:pPr>
        <w:pStyle w:val="FootnoteText"/>
        <w:spacing w:after="0"/>
        <w:rPr>
          <w:rStyle w:val="FootnoteReference"/>
          <w:sz w:val="16"/>
        </w:rPr>
      </w:pPr>
      <w:r>
        <w:rPr>
          <w:rStyle w:val="FootnoteReference"/>
          <w:rFonts w:ascii="Verdana" w:hAnsi="Verdana"/>
          <w:sz w:val="16"/>
        </w:rPr>
        <w:footnoteRef/>
      </w:r>
      <w:r>
        <w:rPr>
          <w:rStyle w:val="FootnoteReference"/>
          <w:sz w:val="16"/>
        </w:rPr>
        <w:t xml:space="preserve"> </w:t>
      </w:r>
      <w:r>
        <w:rPr>
          <w:rStyle w:val="FootnoteReference"/>
          <w:sz w:val="16"/>
          <w:lang w:val="fr-BE"/>
        </w:rPr>
        <w:tab/>
      </w:r>
      <w:r>
        <w:rPr>
          <w:rStyle w:val="FootnoteReference"/>
          <w:rFonts w:ascii="Verdana" w:hAnsi="Verdana"/>
          <w:sz w:val="16"/>
          <w:vertAlign w:val="baseline"/>
        </w:rPr>
        <w:t>Regulation (EU, Euratom) No 966/2012 of the European Parliament and of the Council of 25 October 2012 on the financial rules applicable to the general budget of the Union and repealing Council Regulation (EC, Euratom) No 1605/2002 (OJ L 298, 26.10.2012, p. 1).</w:t>
      </w:r>
    </w:p>
  </w:footnote>
  <w:footnote w:id="3">
    <w:p w:rsidR="00AD2EC1" w:rsidRDefault="00AD2EC1">
      <w:pPr>
        <w:pStyle w:val="FootnoteText"/>
        <w:spacing w:after="0"/>
        <w:rPr>
          <w:rStyle w:val="FootnoteReference"/>
          <w:rFonts w:ascii="Verdana" w:hAnsi="Verdana"/>
          <w:sz w:val="16"/>
        </w:rPr>
      </w:pPr>
      <w:r>
        <w:rPr>
          <w:rStyle w:val="FootnoteReference"/>
          <w:rFonts w:ascii="Verdana" w:hAnsi="Verdana"/>
          <w:sz w:val="16"/>
        </w:rPr>
        <w:footnoteRef/>
      </w:r>
      <w:r>
        <w:rPr>
          <w:rStyle w:val="FootnoteReference"/>
          <w:sz w:val="16"/>
        </w:rPr>
        <w:t xml:space="preserve"> </w:t>
      </w:r>
      <w:r>
        <w:rPr>
          <w:rStyle w:val="FootnoteReference"/>
          <w:sz w:val="16"/>
          <w:lang w:val="fr-BE"/>
        </w:rPr>
        <w:tab/>
      </w:r>
      <w:r>
        <w:rPr>
          <w:rStyle w:val="FootnoteReference"/>
          <w:rFonts w:ascii="Verdana" w:hAnsi="Verdana"/>
          <w:sz w:val="16"/>
          <w:vertAlign w:val="baseline"/>
        </w:rPr>
        <w:t>Commission Delegated Regulation (EU) No 1268/2012 of 29 October 2012 on the rules of application of Regulation (EU, Euratom) No 966/2012 of the European Parliament and of the Council on the financial rules applicable to the general budget of the Union (OJ L 362, 31.12.2012, p. 1).</w:t>
      </w:r>
    </w:p>
  </w:footnote>
  <w:footnote w:id="4">
    <w:p w:rsidR="00AD2EC1" w:rsidRDefault="00AD2EC1">
      <w:pPr>
        <w:pStyle w:val="FootnoteText"/>
        <w:spacing w:after="0"/>
        <w:rPr>
          <w:rStyle w:val="FootnoteReference"/>
          <w:rFonts w:ascii="Verdana" w:hAnsi="Verdana"/>
          <w:sz w:val="16"/>
          <w:vertAlign w:val="baseline"/>
        </w:rPr>
      </w:pPr>
      <w:r>
        <w:rPr>
          <w:rStyle w:val="FootnoteReference"/>
          <w:rFonts w:ascii="Verdana" w:hAnsi="Verdana"/>
          <w:sz w:val="16"/>
        </w:rPr>
        <w:footnoteRef/>
      </w:r>
      <w:r>
        <w:rPr>
          <w:rStyle w:val="FootnoteReference"/>
        </w:rPr>
        <w:t xml:space="preserve"> </w:t>
      </w:r>
      <w:r>
        <w:rPr>
          <w:lang w:val="fr-BE"/>
        </w:rPr>
        <w:tab/>
      </w:r>
      <w:r>
        <w:rPr>
          <w:rStyle w:val="FootnoteReference"/>
          <w:rFonts w:ascii="Verdana" w:hAnsi="Verdana"/>
          <w:sz w:val="16"/>
          <w:vertAlign w:val="baseline"/>
        </w:rPr>
        <w:t>The procedure by which the Commission accepts the accounts of the Member States and thereby the expenditure made by the paying agencies to farmers and beneficiaries. Firstly the accounts of paying agencies are checked for accuracy by certification bodies in the Member States and are then subject to an annual financial clearance decision by the Commission. Secondly</w:t>
      </w:r>
      <w:r>
        <w:rPr>
          <w:rFonts w:ascii="Verdana" w:hAnsi="Verdana"/>
          <w:sz w:val="16"/>
          <w:lang w:val="en-GB"/>
        </w:rPr>
        <w:t>,</w:t>
      </w:r>
      <w:r>
        <w:rPr>
          <w:rStyle w:val="FootnoteReference"/>
          <w:rFonts w:ascii="Verdana" w:hAnsi="Verdana"/>
          <w:sz w:val="16"/>
          <w:vertAlign w:val="baseline"/>
        </w:rPr>
        <w:t xml:space="preserve"> the Commission itself then carries out the conformity clearance procedure based on audits which permit it to identify and exclude (in later years) payments not complying with the rules.</w:t>
      </w:r>
    </w:p>
  </w:footnote>
  <w:footnote w:id="5">
    <w:p w:rsidR="00AD2EC1" w:rsidRDefault="00AD2EC1">
      <w:pPr>
        <w:pStyle w:val="FootnoteText"/>
        <w:spacing w:after="0"/>
        <w:rPr>
          <w:rStyle w:val="FootnoteReference"/>
          <w:rFonts w:ascii="Verdana" w:hAnsi="Verdana"/>
          <w:sz w:val="16"/>
          <w:vertAlign w:val="baseline"/>
        </w:rPr>
      </w:pPr>
      <w:r>
        <w:rPr>
          <w:rStyle w:val="FootnoteReference"/>
          <w:rFonts w:ascii="Verdana" w:hAnsi="Verdana"/>
          <w:sz w:val="16"/>
        </w:rPr>
        <w:footnoteRef/>
      </w:r>
      <w:r>
        <w:rPr>
          <w:rStyle w:val="FootnoteReference"/>
          <w:rFonts w:ascii="Verdana" w:hAnsi="Verdana"/>
          <w:sz w:val="16"/>
        </w:rPr>
        <w:t xml:space="preserve"> </w:t>
      </w:r>
      <w:r>
        <w:rPr>
          <w:rStyle w:val="FootnoteReference"/>
          <w:rFonts w:ascii="Verdana" w:hAnsi="Verdana"/>
          <w:sz w:val="16"/>
          <w:vertAlign w:val="baseline"/>
          <w:lang w:val="fr-BE"/>
        </w:rPr>
        <w:tab/>
      </w:r>
      <w:r>
        <w:rPr>
          <w:rStyle w:val="FootnoteReference"/>
          <w:rFonts w:ascii="Verdana" w:hAnsi="Verdana"/>
          <w:sz w:val="16"/>
          <w:vertAlign w:val="baseline"/>
        </w:rPr>
        <w:t>Commission Implementing Regulation (EU) No 375/2012 of 2 May 2012 amending Regulation (EC) No 885/2006 laying down detailed rules for the application of Council Regulation (EC) No 1290/2005 as regards the accreditation of paying agencies and other bodies and the clearance of the accounts of the EAGF and EAFRD (OJ L 118, 3.5.2012, p. 4–5).</w:t>
      </w:r>
    </w:p>
  </w:footnote>
  <w:footnote w:id="6">
    <w:p w:rsidR="00AD2EC1" w:rsidRDefault="00AD2EC1">
      <w:pPr>
        <w:pStyle w:val="FootnoteText"/>
        <w:spacing w:after="0"/>
        <w:rPr>
          <w:rStyle w:val="FootnoteReference"/>
          <w:sz w:val="16"/>
          <w:szCs w:val="16"/>
          <w:vertAlign w:val="baseline"/>
        </w:rPr>
      </w:pPr>
      <w:r>
        <w:rPr>
          <w:rStyle w:val="FootnoteReference"/>
          <w:sz w:val="16"/>
          <w:szCs w:val="16"/>
        </w:rPr>
        <w:t xml:space="preserve"> </w:t>
      </w:r>
      <w:r>
        <w:rPr>
          <w:rStyle w:val="FootnoteReference"/>
          <w:rFonts w:ascii="Verdana" w:hAnsi="Verdana"/>
          <w:sz w:val="16"/>
          <w:szCs w:val="16"/>
        </w:rPr>
        <w:footnoteRef/>
      </w:r>
      <w:r>
        <w:rPr>
          <w:rStyle w:val="FootnoteReference"/>
          <w:sz w:val="16"/>
          <w:szCs w:val="16"/>
        </w:rPr>
        <w:t xml:space="preserve"> </w:t>
      </w:r>
      <w:r>
        <w:rPr>
          <w:sz w:val="16"/>
          <w:szCs w:val="16"/>
          <w:lang w:val="fr-BE"/>
        </w:rPr>
        <w:tab/>
      </w:r>
      <w:r>
        <w:rPr>
          <w:rStyle w:val="FootnoteReference"/>
          <w:rFonts w:ascii="Verdana" w:hAnsi="Verdana"/>
          <w:sz w:val="16"/>
          <w:szCs w:val="16"/>
          <w:vertAlign w:val="baseline"/>
        </w:rPr>
        <w:t>This date can be extended to 1st March in exceptional cases at the request of the Member State, (Art. 59(5)).</w:t>
      </w:r>
    </w:p>
  </w:footnote>
  <w:footnote w:id="7">
    <w:p w:rsidR="00AD2EC1" w:rsidRDefault="00AD2EC1">
      <w:pPr>
        <w:pStyle w:val="FootnoteText"/>
        <w:spacing w:after="0"/>
        <w:rPr>
          <w:rStyle w:val="FootnoteReference"/>
          <w:rFonts w:ascii="Verdana" w:hAnsi="Verdana"/>
          <w:sz w:val="16"/>
          <w:szCs w:val="16"/>
          <w:vertAlign w:val="baseline"/>
        </w:rPr>
      </w:pPr>
      <w:r>
        <w:rPr>
          <w:rStyle w:val="FootnoteReference"/>
          <w:rFonts w:ascii="Verdana" w:hAnsi="Verdana"/>
          <w:sz w:val="16"/>
          <w:szCs w:val="16"/>
        </w:rPr>
        <w:footnoteRef/>
      </w:r>
      <w:r>
        <w:rPr>
          <w:rStyle w:val="FootnoteReference"/>
          <w:rFonts w:ascii="Verdana" w:hAnsi="Verdana"/>
          <w:sz w:val="16"/>
          <w:szCs w:val="16"/>
        </w:rPr>
        <w:t xml:space="preserve"> </w:t>
      </w:r>
      <w:r>
        <w:rPr>
          <w:rFonts w:ascii="Verdana" w:hAnsi="Verdana"/>
          <w:sz w:val="16"/>
          <w:szCs w:val="16"/>
          <w:lang w:val="fr-BE"/>
        </w:rPr>
        <w:tab/>
      </w:r>
      <w:r>
        <w:rPr>
          <w:rStyle w:val="FootnoteReference"/>
          <w:rFonts w:ascii="Verdana" w:hAnsi="Verdana"/>
          <w:sz w:val="16"/>
          <w:szCs w:val="16"/>
          <w:vertAlign w:val="baseline"/>
        </w:rPr>
        <w:t>Commission Delegated Regulation (EU) No 480/2014 of 3 March 2014 supplementing Regulation (EU) No 1303/2013 of the European Parliament and of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(OJ L 138, 13.5.2014, p. 5–44).</w:t>
      </w:r>
    </w:p>
  </w:footnote>
  <w:footnote w:id="8">
    <w:p w:rsidR="00AD2EC1" w:rsidRDefault="00AD2EC1">
      <w:pPr>
        <w:pStyle w:val="FootnoteText"/>
        <w:spacing w:after="0"/>
        <w:rPr>
          <w:rStyle w:val="FootnoteReference"/>
          <w:rFonts w:ascii="Verdana" w:hAnsi="Verdana"/>
          <w:sz w:val="16"/>
          <w:vertAlign w:val="baseline"/>
        </w:rPr>
      </w:pPr>
      <w:r>
        <w:rPr>
          <w:rStyle w:val="FootnoteReference"/>
          <w:rFonts w:ascii="Verdana" w:hAnsi="Verdana"/>
          <w:sz w:val="16"/>
        </w:rPr>
        <w:footnoteRef/>
      </w:r>
      <w:r>
        <w:rPr>
          <w:rStyle w:val="FootnoteReference"/>
        </w:rPr>
        <w:t xml:space="preserve"> </w:t>
      </w:r>
      <w:r>
        <w:rPr>
          <w:lang w:val="en-GB"/>
        </w:rPr>
        <w:tab/>
      </w:r>
      <w:r>
        <w:rPr>
          <w:rStyle w:val="FootnoteReference"/>
          <w:rFonts w:ascii="Verdana" w:hAnsi="Verdana"/>
          <w:sz w:val="16"/>
          <w:vertAlign w:val="baseline"/>
        </w:rPr>
        <w:t>ERDF</w:t>
      </w:r>
      <w:r>
        <w:rPr>
          <w:rFonts w:ascii="Verdana" w:hAnsi="Verdana"/>
          <w:sz w:val="16"/>
          <w:lang w:val="en-GB"/>
        </w:rPr>
        <w:t xml:space="preserve"> and Cohesion Fund amounts include</w:t>
      </w:r>
      <w:r>
        <w:rPr>
          <w:rStyle w:val="FootnoteReference"/>
          <w:rFonts w:ascii="Verdana" w:hAnsi="Verdana"/>
          <w:sz w:val="16"/>
          <w:vertAlign w:val="baseline"/>
        </w:rPr>
        <w:t>, for the first time in 2014, financial corrections “at source”.</w:t>
      </w:r>
    </w:p>
  </w:footnote>
  <w:footnote w:id="9">
    <w:p w:rsidR="00AD2EC1" w:rsidRDefault="00AD2EC1">
      <w:pPr>
        <w:pStyle w:val="FootnoteText"/>
        <w:spacing w:after="0"/>
        <w:rPr>
          <w:rFonts w:ascii="Verdana" w:hAnsi="Verdana"/>
          <w:sz w:val="16"/>
          <w:szCs w:val="16"/>
          <w:lang w:val="en-GB"/>
        </w:rPr>
      </w:pPr>
      <w:r>
        <w:rPr>
          <w:rStyle w:val="FootnoteReference"/>
          <w:rFonts w:ascii="Verdana" w:hAnsi="Verdana"/>
          <w:sz w:val="16"/>
          <w:szCs w:val="16"/>
        </w:rPr>
        <w:footnoteRef/>
      </w:r>
      <w:r>
        <w:rPr>
          <w:rFonts w:ascii="Verdana" w:hAnsi="Verdana"/>
          <w:sz w:val="16"/>
          <w:szCs w:val="16"/>
        </w:rPr>
        <w:t xml:space="preserve"> </w:t>
      </w:r>
      <w:r>
        <w:rPr>
          <w:lang w:val="en-GB"/>
        </w:rPr>
        <w:tab/>
      </w:r>
      <w:r>
        <w:rPr>
          <w:rFonts w:ascii="Verdana" w:hAnsi="Verdana"/>
          <w:sz w:val="16"/>
          <w:szCs w:val="16"/>
        </w:rPr>
        <w:t>Decision 2014/191/EU of 4</w:t>
      </w:r>
      <w:r>
        <w:rPr>
          <w:rFonts w:ascii="Verdana" w:hAnsi="Verdana"/>
          <w:sz w:val="16"/>
          <w:szCs w:val="16"/>
          <w:lang w:val="en-GB"/>
        </w:rPr>
        <w:t> April </w:t>
      </w:r>
      <w:r>
        <w:rPr>
          <w:rFonts w:ascii="Verdana" w:hAnsi="Verdana"/>
          <w:sz w:val="16"/>
          <w:szCs w:val="16"/>
        </w:rPr>
        <w:t>2014, OJ L104 (ad hoc decision no. 44)</w:t>
      </w:r>
      <w:r>
        <w:rPr>
          <w:rFonts w:ascii="Verdana" w:hAnsi="Verdana"/>
          <w:sz w:val="16"/>
          <w:szCs w:val="16"/>
          <w:lang w:val="en-GB"/>
        </w:rPr>
        <w:t>,</w:t>
      </w:r>
    </w:p>
    <w:p w:rsidR="00AD2EC1" w:rsidRDefault="00AD2EC1">
      <w:pPr>
        <w:pStyle w:val="FootnoteText"/>
        <w:spacing w:after="0"/>
        <w:rPr>
          <w:rFonts w:ascii="Verdana" w:hAnsi="Verdana"/>
          <w:sz w:val="16"/>
          <w:szCs w:val="16"/>
          <w:lang w:val="en-GB"/>
        </w:rPr>
      </w:pPr>
      <w:r>
        <w:rPr>
          <w:rFonts w:ascii="Verdana" w:hAnsi="Verdana"/>
          <w:sz w:val="16"/>
          <w:szCs w:val="16"/>
        </w:rPr>
        <w:t xml:space="preserve">  </w:t>
      </w:r>
      <w:r>
        <w:rPr>
          <w:rFonts w:ascii="Verdana" w:hAnsi="Verdana"/>
          <w:sz w:val="16"/>
          <w:szCs w:val="16"/>
          <w:lang w:val="en-GB"/>
        </w:rPr>
        <w:tab/>
      </w:r>
      <w:r>
        <w:rPr>
          <w:rFonts w:ascii="Verdana" w:hAnsi="Verdana"/>
          <w:sz w:val="16"/>
          <w:szCs w:val="16"/>
        </w:rPr>
        <w:t>Decision 2014/458/EU of 9</w:t>
      </w:r>
      <w:r>
        <w:rPr>
          <w:rFonts w:ascii="Verdana" w:hAnsi="Verdana"/>
          <w:sz w:val="16"/>
          <w:szCs w:val="16"/>
          <w:lang w:val="en-GB"/>
        </w:rPr>
        <w:t> April </w:t>
      </w:r>
      <w:r>
        <w:rPr>
          <w:rFonts w:ascii="Verdana" w:hAnsi="Verdana"/>
          <w:sz w:val="16"/>
          <w:szCs w:val="16"/>
        </w:rPr>
        <w:t>2014, OJ L204 (ad hoc decision no. 45)</w:t>
      </w:r>
      <w:r>
        <w:rPr>
          <w:rFonts w:ascii="Verdana" w:hAnsi="Verdana"/>
          <w:sz w:val="16"/>
          <w:szCs w:val="16"/>
          <w:lang w:val="en-GB"/>
        </w:rPr>
        <w:t>,</w:t>
      </w:r>
    </w:p>
    <w:p w:rsidR="00AD2EC1" w:rsidRDefault="00AD2EC1">
      <w:pPr>
        <w:pStyle w:val="FootnoteText"/>
        <w:spacing w:after="0"/>
        <w:rPr>
          <w:rFonts w:ascii="Verdana" w:hAnsi="Verdana"/>
          <w:sz w:val="16"/>
          <w:szCs w:val="16"/>
          <w:lang w:val="en-GB"/>
        </w:rPr>
      </w:pPr>
      <w:r>
        <w:rPr>
          <w:rFonts w:ascii="Verdana" w:hAnsi="Verdana"/>
          <w:sz w:val="16"/>
          <w:szCs w:val="16"/>
        </w:rPr>
        <w:t xml:space="preserve">  </w:t>
      </w:r>
      <w:r>
        <w:rPr>
          <w:rFonts w:ascii="Verdana" w:hAnsi="Verdana"/>
          <w:sz w:val="16"/>
          <w:szCs w:val="16"/>
          <w:lang w:val="en-GB"/>
        </w:rPr>
        <w:tab/>
      </w:r>
      <w:r>
        <w:rPr>
          <w:rFonts w:ascii="Verdana" w:hAnsi="Verdana"/>
          <w:sz w:val="16"/>
          <w:szCs w:val="16"/>
        </w:rPr>
        <w:t>Decision 2014/950/EU of 24</w:t>
      </w:r>
      <w:r>
        <w:rPr>
          <w:rFonts w:ascii="Verdana" w:hAnsi="Verdana"/>
          <w:sz w:val="16"/>
          <w:szCs w:val="16"/>
          <w:lang w:val="en-GB"/>
        </w:rPr>
        <w:t> December </w:t>
      </w:r>
      <w:r>
        <w:rPr>
          <w:rFonts w:ascii="Verdana" w:hAnsi="Verdana"/>
          <w:sz w:val="16"/>
          <w:szCs w:val="16"/>
        </w:rPr>
        <w:t>2014, OJ L369 (ad hoc decision no. 46)</w:t>
      </w:r>
      <w:r>
        <w:rPr>
          <w:rFonts w:ascii="Verdana" w:hAnsi="Verdana"/>
          <w:sz w:val="16"/>
          <w:szCs w:val="16"/>
          <w:lang w:val="en-GB"/>
        </w:rPr>
        <w:t>.</w:t>
      </w:r>
    </w:p>
  </w:footnote>
  <w:footnote w:id="10">
    <w:p w:rsidR="00AD2EC1" w:rsidRDefault="00AD2EC1">
      <w:pPr>
        <w:pStyle w:val="FootnoteText"/>
        <w:spacing w:after="0"/>
        <w:rPr>
          <w:rFonts w:ascii="Verdana" w:hAnsi="Verdana"/>
          <w:sz w:val="16"/>
          <w:szCs w:val="16"/>
          <w:lang w:val="en-GB"/>
        </w:rPr>
      </w:pPr>
      <w:r>
        <w:rPr>
          <w:rStyle w:val="FootnoteReference"/>
          <w:rFonts w:ascii="Verdana" w:hAnsi="Verdana"/>
          <w:sz w:val="16"/>
          <w:szCs w:val="16"/>
        </w:rPr>
        <w:footnoteRef/>
      </w:r>
      <w:r>
        <w:rPr>
          <w:rFonts w:ascii="Verdana" w:hAnsi="Verdana"/>
          <w:sz w:val="16"/>
          <w:szCs w:val="16"/>
        </w:rPr>
        <w:t xml:space="preserve"> </w:t>
      </w:r>
      <w:r>
        <w:rPr>
          <w:rFonts w:ascii="Verdana" w:hAnsi="Verdana"/>
          <w:sz w:val="16"/>
          <w:szCs w:val="16"/>
          <w:lang w:val="en-GB"/>
        </w:rPr>
        <w:tab/>
      </w:r>
      <w:r>
        <w:rPr>
          <w:rFonts w:ascii="Verdana" w:hAnsi="Verdana"/>
          <w:sz w:val="16"/>
          <w:szCs w:val="16"/>
        </w:rPr>
        <w:t>Decision 2015/103/EU of 16</w:t>
      </w:r>
      <w:r>
        <w:rPr>
          <w:rFonts w:ascii="Verdana" w:hAnsi="Verdana"/>
          <w:sz w:val="16"/>
          <w:szCs w:val="16"/>
          <w:lang w:val="en-GB"/>
        </w:rPr>
        <w:t> January </w:t>
      </w:r>
      <w:r>
        <w:rPr>
          <w:rFonts w:ascii="Verdana" w:hAnsi="Verdana"/>
          <w:sz w:val="16"/>
          <w:szCs w:val="16"/>
        </w:rPr>
        <w:t>2015, OJ L16 (ad hoc decision no. 47)</w:t>
      </w:r>
      <w:r>
        <w:rPr>
          <w:rFonts w:ascii="Verdana" w:hAnsi="Verdana"/>
          <w:sz w:val="16"/>
          <w:szCs w:val="16"/>
          <w:lang w:val="en-GB"/>
        </w:rPr>
        <w:t>.</w:t>
      </w:r>
    </w:p>
  </w:footnote>
  <w:footnote w:id="11">
    <w:p w:rsidR="00AD2EC1" w:rsidRDefault="00AD2EC1">
      <w:pPr>
        <w:pStyle w:val="FootnoteText"/>
        <w:spacing w:after="0"/>
        <w:rPr>
          <w:rStyle w:val="FootnoteReference"/>
          <w:rFonts w:ascii="Verdana" w:hAnsi="Verdana"/>
          <w:sz w:val="16"/>
          <w:szCs w:val="16"/>
          <w:vertAlign w:val="baseline"/>
        </w:rPr>
      </w:pPr>
      <w:r>
        <w:rPr>
          <w:rStyle w:val="FootnoteReference"/>
          <w:rFonts w:ascii="Verdana" w:hAnsi="Verdana"/>
          <w:sz w:val="16"/>
          <w:szCs w:val="16"/>
        </w:rPr>
        <w:footnoteRef/>
      </w:r>
      <w:r>
        <w:rPr>
          <w:rStyle w:val="FootnoteReference"/>
          <w:rFonts w:ascii="Verdana" w:hAnsi="Verdana"/>
          <w:sz w:val="16"/>
          <w:szCs w:val="16"/>
        </w:rPr>
        <w:t xml:space="preserve"> </w:t>
      </w:r>
      <w:r>
        <w:rPr>
          <w:rFonts w:ascii="Verdana" w:hAnsi="Verdana"/>
          <w:sz w:val="16"/>
          <w:szCs w:val="16"/>
          <w:lang w:val="en-GB"/>
        </w:rPr>
        <w:tab/>
      </w:r>
      <w:r>
        <w:rPr>
          <w:rStyle w:val="FootnoteReference"/>
          <w:rFonts w:ascii="Verdana" w:hAnsi="Verdana"/>
          <w:sz w:val="16"/>
          <w:szCs w:val="16"/>
          <w:vertAlign w:val="baseline"/>
        </w:rPr>
        <w:t>In addition to this amount, EUR 782 million of financial correction “at source” have been reported for the first time in 2014</w:t>
      </w:r>
      <w:r>
        <w:rPr>
          <w:rStyle w:val="FootnoteReference"/>
          <w:rFonts w:ascii="Verdana" w:hAnsi="Verdana"/>
          <w:sz w:val="16"/>
          <w:szCs w:val="16"/>
          <w:vertAlign w:val="baseline"/>
          <w:lang w:val="en-GB"/>
        </w:rPr>
        <w:t xml:space="preserve"> </w:t>
      </w:r>
      <w:r>
        <w:rPr>
          <w:rStyle w:val="FootnoteReference"/>
          <w:rFonts w:ascii="Verdana" w:hAnsi="Verdana"/>
          <w:sz w:val="16"/>
          <w:szCs w:val="16"/>
          <w:vertAlign w:val="baseline"/>
        </w:rPr>
        <w:t>for ERDF/CF</w:t>
      </w:r>
      <w:r>
        <w:rPr>
          <w:rFonts w:ascii="Verdana" w:hAnsi="Verdana"/>
          <w:sz w:val="16"/>
          <w:szCs w:val="16"/>
          <w:lang w:val="en-GB"/>
        </w:rPr>
        <w:t xml:space="preserve"> – see section 3.3.3</w:t>
      </w:r>
      <w:r>
        <w:rPr>
          <w:rStyle w:val="FootnoteReference"/>
          <w:rFonts w:ascii="Verdana" w:hAnsi="Verdana"/>
          <w:sz w:val="16"/>
          <w:szCs w:val="16"/>
          <w:vertAlign w:val="baseline"/>
        </w:rPr>
        <w:t xml:space="preserve">. </w:t>
      </w:r>
    </w:p>
  </w:footnote>
  <w:footnote w:id="12">
    <w:p w:rsidR="00AD2EC1" w:rsidRDefault="00AD2EC1">
      <w:pPr>
        <w:pStyle w:val="FootnoteText"/>
        <w:spacing w:after="0"/>
        <w:rPr>
          <w:rStyle w:val="FootnoteReference"/>
          <w:rFonts w:ascii="Verdana" w:hAnsi="Verdana"/>
          <w:sz w:val="16"/>
          <w:szCs w:val="16"/>
          <w:vertAlign w:val="baseline"/>
        </w:rPr>
      </w:pPr>
      <w:r>
        <w:rPr>
          <w:rStyle w:val="FootnoteReference"/>
          <w:rFonts w:ascii="Verdana" w:hAnsi="Verdana"/>
          <w:sz w:val="16"/>
          <w:szCs w:val="16"/>
        </w:rPr>
        <w:footnoteRef/>
      </w:r>
      <w:r>
        <w:rPr>
          <w:rStyle w:val="FootnoteReference"/>
          <w:rFonts w:ascii="Verdana" w:hAnsi="Verdana"/>
          <w:sz w:val="16"/>
          <w:szCs w:val="16"/>
        </w:rPr>
        <w:t xml:space="preserve"> </w:t>
      </w:r>
      <w:r>
        <w:rPr>
          <w:rFonts w:ascii="Verdana" w:hAnsi="Verdana"/>
          <w:sz w:val="16"/>
          <w:szCs w:val="16"/>
          <w:lang w:val="en-GB"/>
        </w:rPr>
        <w:tab/>
      </w:r>
      <w:r>
        <w:rPr>
          <w:rStyle w:val="FootnoteReference"/>
          <w:rFonts w:ascii="Verdana" w:hAnsi="Verdana"/>
          <w:sz w:val="16"/>
          <w:szCs w:val="16"/>
          <w:vertAlign w:val="baseline"/>
        </w:rPr>
        <w:t xml:space="preserve">Since there is no legal requirement for Member States to report on such amounts, nor a structured reporting since the beginning of the programming period, this section presents a prudent and non-exhaustive amount of additional financial corrections for cases for which </w:t>
      </w:r>
      <w:r>
        <w:rPr>
          <w:rStyle w:val="FootnoteReference"/>
          <w:rFonts w:ascii="Verdana" w:hAnsi="Verdana"/>
          <w:sz w:val="16"/>
          <w:szCs w:val="16"/>
          <w:vertAlign w:val="baseline"/>
          <w:lang w:val="en-GB"/>
        </w:rPr>
        <w:t>t</w:t>
      </w:r>
      <w:r>
        <w:rPr>
          <w:rFonts w:ascii="Verdana" w:hAnsi="Verdana"/>
          <w:sz w:val="16"/>
          <w:szCs w:val="16"/>
          <w:lang w:val="en-GB"/>
        </w:rPr>
        <w:t>he Commission</w:t>
      </w:r>
      <w:r>
        <w:rPr>
          <w:rStyle w:val="FootnoteReference"/>
          <w:rFonts w:ascii="Verdana" w:hAnsi="Verdana"/>
          <w:sz w:val="16"/>
          <w:szCs w:val="16"/>
          <w:vertAlign w:val="baseline"/>
        </w:rPr>
        <w:t xml:space="preserve"> could reconstitute a clear audit trail at the level of the certifying authority.</w:t>
      </w:r>
    </w:p>
  </w:footnote>
  <w:footnote w:id="13">
    <w:p w:rsidR="00AD2EC1" w:rsidRDefault="00AD2EC1">
      <w:pPr>
        <w:pStyle w:val="FootnoteText"/>
        <w:spacing w:after="0"/>
        <w:rPr>
          <w:rStyle w:val="FootnoteReference"/>
          <w:rFonts w:ascii="Verdana" w:hAnsi="Verdana"/>
          <w:sz w:val="16"/>
          <w:vertAlign w:val="baseline"/>
        </w:rPr>
      </w:pPr>
      <w:r>
        <w:rPr>
          <w:rStyle w:val="FootnoteReference"/>
          <w:rFonts w:ascii="Verdana" w:hAnsi="Verdana"/>
          <w:sz w:val="16"/>
          <w:szCs w:val="16"/>
        </w:rPr>
        <w:footnoteRef/>
      </w:r>
      <w:r>
        <w:rPr>
          <w:rStyle w:val="FootnoteReference"/>
        </w:rPr>
        <w:t xml:space="preserve"> </w:t>
      </w:r>
      <w:r>
        <w:rPr>
          <w:lang w:val="en-GB"/>
        </w:rPr>
        <w:tab/>
      </w:r>
      <w:r>
        <w:rPr>
          <w:rStyle w:val="FootnoteReference"/>
          <w:rFonts w:ascii="Verdana" w:hAnsi="Verdana"/>
          <w:sz w:val="16"/>
          <w:vertAlign w:val="baseline"/>
        </w:rPr>
        <w:t>For a more exhaustive explanation of the corrective mechanism put in place by the Commission for the closure 2000-</w:t>
      </w:r>
      <w:r>
        <w:rPr>
          <w:rFonts w:ascii="Verdana" w:hAnsi="Verdana"/>
          <w:sz w:val="16"/>
          <w:lang w:val="en-GB"/>
        </w:rPr>
        <w:t>20</w:t>
      </w:r>
      <w:r>
        <w:rPr>
          <w:rStyle w:val="FootnoteReference"/>
          <w:rFonts w:ascii="Verdana" w:hAnsi="Verdana"/>
          <w:sz w:val="16"/>
          <w:vertAlign w:val="baseline"/>
        </w:rPr>
        <w:t>06, see the Report on financial corrections carried out for ERDF and ESF on 2000-</w:t>
      </w:r>
      <w:r>
        <w:rPr>
          <w:rFonts w:ascii="Verdana" w:hAnsi="Verdana"/>
          <w:sz w:val="16"/>
          <w:lang w:val="en-GB"/>
        </w:rPr>
        <w:t>20</w:t>
      </w:r>
      <w:r>
        <w:rPr>
          <w:rStyle w:val="FootnoteReference"/>
          <w:rFonts w:ascii="Verdana" w:hAnsi="Verdana"/>
          <w:sz w:val="16"/>
          <w:vertAlign w:val="baseline"/>
        </w:rPr>
        <w:t>06 programmes (Ares(2013)689652 – 12 April 2013).</w:t>
      </w:r>
    </w:p>
  </w:footnote>
  <w:footnote w:id="14">
    <w:p w:rsidR="00AD2EC1" w:rsidRDefault="00AD2EC1">
      <w:pPr>
        <w:pStyle w:val="FootnoteText"/>
        <w:spacing w:after="0"/>
        <w:ind w:left="284" w:hanging="284"/>
        <w:rPr>
          <w:rStyle w:val="FootnoteReference"/>
          <w:sz w:val="16"/>
          <w:szCs w:val="16"/>
        </w:rPr>
      </w:pPr>
      <w:r>
        <w:rPr>
          <w:rStyle w:val="FootnoteReference"/>
          <w:rFonts w:ascii="Verdana" w:hAnsi="Verdana"/>
          <w:sz w:val="16"/>
          <w:szCs w:val="16"/>
        </w:rPr>
        <w:footnoteRef/>
      </w:r>
      <w:r>
        <w:rPr>
          <w:rStyle w:val="FootnoteReference"/>
          <w:rFonts w:ascii="Verdana" w:hAnsi="Verdana"/>
          <w:sz w:val="16"/>
          <w:szCs w:val="16"/>
        </w:rPr>
        <w:t xml:space="preserve"> </w:t>
      </w:r>
      <w:r>
        <w:rPr>
          <w:rFonts w:ascii="Verdana" w:hAnsi="Verdana"/>
          <w:sz w:val="16"/>
          <w:szCs w:val="16"/>
          <w:lang w:val="fr-BE"/>
        </w:rPr>
        <w:tab/>
      </w:r>
      <w:r>
        <w:rPr>
          <w:rStyle w:val="FootnoteReference"/>
          <w:rFonts w:ascii="Verdana" w:hAnsi="Verdana"/>
          <w:sz w:val="16"/>
          <w:szCs w:val="16"/>
          <w:vertAlign w:val="baseline"/>
        </w:rPr>
        <w:t>Article 21(3)(c) of the Financial Regulation.</w:t>
      </w:r>
    </w:p>
  </w:footnote>
  <w:footnote w:id="15">
    <w:p w:rsidR="00AD2EC1" w:rsidRDefault="00AD2EC1">
      <w:pPr>
        <w:pStyle w:val="FootnoteText"/>
        <w:spacing w:after="0"/>
        <w:ind w:left="284" w:hanging="284"/>
        <w:rPr>
          <w:rStyle w:val="FootnoteReference"/>
          <w:sz w:val="16"/>
          <w:szCs w:val="16"/>
        </w:rPr>
      </w:pPr>
      <w:r>
        <w:rPr>
          <w:rStyle w:val="FootnoteReference"/>
          <w:rFonts w:ascii="Verdana" w:hAnsi="Verdana"/>
          <w:sz w:val="16"/>
          <w:szCs w:val="16"/>
        </w:rPr>
        <w:footnoteRef/>
      </w:r>
      <w:r>
        <w:rPr>
          <w:rStyle w:val="FootnoteReference"/>
          <w:sz w:val="16"/>
          <w:szCs w:val="16"/>
        </w:rPr>
        <w:t xml:space="preserve"> </w:t>
      </w:r>
      <w:r>
        <w:rPr>
          <w:sz w:val="16"/>
          <w:szCs w:val="16"/>
          <w:lang w:val="fr-BE"/>
        </w:rPr>
        <w:tab/>
      </w:r>
      <w:r>
        <w:rPr>
          <w:rStyle w:val="FootnoteReference"/>
          <w:rFonts w:ascii="Verdana" w:hAnsi="Verdana"/>
          <w:sz w:val="16"/>
          <w:szCs w:val="16"/>
          <w:vertAlign w:val="baseline"/>
        </w:rPr>
        <w:t>For European Agricultural Guarantee Fund (EAGF) the appropriations are assigned to the ''origin of the revenue'' (Art. 174(1)) and for financial instruments to the ''same financial instrument'' (Art.140(6)).</w:t>
      </w:r>
    </w:p>
  </w:footnote>
  <w:footnote w:id="16">
    <w:p w:rsidR="00AD2EC1" w:rsidRDefault="00AD2EC1">
      <w:pPr>
        <w:pStyle w:val="FootnoteText"/>
        <w:spacing w:after="0"/>
        <w:ind w:left="284" w:hanging="284"/>
        <w:rPr>
          <w:rStyle w:val="FootnoteReference"/>
          <w:rFonts w:ascii="Verdana" w:hAnsi="Verdana"/>
          <w:sz w:val="16"/>
          <w:vertAlign w:val="baseline"/>
        </w:rPr>
      </w:pPr>
      <w:r>
        <w:rPr>
          <w:rStyle w:val="FootnoteReference"/>
          <w:rFonts w:ascii="Verdana" w:hAnsi="Verdana"/>
          <w:sz w:val="16"/>
          <w:szCs w:val="16"/>
        </w:rPr>
        <w:footnoteRef/>
      </w:r>
      <w:r>
        <w:rPr>
          <w:rFonts w:ascii="Verdana" w:hAnsi="Verdana"/>
          <w:sz w:val="16"/>
          <w:szCs w:val="16"/>
          <w:lang w:val="fr-BE"/>
        </w:rPr>
        <w:tab/>
      </w:r>
      <w:r>
        <w:rPr>
          <w:rStyle w:val="FootnoteReference"/>
          <w:rFonts w:ascii="Verdana" w:hAnsi="Verdana"/>
          <w:sz w:val="16"/>
          <w:vertAlign w:val="baseline"/>
        </w:rPr>
        <w:t>Commission Regulation (EC) No 883/2006 of 21 June 2006 laying down detailed rules for the application of Council Regulation (EC) No 1290/2005 as regards the keeping of accounts by the paying agencies, declarations of expenditure and revenue and the conditions for reimbursing expenditure under the EAGF and the EAFRD (OJ L 171, 23.6.2006, p. 1–34).</w:t>
      </w:r>
    </w:p>
    <w:p w:rsidR="00AD2EC1" w:rsidRDefault="00AD2EC1">
      <w:pPr>
        <w:pStyle w:val="FootnoteText"/>
        <w:spacing w:after="0"/>
        <w:ind w:left="284" w:firstLine="0"/>
        <w:rPr>
          <w:rFonts w:ascii="Verdana" w:hAnsi="Verdana"/>
          <w:sz w:val="16"/>
          <w:szCs w:val="16"/>
          <w:lang w:val="en-GB"/>
        </w:rPr>
      </w:pPr>
      <w:r>
        <w:rPr>
          <w:rFonts w:ascii="Verdana" w:hAnsi="Verdana"/>
          <w:sz w:val="16"/>
          <w:szCs w:val="16"/>
        </w:rPr>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w:t>
      </w:r>
      <w:r>
        <w:rPr>
          <w:rFonts w:ascii="Verdana" w:hAnsi="Verdana"/>
          <w:sz w:val="16"/>
          <w:szCs w:val="16"/>
          <w:lang w:val="en-GB"/>
        </w:rPr>
        <w:t> </w:t>
      </w:r>
      <w:r>
        <w:rPr>
          <w:rFonts w:ascii="Verdana" w:hAnsi="Verdana"/>
          <w:sz w:val="16"/>
          <w:szCs w:val="16"/>
        </w:rPr>
        <w:t xml:space="preserve">1083/2006 </w:t>
      </w:r>
      <w:r>
        <w:rPr>
          <w:rFonts w:ascii="Verdana" w:hAnsi="Verdana"/>
          <w:sz w:val="16"/>
          <w:szCs w:val="16"/>
          <w:lang w:val="en-GB"/>
        </w:rPr>
        <w:t>(</w:t>
      </w:r>
      <w:r>
        <w:rPr>
          <w:rFonts w:ascii="Verdana" w:hAnsi="Verdana"/>
          <w:sz w:val="16"/>
          <w:szCs w:val="16"/>
        </w:rPr>
        <w:t>OJ L 347, 20.12.2013, p. 320–469</w:t>
      </w:r>
      <w:r>
        <w:rPr>
          <w:rFonts w:ascii="Verdana" w:hAnsi="Verdana"/>
          <w:sz w:val="16"/>
          <w:szCs w:val="16"/>
          <w:lang w:val="en-GB"/>
        </w:rPr>
        <w:t>).</w:t>
      </w:r>
    </w:p>
    <w:p w:rsidR="00AD2EC1" w:rsidRDefault="00AD2EC1">
      <w:pPr>
        <w:pStyle w:val="FootnoteText"/>
        <w:spacing w:after="0"/>
        <w:ind w:left="284" w:firstLine="0"/>
        <w:rPr>
          <w:lang w:val="en-GB"/>
        </w:rPr>
      </w:pPr>
      <w:r>
        <w:rPr>
          <w:rFonts w:ascii="Verdana" w:hAnsi="Verdana"/>
          <w:sz w:val="16"/>
          <w:szCs w:val="16"/>
        </w:rPr>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w:t>
      </w:r>
      <w:r>
        <w:rPr>
          <w:rFonts w:ascii="Verdana" w:hAnsi="Verdana"/>
          <w:sz w:val="16"/>
          <w:szCs w:val="16"/>
          <w:lang w:val="en-GB"/>
        </w:rPr>
        <w:t> </w:t>
      </w:r>
      <w:r>
        <w:rPr>
          <w:rFonts w:ascii="Verdana" w:hAnsi="Verdana"/>
          <w:sz w:val="16"/>
          <w:szCs w:val="16"/>
        </w:rPr>
        <w:t xml:space="preserve">1083/2006 </w:t>
      </w:r>
      <w:r>
        <w:rPr>
          <w:rFonts w:ascii="Verdana" w:hAnsi="Verdana"/>
          <w:sz w:val="16"/>
          <w:szCs w:val="16"/>
          <w:lang w:val="en-GB"/>
        </w:rPr>
        <w:t>(</w:t>
      </w:r>
      <w:r>
        <w:rPr>
          <w:rFonts w:ascii="Verdana" w:hAnsi="Verdana"/>
          <w:sz w:val="16"/>
          <w:szCs w:val="16"/>
        </w:rPr>
        <w:t>OJ L 347, 20.12.2013, p. 320–469</w:t>
      </w:r>
      <w:r>
        <w:rPr>
          <w:rFonts w:ascii="Verdana" w:hAnsi="Verdana"/>
          <w:sz w:val="16"/>
          <w:szCs w:val="16"/>
          <w:lang w:val="en-GB"/>
        </w:rPr>
        <w:t>).</w:t>
      </w:r>
    </w:p>
  </w:footnote>
  <w:footnote w:id="17">
    <w:p w:rsidR="00AD2EC1" w:rsidRDefault="00AD2EC1">
      <w:pPr>
        <w:pStyle w:val="FootnoteText"/>
        <w:rPr>
          <w:rFonts w:ascii="Verdana" w:hAnsi="Verdana"/>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hAnsi="Verdana"/>
          <w:sz w:val="16"/>
          <w:szCs w:val="16"/>
          <w:lang w:val="en-GB"/>
        </w:rPr>
        <w:tab/>
      </w:r>
      <w:r>
        <w:rPr>
          <w:rFonts w:ascii="Verdana" w:hAnsi="Verdana"/>
          <w:sz w:val="16"/>
          <w:szCs w:val="16"/>
        </w:rPr>
        <w:t>The decision for lifting the suspension related to Estonia was taken in 2013 but officially notified in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51" w:rsidRDefault="00825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51" w:rsidRDefault="008255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51" w:rsidRDefault="008255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C1" w:rsidRDefault="00AD2E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581652A"/>
    <w:multiLevelType w:val="multilevel"/>
    <w:tmpl w:val="0809001F"/>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AC7089E"/>
    <w:multiLevelType w:val="hybridMultilevel"/>
    <w:tmpl w:val="5720CA90"/>
    <w:lvl w:ilvl="0" w:tplc="3B24305A">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1">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2">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14">
    <w:nsid w:val="3A5459E8"/>
    <w:multiLevelType w:val="singleLevel"/>
    <w:tmpl w:val="2188C922"/>
    <w:lvl w:ilvl="0">
      <w:start w:val="1"/>
      <w:numFmt w:val="bullet"/>
      <w:lvlRestart w:val="0"/>
      <w:pStyle w:val="Tiret1"/>
      <w:lvlText w:val="–"/>
      <w:lvlJc w:val="left"/>
      <w:pPr>
        <w:tabs>
          <w:tab w:val="num" w:pos="1417"/>
        </w:tabs>
        <w:ind w:left="1417" w:hanging="567"/>
      </w:pPr>
    </w:lvl>
  </w:abstractNum>
  <w:abstractNum w:abstractNumId="15">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7">
    <w:nsid w:val="3C90278F"/>
    <w:multiLevelType w:val="singleLevel"/>
    <w:tmpl w:val="0FE08974"/>
    <w:lvl w:ilvl="0">
      <w:start w:val="1"/>
      <w:numFmt w:val="bullet"/>
      <w:lvlRestart w:val="0"/>
      <w:pStyle w:val="Tiret3"/>
      <w:lvlText w:val="–"/>
      <w:lvlJc w:val="left"/>
      <w:pPr>
        <w:tabs>
          <w:tab w:val="num" w:pos="2551"/>
        </w:tabs>
        <w:ind w:left="2551" w:hanging="567"/>
      </w:pPr>
    </w:lvl>
  </w:abstractNum>
  <w:abstractNum w:abstractNumId="1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432656"/>
    <w:multiLevelType w:val="multilevel"/>
    <w:tmpl w:val="8E281102"/>
    <w:lvl w:ilvl="0">
      <w:start w:val="2"/>
      <w:numFmt w:val="decimal"/>
      <w:lvlText w:val="%1."/>
      <w:lvlJc w:val="left"/>
      <w:pPr>
        <w:tabs>
          <w:tab w:val="num" w:pos="480"/>
        </w:tabs>
        <w:ind w:left="480" w:hanging="480"/>
      </w:pPr>
      <w:rPr>
        <w:rFonts w:hint="default"/>
        <w:b/>
      </w:rPr>
    </w:lvl>
    <w:lvl w:ilvl="1">
      <w:start w:val="1"/>
      <w:numFmt w:val="decimal"/>
      <w:pStyle w:val="Heading2"/>
      <w:lvlText w:val="%1.%2."/>
      <w:lvlJc w:val="left"/>
      <w:pPr>
        <w:tabs>
          <w:tab w:val="num" w:pos="1026"/>
        </w:tabs>
        <w:ind w:left="1026" w:hanging="600"/>
      </w:pPr>
      <w:rPr>
        <w:rFonts w:ascii="Verdana" w:hAnsi="Verdana" w:hint="default"/>
        <w:sz w:val="22"/>
      </w:rPr>
    </w:lvl>
    <w:lvl w:ilvl="2">
      <w:start w:val="1"/>
      <w:numFmt w:val="none"/>
      <w:pStyle w:val="Heading3"/>
      <w:lvlText w:val="3.1."/>
      <w:lvlJc w:val="left"/>
      <w:pPr>
        <w:tabs>
          <w:tab w:val="num" w:pos="1920"/>
        </w:tabs>
        <w:ind w:left="1920" w:hanging="840"/>
      </w:pPr>
      <w:rPr>
        <w:rFonts w:hint="default"/>
      </w:rPr>
    </w:lvl>
    <w:lvl w:ilvl="3">
      <w:start w:val="1"/>
      <w:numFmt w:val="decimal"/>
      <w:pStyle w:val="Heading4"/>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6">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7">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62970F71"/>
    <w:multiLevelType w:val="singleLevel"/>
    <w:tmpl w:val="5AFA8C72"/>
    <w:lvl w:ilvl="0">
      <w:start w:val="1"/>
      <w:numFmt w:val="bullet"/>
      <w:lvlRestart w:val="0"/>
      <w:pStyle w:val="Tiret2"/>
      <w:lvlText w:val="–"/>
      <w:lvlJc w:val="left"/>
      <w:pPr>
        <w:tabs>
          <w:tab w:val="num" w:pos="1984"/>
        </w:tabs>
        <w:ind w:left="1984" w:hanging="567"/>
      </w:pPr>
    </w:lvl>
  </w:abstractNum>
  <w:abstractNum w:abstractNumId="3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995580"/>
    <w:multiLevelType w:val="singleLevel"/>
    <w:tmpl w:val="75CC7CBA"/>
    <w:lvl w:ilvl="0">
      <w:start w:val="1"/>
      <w:numFmt w:val="decimal"/>
      <w:lvlRestart w:val="0"/>
      <w:pStyle w:val="Considrant"/>
      <w:lvlText w:val="(%1)"/>
      <w:lvlJc w:val="left"/>
      <w:pPr>
        <w:tabs>
          <w:tab w:val="num" w:pos="709"/>
        </w:tabs>
        <w:ind w:left="709" w:hanging="709"/>
      </w:pPr>
    </w:lvl>
  </w:abstractNum>
  <w:abstractNum w:abstractNumId="35">
    <w:nsid w:val="6B781E33"/>
    <w:multiLevelType w:val="hybridMultilevel"/>
    <w:tmpl w:val="8966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7">
    <w:nsid w:val="748D178B"/>
    <w:multiLevelType w:val="hybridMultilevel"/>
    <w:tmpl w:val="DC26197C"/>
    <w:lvl w:ilvl="0" w:tplc="60BEAD32">
      <w:start w:val="1"/>
      <w:numFmt w:val="bullet"/>
      <w:lvlText w:val="-"/>
      <w:lvlJc w:val="left"/>
      <w:pPr>
        <w:ind w:left="1080" w:hanging="360"/>
      </w:pPr>
      <w:rPr>
        <w:rFonts w:ascii="Arial" w:hAnsi="Aria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38">
    <w:nsid w:val="786A536F"/>
    <w:multiLevelType w:val="hybridMultilevel"/>
    <w:tmpl w:val="324CF18E"/>
    <w:lvl w:ilvl="0" w:tplc="08090001">
      <w:start w:val="1"/>
      <w:numFmt w:val="bullet"/>
      <w:lvlText w:val=""/>
      <w:lvlJc w:val="left"/>
      <w:pPr>
        <w:ind w:left="2204" w:hanging="360"/>
      </w:pPr>
      <w:rPr>
        <w:rFonts w:ascii="Symbol" w:hAnsi="Symbol" w:hint="default"/>
      </w:rPr>
    </w:lvl>
    <w:lvl w:ilvl="1" w:tplc="08090003">
      <w:start w:val="1"/>
      <w:numFmt w:val="bullet"/>
      <w:lvlText w:val="o"/>
      <w:lvlJc w:val="left"/>
      <w:pPr>
        <w:ind w:left="2924" w:hanging="360"/>
      </w:pPr>
      <w:rPr>
        <w:rFonts w:ascii="Courier New" w:hAnsi="Courier New" w:cs="Courier New" w:hint="default"/>
      </w:rPr>
    </w:lvl>
    <w:lvl w:ilvl="2" w:tplc="08090005">
      <w:start w:val="1"/>
      <w:numFmt w:val="bullet"/>
      <w:lvlText w:val=""/>
      <w:lvlJc w:val="left"/>
      <w:pPr>
        <w:ind w:left="3644" w:hanging="360"/>
      </w:pPr>
      <w:rPr>
        <w:rFonts w:ascii="Wingdings" w:hAnsi="Wingdings" w:hint="default"/>
      </w:rPr>
    </w:lvl>
    <w:lvl w:ilvl="3" w:tplc="08090001">
      <w:start w:val="1"/>
      <w:numFmt w:val="bullet"/>
      <w:lvlText w:val=""/>
      <w:lvlJc w:val="left"/>
      <w:pPr>
        <w:ind w:left="4364" w:hanging="360"/>
      </w:pPr>
      <w:rPr>
        <w:rFonts w:ascii="Symbol" w:hAnsi="Symbol" w:hint="default"/>
      </w:rPr>
    </w:lvl>
    <w:lvl w:ilvl="4" w:tplc="08090003">
      <w:start w:val="1"/>
      <w:numFmt w:val="bullet"/>
      <w:lvlText w:val="o"/>
      <w:lvlJc w:val="left"/>
      <w:pPr>
        <w:ind w:left="5084" w:hanging="360"/>
      </w:pPr>
      <w:rPr>
        <w:rFonts w:ascii="Courier New" w:hAnsi="Courier New" w:cs="Courier New" w:hint="default"/>
      </w:rPr>
    </w:lvl>
    <w:lvl w:ilvl="5" w:tplc="08090005">
      <w:start w:val="1"/>
      <w:numFmt w:val="bullet"/>
      <w:lvlText w:val=""/>
      <w:lvlJc w:val="left"/>
      <w:pPr>
        <w:ind w:left="5804" w:hanging="360"/>
      </w:pPr>
      <w:rPr>
        <w:rFonts w:ascii="Wingdings" w:hAnsi="Wingdings" w:hint="default"/>
      </w:rPr>
    </w:lvl>
    <w:lvl w:ilvl="6" w:tplc="08090001">
      <w:start w:val="1"/>
      <w:numFmt w:val="bullet"/>
      <w:lvlText w:val=""/>
      <w:lvlJc w:val="left"/>
      <w:pPr>
        <w:ind w:left="6524" w:hanging="360"/>
      </w:pPr>
      <w:rPr>
        <w:rFonts w:ascii="Symbol" w:hAnsi="Symbol" w:hint="default"/>
      </w:rPr>
    </w:lvl>
    <w:lvl w:ilvl="7" w:tplc="08090003">
      <w:start w:val="1"/>
      <w:numFmt w:val="bullet"/>
      <w:lvlText w:val="o"/>
      <w:lvlJc w:val="left"/>
      <w:pPr>
        <w:ind w:left="7244" w:hanging="360"/>
      </w:pPr>
      <w:rPr>
        <w:rFonts w:ascii="Courier New" w:hAnsi="Courier New" w:cs="Courier New" w:hint="default"/>
      </w:rPr>
    </w:lvl>
    <w:lvl w:ilvl="8" w:tplc="08090005">
      <w:start w:val="1"/>
      <w:numFmt w:val="bullet"/>
      <w:lvlText w:val=""/>
      <w:lvlJc w:val="left"/>
      <w:pPr>
        <w:ind w:left="7964" w:hanging="360"/>
      </w:pPr>
      <w:rPr>
        <w:rFonts w:ascii="Wingdings" w:hAnsi="Wingdings" w:hint="default"/>
      </w:rPr>
    </w:lvl>
  </w:abstractNum>
  <w:abstractNum w:abstractNumId="39">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1">
    <w:nsid w:val="7E2F3083"/>
    <w:multiLevelType w:val="hybridMultilevel"/>
    <w:tmpl w:val="A8F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num>
  <w:num w:numId="4">
    <w:abstractNumId w:val="25"/>
  </w:num>
  <w:num w:numId="5">
    <w:abstractNumId w:val="15"/>
  </w:num>
  <w:num w:numId="6">
    <w:abstractNumId w:val="12"/>
  </w:num>
  <w:num w:numId="7">
    <w:abstractNumId w:val="7"/>
  </w:num>
  <w:num w:numId="8">
    <w:abstractNumId w:val="6"/>
  </w:num>
  <w:num w:numId="9">
    <w:abstractNumId w:val="30"/>
  </w:num>
  <w:num w:numId="10">
    <w:abstractNumId w:val="32"/>
  </w:num>
  <w:num w:numId="11">
    <w:abstractNumId w:val="31"/>
  </w:num>
  <w:num w:numId="12">
    <w:abstractNumId w:val="36"/>
  </w:num>
  <w:num w:numId="13">
    <w:abstractNumId w:val="10"/>
  </w:num>
  <w:num w:numId="14">
    <w:abstractNumId w:val="18"/>
  </w:num>
  <w:num w:numId="15">
    <w:abstractNumId w:val="20"/>
  </w:num>
  <w:num w:numId="16">
    <w:abstractNumId w:val="19"/>
  </w:num>
  <w:num w:numId="17">
    <w:abstractNumId w:val="2"/>
  </w:num>
  <w:num w:numId="18">
    <w:abstractNumId w:val="22"/>
  </w:num>
  <w:num w:numId="19">
    <w:abstractNumId w:val="13"/>
  </w:num>
  <w:num w:numId="20">
    <w:abstractNumId w:val="16"/>
  </w:num>
  <w:num w:numId="21">
    <w:abstractNumId w:val="14"/>
  </w:num>
  <w:num w:numId="22">
    <w:abstractNumId w:val="29"/>
  </w:num>
  <w:num w:numId="23">
    <w:abstractNumId w:val="17"/>
  </w:num>
  <w:num w:numId="24">
    <w:abstractNumId w:val="26"/>
  </w:num>
  <w:num w:numId="25">
    <w:abstractNumId w:val="40"/>
  </w:num>
  <w:num w:numId="26">
    <w:abstractNumId w:val="24"/>
  </w:num>
  <w:num w:numId="27">
    <w:abstractNumId w:val="11"/>
  </w:num>
  <w:num w:numId="28">
    <w:abstractNumId w:val="28"/>
  </w:num>
  <w:num w:numId="29">
    <w:abstractNumId w:val="27"/>
  </w:num>
  <w:num w:numId="30">
    <w:abstractNumId w:val="21"/>
  </w:num>
  <w:num w:numId="31">
    <w:abstractNumId w:val="34"/>
  </w:num>
  <w:num w:numId="32">
    <w:abstractNumId w:val="3"/>
  </w:num>
  <w:num w:numId="33">
    <w:abstractNumId w:val="9"/>
  </w:num>
  <w:num w:numId="34">
    <w:abstractNumId w:val="8"/>
  </w:num>
  <w:num w:numId="35">
    <w:abstractNumId w:val="37"/>
  </w:num>
  <w:num w:numId="36">
    <w:abstractNumId w:val="35"/>
  </w:num>
  <w:num w:numId="37">
    <w:abstractNumId w:val="39"/>
  </w:num>
  <w:num w:numId="38">
    <w:abstractNumId w:val="5"/>
  </w:num>
  <w:num w:numId="39">
    <w:abstractNumId w:val="33"/>
  </w:num>
  <w:num w:numId="4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
  </w:num>
  <w:num w:numId="43">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B4DC071A031549EC8BF29971763D41A7"/>
    <w:docVar w:name="LW_CROSSREFERENCE" w:val="&lt;UNUSED&gt;"/>
    <w:docVar w:name="LW_DocType" w:val="NORMAL"/>
    <w:docVar w:name="LW_EMISSION" w:val="8.10.2015"/>
    <w:docVar w:name="LW_EMISSION_ISODATE" w:val="2015-10-08"/>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5) 503"/>
    <w:docVar w:name="LW_REF.INTERNE" w:val="&lt;UNUSED&gt;"/>
    <w:docVar w:name="LW_SOUS.TITRE.OBJ.CP" w:val="&lt;UNUSED&gt;"/>
    <w:docVar w:name="LW_SUPERTITRE" w:val="&lt;UNUSED&gt;"/>
    <w:docVar w:name="LW_TITRE.OBJ.CP" w:val="PROTECTION OF THE EU BUDGET TO END 2014"/>
    <w:docVar w:name="LW_TYPE.DOC.CP" w:val="COMMUNICATION FROM THE COMMISSION"/>
    <w:docVar w:name="LW_TYPE.DOC.CP.USERTEXT" w:val="TO THE EUROPEAN PARLIAMENT, THE COUNCIL AND THE COURT OF AUDITORS"/>
  </w:docVars>
  <w:rsids>
    <w:rsidRoot w:val="008C2902"/>
    <w:rsid w:val="00825551"/>
    <w:rsid w:val="008C2902"/>
    <w:rsid w:val="00AD2EC1"/>
    <w:rsid w:val="00DA7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ne number"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240" w:line="240" w:lineRule="auto"/>
      <w:jc w:val="both"/>
      <w:outlineLvl w:val="0"/>
    </w:pPr>
    <w:rPr>
      <w:rFonts w:ascii="Verdana" w:eastAsia="Times New Roman" w:hAnsi="Verdana"/>
      <w:b/>
      <w:caps/>
      <w:smallCaps/>
      <w:kern w:val="32"/>
      <w:szCs w:val="32"/>
      <w:lang w:val="x-none"/>
    </w:rPr>
  </w:style>
  <w:style w:type="paragraph" w:styleId="Heading2">
    <w:name w:val="heading 2"/>
    <w:basedOn w:val="Normal"/>
    <w:next w:val="Normal"/>
    <w:link w:val="Heading2Char"/>
    <w:uiPriority w:val="9"/>
    <w:unhideWhenUsed/>
    <w:qFormat/>
    <w:pPr>
      <w:keepNext/>
      <w:numPr>
        <w:ilvl w:val="1"/>
        <w:numId w:val="3"/>
      </w:numPr>
      <w:spacing w:before="240" w:after="60"/>
      <w:outlineLvl w:val="1"/>
    </w:pPr>
    <w:rPr>
      <w:rFonts w:ascii="Cambria" w:eastAsia="Times New Roman" w:hAnsi="Cambria"/>
      <w:b/>
      <w:bCs/>
      <w:i/>
      <w:iCs/>
      <w:sz w:val="28"/>
      <w:szCs w:val="28"/>
      <w:lang w:val="x-none"/>
    </w:rPr>
  </w:style>
  <w:style w:type="paragraph" w:styleId="Heading3">
    <w:name w:val="heading 3"/>
    <w:basedOn w:val="Normal"/>
    <w:next w:val="Text3"/>
    <w:link w:val="Heading3Char"/>
    <w:qFormat/>
    <w:pPr>
      <w:keepNext/>
      <w:numPr>
        <w:ilvl w:val="2"/>
        <w:numId w:val="3"/>
      </w:numPr>
      <w:spacing w:after="240" w:line="240" w:lineRule="auto"/>
      <w:jc w:val="both"/>
      <w:outlineLvl w:val="2"/>
    </w:pPr>
    <w:rPr>
      <w:rFonts w:ascii="Times New Roman" w:eastAsia="Times New Roman" w:hAnsi="Times New Roman"/>
      <w:i/>
      <w:sz w:val="24"/>
      <w:szCs w:val="20"/>
      <w:lang w:val="x-none"/>
    </w:rPr>
  </w:style>
  <w:style w:type="paragraph" w:styleId="Heading4">
    <w:name w:val="heading 4"/>
    <w:basedOn w:val="Normal"/>
    <w:next w:val="Text4"/>
    <w:link w:val="Heading4Char"/>
    <w:qFormat/>
    <w:pPr>
      <w:keepNext/>
      <w:numPr>
        <w:ilvl w:val="3"/>
        <w:numId w:val="3"/>
      </w:numPr>
      <w:spacing w:after="240" w:line="240" w:lineRule="auto"/>
      <w:jc w:val="both"/>
      <w:outlineLvl w:val="3"/>
    </w:pPr>
    <w:rPr>
      <w:rFonts w:ascii="Times New Roman" w:eastAsia="Times New Roman" w:hAnsi="Times New Roman"/>
      <w:sz w:val="24"/>
      <w:szCs w:val="20"/>
      <w:lang w:val="x-none"/>
    </w:rPr>
  </w:style>
  <w:style w:type="paragraph" w:styleId="Heading5">
    <w:name w:val="heading 5"/>
    <w:basedOn w:val="Normal"/>
    <w:next w:val="Normal"/>
    <w:link w:val="Heading5Char"/>
    <w:qFormat/>
    <w:pPr>
      <w:spacing w:before="240" w:after="60" w:line="240" w:lineRule="auto"/>
      <w:ind w:left="3332" w:hanging="708"/>
      <w:jc w:val="both"/>
      <w:outlineLvl w:val="4"/>
    </w:pPr>
    <w:rPr>
      <w:rFonts w:ascii="Arial" w:eastAsia="Times New Roman" w:hAnsi="Arial"/>
      <w:szCs w:val="20"/>
      <w:lang w:val="x-none"/>
    </w:rPr>
  </w:style>
  <w:style w:type="paragraph" w:styleId="Heading6">
    <w:name w:val="heading 6"/>
    <w:basedOn w:val="Normal"/>
    <w:next w:val="Normal"/>
    <w:link w:val="Heading6Char"/>
    <w:qFormat/>
    <w:pPr>
      <w:spacing w:before="240" w:after="60" w:line="240" w:lineRule="auto"/>
      <w:ind w:left="4040" w:hanging="708"/>
      <w:jc w:val="both"/>
      <w:outlineLvl w:val="5"/>
    </w:pPr>
    <w:rPr>
      <w:rFonts w:ascii="Arial" w:eastAsia="Times New Roman" w:hAnsi="Arial"/>
      <w:i/>
      <w:szCs w:val="20"/>
      <w:lang w:val="x-none"/>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sz w:val="20"/>
      <w:szCs w:val="20"/>
      <w:lang w:val="x-none"/>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i/>
      <w:sz w:val="20"/>
      <w:szCs w:val="20"/>
      <w:lang w:val="x-none"/>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i/>
      <w:sz w:val="18"/>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13"/>
        <w:tab w:val="right" w:pos="9026"/>
      </w:tabs>
    </w:pPr>
    <w:rPr>
      <w:lang w:val="x-none"/>
    </w:r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rPr>
      <w:lang w:val="x-none"/>
    </w:rPr>
  </w:style>
  <w:style w:type="character" w:customStyle="1" w:styleId="FooterChar">
    <w:name w:val="Footer Char"/>
    <w:link w:val="Foot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styleId="Hyperlink">
    <w:name w:val="Hyperlink"/>
    <w:uiPriority w:val="99"/>
    <w:unhideWhenUsed/>
    <w:rPr>
      <w:color w:val="0000FF"/>
      <w:u w:val="single"/>
    </w:rPr>
  </w:style>
  <w:style w:type="character" w:customStyle="1" w:styleId="Heading1Char">
    <w:name w:val="Heading 1 Char"/>
    <w:link w:val="Heading1"/>
    <w:rPr>
      <w:rFonts w:ascii="Verdana" w:eastAsia="Times New Roman" w:hAnsi="Verdana"/>
      <w:b/>
      <w:caps/>
      <w:smallCaps/>
      <w:kern w:val="32"/>
      <w:sz w:val="22"/>
      <w:szCs w:val="32"/>
      <w:lang w:val="x-none" w:eastAsia="en-US"/>
    </w:rPr>
  </w:style>
  <w:style w:type="paragraph" w:styleId="TOCHeading">
    <w:name w:val="TOC Heading"/>
    <w:basedOn w:val="Normal"/>
    <w:next w:val="Normal"/>
    <w:uiPriority w:val="39"/>
    <w:unhideWhenUsed/>
    <w:qFormat/>
    <w:pPr>
      <w:spacing w:before="120" w:after="240" w:line="240" w:lineRule="auto"/>
      <w:jc w:val="center"/>
    </w:pPr>
    <w:rPr>
      <w:rFonts w:ascii="Times New Roman" w:hAnsi="Times New Roman"/>
      <w:b/>
      <w:sz w:val="28"/>
      <w:szCs w:val="20"/>
      <w:lang w:eastAsia="en-GB"/>
    </w:rPr>
  </w:style>
  <w:style w:type="paragraph" w:styleId="TOC1">
    <w:name w:val="toc 1"/>
    <w:basedOn w:val="Normal"/>
    <w:next w:val="Normal"/>
    <w:uiPriority w:val="39"/>
    <w:unhideWhenUsed/>
    <w:pPr>
      <w:tabs>
        <w:tab w:val="right" w:leader="dot" w:pos="9071"/>
      </w:tabs>
      <w:spacing w:before="60" w:after="120" w:line="240" w:lineRule="auto"/>
      <w:ind w:left="850" w:hanging="850"/>
    </w:pPr>
    <w:rPr>
      <w:rFonts w:ascii="Times New Roman" w:hAnsi="Times New Roman"/>
      <w:sz w:val="24"/>
      <w:szCs w:val="20"/>
      <w:lang w:eastAsia="en-GB"/>
    </w:rPr>
  </w:style>
  <w:style w:type="paragraph" w:styleId="TOC2">
    <w:name w:val="toc 2"/>
    <w:basedOn w:val="Normal"/>
    <w:next w:val="Normal"/>
    <w:uiPriority w:val="39"/>
    <w:unhideWhenUsed/>
    <w:pPr>
      <w:tabs>
        <w:tab w:val="right" w:leader="dot" w:pos="9071"/>
      </w:tabs>
      <w:spacing w:before="60" w:after="120" w:line="240" w:lineRule="auto"/>
      <w:ind w:left="850" w:hanging="850"/>
    </w:pPr>
    <w:rPr>
      <w:rFonts w:ascii="Times New Roman" w:hAnsi="Times New Roman"/>
      <w:sz w:val="24"/>
      <w:szCs w:val="20"/>
      <w:lang w:eastAsia="en-GB"/>
    </w:rPr>
  </w:style>
  <w:style w:type="character" w:customStyle="1" w:styleId="Heading2Char">
    <w:name w:val="Heading 2 Char"/>
    <w:link w:val="Heading2"/>
    <w:uiPriority w:val="9"/>
    <w:rPr>
      <w:rFonts w:ascii="Cambria" w:eastAsia="Times New Roman" w:hAnsi="Cambria"/>
      <w:b/>
      <w:bCs/>
      <w:i/>
      <w:iCs/>
      <w:sz w:val="28"/>
      <w:szCs w:val="28"/>
      <w:lang w:val="x-none" w:eastAsia="en-US"/>
    </w:rPr>
  </w:style>
  <w:style w:type="character" w:customStyle="1" w:styleId="Heading3Char">
    <w:name w:val="Heading 3 Char"/>
    <w:link w:val="Heading3"/>
    <w:rPr>
      <w:rFonts w:ascii="Times New Roman" w:eastAsia="Times New Roman" w:hAnsi="Times New Roman"/>
      <w:i/>
      <w:sz w:val="24"/>
      <w:lang w:val="x-none" w:eastAsia="en-US"/>
    </w:rPr>
  </w:style>
  <w:style w:type="character" w:customStyle="1" w:styleId="Heading4Char">
    <w:name w:val="Heading 4 Char"/>
    <w:link w:val="Heading4"/>
    <w:rPr>
      <w:rFonts w:ascii="Times New Roman" w:eastAsia="Times New Roman" w:hAnsi="Times New Roman"/>
      <w:sz w:val="24"/>
      <w:lang w:val="x-none" w:eastAsia="en-US"/>
    </w:rPr>
  </w:style>
  <w:style w:type="character" w:customStyle="1" w:styleId="Heading5Char">
    <w:name w:val="Heading 5 Char"/>
    <w:link w:val="Heading5"/>
    <w:rPr>
      <w:rFonts w:ascii="Arial" w:eastAsia="Times New Roman" w:hAnsi="Arial"/>
      <w:sz w:val="22"/>
      <w:lang w:eastAsia="en-US"/>
    </w:rPr>
  </w:style>
  <w:style w:type="character" w:customStyle="1" w:styleId="Heading6Char">
    <w:name w:val="Heading 6 Char"/>
    <w:link w:val="Heading6"/>
    <w:rPr>
      <w:rFonts w:ascii="Arial" w:eastAsia="Times New Roman" w:hAnsi="Arial"/>
      <w:i/>
      <w:sz w:val="22"/>
      <w:lang w:eastAsia="en-US"/>
    </w:rPr>
  </w:style>
  <w:style w:type="character" w:customStyle="1" w:styleId="Heading7Char">
    <w:name w:val="Heading 7 Char"/>
    <w:link w:val="Heading7"/>
    <w:rPr>
      <w:rFonts w:ascii="Arial" w:eastAsia="Times New Roman" w:hAnsi="Arial"/>
      <w:lang w:eastAsia="en-US"/>
    </w:rPr>
  </w:style>
  <w:style w:type="character" w:customStyle="1" w:styleId="Heading8Char">
    <w:name w:val="Heading 8 Char"/>
    <w:link w:val="Heading8"/>
    <w:rPr>
      <w:rFonts w:ascii="Arial" w:eastAsia="Times New Roman" w:hAnsi="Arial"/>
      <w:i/>
      <w:lang w:eastAsia="en-US"/>
    </w:rPr>
  </w:style>
  <w:style w:type="character" w:customStyle="1" w:styleId="Heading9Char">
    <w:name w:val="Heading 9 Char"/>
    <w:link w:val="Heading9"/>
    <w:rPr>
      <w:rFonts w:ascii="Arial" w:eastAsia="Times New Roman" w:hAnsi="Arial"/>
      <w:i/>
      <w:sz w:val="18"/>
      <w:lang w:eastAsia="en-US"/>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line="240" w:lineRule="auto"/>
      <w:ind w:left="1916"/>
      <w:jc w:val="both"/>
    </w:pPr>
    <w:rPr>
      <w:rFonts w:ascii="Times New Roman" w:eastAsia="Times New Roman" w:hAnsi="Times New Roman"/>
      <w:sz w:val="24"/>
      <w:szCs w:val="20"/>
    </w:rPr>
  </w:style>
  <w:style w:type="paragraph" w:customStyle="1" w:styleId="Text4">
    <w:name w:val="Text 4"/>
    <w:basedOn w:val="Normal"/>
    <w:pPr>
      <w:spacing w:after="240" w:line="240" w:lineRule="auto"/>
      <w:ind w:left="2880"/>
      <w:jc w:val="both"/>
    </w:pPr>
    <w:rPr>
      <w:rFonts w:ascii="Times New Roman" w:eastAsia="Times New Roman" w:hAnsi="Times New Roman"/>
      <w:sz w:val="24"/>
      <w:szCs w:val="20"/>
    </w:rPr>
  </w:style>
  <w:style w:type="paragraph" w:customStyle="1" w:styleId="Address">
    <w:name w:val="Address"/>
    <w:basedOn w:val="Normal"/>
    <w:pPr>
      <w:spacing w:after="0" w:line="240" w:lineRule="auto"/>
    </w:pPr>
    <w:rPr>
      <w:rFonts w:ascii="Times New Roman" w:eastAsia="Times New Roman" w:hAnsi="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lang w:val="x-none"/>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lang w:val="x-none"/>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line="240" w:lineRule="auto"/>
      <w:jc w:val="both"/>
    </w:pPr>
    <w:rPr>
      <w:rFonts w:ascii="Times New Roman" w:eastAsia="Times New Roman" w:hAnsi="Times New Roman"/>
      <w:sz w:val="16"/>
      <w:szCs w:val="20"/>
      <w:lang w:val="x-none"/>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szCs w:val="20"/>
      <w:lang w:val="x-none"/>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lang w:val="x-none"/>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szCs w:val="20"/>
      <w:lang w:val="x-none"/>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styleId="Caption">
    <w:name w:val="caption"/>
    <w:basedOn w:val="Normal"/>
    <w:next w:val="Normal"/>
    <w:qFormat/>
    <w:pPr>
      <w:spacing w:before="120" w:after="120" w:line="240" w:lineRule="auto"/>
      <w:jc w:val="both"/>
    </w:pPr>
    <w:rPr>
      <w:rFonts w:ascii="Times New Roman" w:eastAsia="Times New Roman" w:hAnsi="Times New Roman"/>
      <w:b/>
      <w:sz w:val="24"/>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sz w:val="24"/>
      <w:szCs w:val="20"/>
      <w:lang w:val="x-none"/>
    </w:rPr>
  </w:style>
  <w:style w:type="character" w:customStyle="1" w:styleId="ClosingChar">
    <w:name w:val="Closing Char"/>
    <w:link w:val="Closing"/>
    <w:rPr>
      <w:rFonts w:ascii="Times New Roman" w:eastAsia="Times New Roman" w:hAnsi="Times New Roman"/>
      <w:sz w:val="24"/>
      <w:lang w:eastAsia="en-US"/>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sz w:val="24"/>
      <w:szCs w:val="20"/>
      <w:lang w:val="x-none"/>
    </w:rPr>
  </w:style>
  <w:style w:type="character" w:customStyle="1" w:styleId="SignatureChar">
    <w:name w:val="Signature Char"/>
    <w:link w:val="Signature"/>
    <w:uiPriority w:val="99"/>
    <w:rPr>
      <w:rFonts w:ascii="Times New Roman" w:eastAsia="Times New Roman" w:hAnsi="Times New Roman"/>
      <w:sz w:val="24"/>
      <w:lang w:eastAsia="en-US"/>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paragraph" w:styleId="CommentText">
    <w:name w:val="annotation text"/>
    <w:basedOn w:val="Normal"/>
    <w:link w:val="CommentTextChar"/>
    <w:semiHidden/>
    <w:pPr>
      <w:spacing w:after="240" w:line="240" w:lineRule="auto"/>
      <w:jc w:val="both"/>
    </w:pPr>
    <w:rPr>
      <w:rFonts w:ascii="Times New Roman" w:eastAsia="Times New Roman" w:hAnsi="Times New Roman"/>
      <w:sz w:val="20"/>
      <w:szCs w:val="20"/>
      <w:lang w:val="x-none"/>
    </w:rPr>
  </w:style>
  <w:style w:type="character" w:customStyle="1" w:styleId="CommentTextChar">
    <w:name w:val="Comment Text Char"/>
    <w:link w:val="CommentText"/>
    <w:semiHidden/>
    <w:rPr>
      <w:rFonts w:ascii="Times New Roman" w:eastAsia="Times New Roman" w:hAnsi="Times New Roman"/>
      <w:lang w:eastAsia="en-US"/>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szCs w:val="20"/>
      <w:lang w:val="x-none"/>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szCs w:val="20"/>
      <w:lang w:val="x-none"/>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sz w:val="20"/>
      <w:szCs w:val="20"/>
      <w:lang w:val="x-none"/>
    </w:rPr>
  </w:style>
  <w:style w:type="character" w:customStyle="1" w:styleId="EndnoteTextChar">
    <w:name w:val="Endnote Text Char"/>
    <w:link w:val="EndnoteText"/>
    <w:semiHidden/>
    <w:rPr>
      <w:rFonts w:ascii="Times New Roman" w:eastAsia="Times New Roman" w:hAnsi="Times New Roman"/>
      <w:lang w:eastAsia="en-US"/>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sz w:val="20"/>
      <w:szCs w:val="20"/>
    </w:rPr>
  </w:style>
  <w:style w:type="paragraph" w:styleId="FootnoteText">
    <w:name w:val="footnote text"/>
    <w:basedOn w:val="Normal"/>
    <w:link w:val="FootnoteTextChar"/>
    <w:uiPriority w:val="99"/>
    <w:semiHidden/>
    <w:pPr>
      <w:spacing w:after="240" w:line="240" w:lineRule="auto"/>
      <w:ind w:left="357" w:hanging="357"/>
      <w:jc w:val="both"/>
    </w:pPr>
    <w:rPr>
      <w:rFonts w:ascii="Times New Roman" w:eastAsia="Times New Roman" w:hAnsi="Times New Roman"/>
      <w:sz w:val="20"/>
      <w:szCs w:val="20"/>
      <w:lang w:val="x-none"/>
    </w:rPr>
  </w:style>
  <w:style w:type="character" w:customStyle="1" w:styleId="FootnoteTextChar">
    <w:name w:val="Footnote Text Char"/>
    <w:link w:val="FootnoteText"/>
    <w:uiPriority w:val="99"/>
    <w:semiHidden/>
    <w:rPr>
      <w:rFonts w:ascii="Times New Roman" w:eastAsia="Times New Roman" w:hAnsi="Times New Roman"/>
      <w:lang w:eastAsia="en-US"/>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sz w:val="24"/>
      <w:szCs w:val="20"/>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szCs w:val="20"/>
    </w:r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sz w:val="24"/>
      <w:szCs w:val="20"/>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szCs w:val="20"/>
    </w:r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sz w:val="24"/>
      <w:szCs w:val="20"/>
      <w:lang w:val="x-none"/>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line="240" w:lineRule="auto"/>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szCs w:val="20"/>
      <w:lang w:val="x-none"/>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spacing w:before="0"/>
      <w:outlineLvl w:val="9"/>
    </w:pPr>
    <w:rPr>
      <w:rFonts w:ascii="Times New Roman" w:hAnsi="Times New Roman"/>
      <w:b w:val="0"/>
      <w:bCs/>
      <w:kern w:val="0"/>
      <w:sz w:val="24"/>
      <w:szCs w:val="20"/>
    </w:rPr>
  </w:style>
  <w:style w:type="paragraph" w:customStyle="1" w:styleId="NumPar2">
    <w:name w:val="NumPar 2"/>
    <w:basedOn w:val="Heading2"/>
    <w:next w:val="Text2"/>
    <w:pPr>
      <w:keepNext w:val="0"/>
      <w:numPr>
        <w:numId w:val="0"/>
      </w:numPr>
      <w:tabs>
        <w:tab w:val="num" w:pos="1080"/>
      </w:tabs>
      <w:spacing w:before="0" w:after="240" w:line="240" w:lineRule="auto"/>
      <w:ind w:left="1080" w:hanging="600"/>
      <w:jc w:val="both"/>
      <w:outlineLvl w:val="9"/>
    </w:pPr>
    <w:rPr>
      <w:rFonts w:ascii="Times New Roman" w:hAnsi="Times New Roman"/>
      <w:b w:val="0"/>
      <w:bCs w:val="0"/>
      <w:i w:val="0"/>
      <w:iCs w:val="0"/>
      <w:sz w:val="24"/>
      <w:szCs w:val="20"/>
    </w:rPr>
  </w:style>
  <w:style w:type="paragraph" w:customStyle="1" w:styleId="NumPar3">
    <w:name w:val="NumPar 3"/>
    <w:basedOn w:val="Heading3"/>
    <w:next w:val="Text3"/>
    <w:pPr>
      <w:keepNext w:val="0"/>
      <w:numPr>
        <w:numId w:val="0"/>
      </w:numPr>
      <w:tabs>
        <w:tab w:val="num" w:pos="1920"/>
      </w:tabs>
      <w:ind w:left="1920" w:hanging="840"/>
      <w:outlineLvl w:val="9"/>
    </w:pPr>
    <w:rPr>
      <w:i w:val="0"/>
    </w:rPr>
  </w:style>
  <w:style w:type="paragraph" w:customStyle="1" w:styleId="NumPar4">
    <w:name w:val="NumPar 4"/>
    <w:basedOn w:val="Heading4"/>
    <w:next w:val="Text4"/>
    <w:pPr>
      <w:keepNext w:val="0"/>
      <w:numPr>
        <w:numId w:val="0"/>
      </w:numPr>
      <w:tabs>
        <w:tab w:val="num" w:pos="2880"/>
      </w:tabs>
      <w:ind w:left="2880" w:hanging="960"/>
      <w:outlineLvl w:val="9"/>
    </w:pPr>
  </w:style>
  <w:style w:type="paragraph" w:styleId="PlainText">
    <w:name w:val="Plain Text"/>
    <w:basedOn w:val="Normal"/>
    <w:link w:val="PlainTextChar"/>
    <w:uiPriority w:val="99"/>
    <w:pPr>
      <w:spacing w:after="240" w:line="240" w:lineRule="auto"/>
      <w:jc w:val="both"/>
    </w:pPr>
    <w:rPr>
      <w:rFonts w:ascii="Courier New" w:eastAsia="Times New Roman" w:hAnsi="Courier New"/>
      <w:sz w:val="20"/>
      <w:szCs w:val="20"/>
      <w:lang w:val="x-none"/>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szCs w:val="20"/>
      <w:lang w:val="x-none"/>
    </w:rPr>
  </w:style>
  <w:style w:type="character" w:customStyle="1" w:styleId="SalutationChar">
    <w:name w:val="Salutation Char"/>
    <w:link w:val="Salutation"/>
    <w:rPr>
      <w:rFonts w:ascii="Times New Roman" w:eastAsia="Times New Roman" w:hAnsi="Times New Roman"/>
      <w:sz w:val="24"/>
      <w:lang w:eastAsia="en-US"/>
    </w:rPr>
  </w:style>
  <w:style w:type="paragraph" w:styleId="Subtitle">
    <w:name w:val="Subtitle"/>
    <w:basedOn w:val="Normal"/>
    <w:link w:val="SubtitleChar"/>
    <w:qFormat/>
    <w:pPr>
      <w:spacing w:after="60" w:line="240" w:lineRule="auto"/>
      <w:jc w:val="center"/>
      <w:outlineLvl w:val="1"/>
    </w:pPr>
    <w:rPr>
      <w:rFonts w:ascii="Arial" w:eastAsia="Times New Roman" w:hAnsi="Arial"/>
      <w:sz w:val="24"/>
      <w:szCs w:val="20"/>
      <w:lang w:val="x-none"/>
    </w:rPr>
  </w:style>
  <w:style w:type="character" w:customStyle="1" w:styleId="SubtitleChar">
    <w:name w:val="Subtitle Char"/>
    <w:link w:val="Subtitle"/>
    <w:rPr>
      <w:rFonts w:ascii="Arial" w:eastAsia="Times New Roman" w:hAnsi="Arial"/>
      <w:sz w:val="24"/>
      <w:lang w:eastAsia="en-US"/>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b/>
      <w:kern w:val="28"/>
      <w:sz w:val="32"/>
      <w:szCs w:val="20"/>
      <w:lang w:val="x-none"/>
    </w:rPr>
  </w:style>
  <w:style w:type="character" w:customStyle="1" w:styleId="TitleChar">
    <w:name w:val="Title Char"/>
    <w:link w:val="Title"/>
    <w:rPr>
      <w:rFonts w:ascii="Arial" w:eastAsia="Times New Roman" w:hAnsi="Arial"/>
      <w:b/>
      <w:kern w:val="28"/>
      <w:sz w:val="32"/>
      <w:lang w:eastAsia="en-US"/>
    </w:rPr>
  </w:style>
  <w:style w:type="paragraph" w:styleId="TOAHeading">
    <w:name w:val="toa heading"/>
    <w:basedOn w:val="Normal"/>
    <w:next w:val="Normal"/>
    <w:semiHidden/>
    <w:pPr>
      <w:spacing w:before="120" w:after="240" w:line="240" w:lineRule="auto"/>
      <w:jc w:val="both"/>
    </w:pPr>
    <w:rPr>
      <w:rFonts w:ascii="Arial" w:eastAsia="Times New Roman" w:hAnsi="Arial"/>
      <w:b/>
      <w:sz w:val="24"/>
      <w:szCs w:val="20"/>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Contact">
    <w:name w:val="Contact"/>
    <w:basedOn w:val="Normal"/>
    <w:next w:val="Enclosures"/>
    <w:uiPriority w:val="99"/>
    <w:pPr>
      <w:spacing w:before="480" w:after="0" w:line="240" w:lineRule="auto"/>
      <w:ind w:left="567" w:hanging="567"/>
    </w:pPr>
    <w:rPr>
      <w:rFonts w:ascii="Times New Roman" w:eastAsia="Times New Roman" w:hAnsi="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i/>
      <w:sz w:val="24"/>
      <w:szCs w:val="20"/>
    </w:rPr>
  </w:style>
  <w:style w:type="character" w:styleId="FollowedHyperlink">
    <w:name w:val="FollowedHyperlink"/>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b/>
      <w:caps/>
      <w:color w:val="FF0000"/>
      <w:sz w:val="32"/>
      <w:szCs w:val="20"/>
      <w:bdr w:val="single" w:sz="18" w:space="0" w:color="FF0000"/>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FootnoteReference">
    <w:name w:val="footnote reference"/>
    <w:aliases w:val="EN Footnote Reference,-E Fußnotenzeichen,BVI fnr,Footnote,Footnote symbol,Footnote number,Footnote Reference Number,Footnote reference number,Times 10 Point,Exposant 3 Point,Footnote Reference Superscript,note TESI, BVI fnr,Appel note"/>
    <w:link w:val="FootnotesymbolCharChar"/>
    <w:uiPriority w:val="99"/>
    <w:rPr>
      <w:vertAlign w:val="superscript"/>
    </w:rPr>
  </w:style>
  <w:style w:type="character" w:styleId="PageNumber">
    <w:name w:val="page number"/>
  </w:style>
  <w:style w:type="paragraph" w:customStyle="1" w:styleId="Style10">
    <w:name w:val="Style 1"/>
    <w:basedOn w:val="Normal"/>
    <w:pPr>
      <w:widowControl w:val="0"/>
      <w:autoSpaceDE w:val="0"/>
      <w:autoSpaceDN w:val="0"/>
      <w:adjustRightInd w:val="0"/>
      <w:spacing w:after="0" w:line="240" w:lineRule="auto"/>
    </w:pPr>
    <w:rPr>
      <w:rFonts w:ascii="Times New Roman" w:eastAsia="Times New Roman" w:hAnsi="Times New Roman"/>
      <w:sz w:val="20"/>
      <w:szCs w:val="24"/>
      <w:lang w:val="en-US"/>
    </w:rPr>
  </w:style>
  <w:style w:type="paragraph" w:customStyle="1" w:styleId="ADPPuce1">
    <w:name w:val="ADP Puce 1"/>
    <w:basedOn w:val="Normal"/>
    <w:pPr>
      <w:numPr>
        <w:numId w:val="19"/>
      </w:numPr>
      <w:spacing w:after="0" w:line="240" w:lineRule="auto"/>
      <w:ind w:left="1080" w:hanging="360"/>
      <w:jc w:val="both"/>
    </w:pPr>
    <w:rPr>
      <w:rFonts w:ascii="Arial" w:eastAsia="Times New Roman" w:hAnsi="Arial"/>
      <w:sz w:val="20"/>
      <w:szCs w:val="24"/>
    </w:rPr>
  </w:style>
  <w:style w:type="character" w:styleId="Emphasis">
    <w:name w:val="Emphasis"/>
    <w:qFormat/>
    <w:rPr>
      <w:i/>
      <w:iCs/>
    </w:rPr>
  </w:style>
  <w:style w:type="character" w:styleId="Strong">
    <w:name w:val="Strong"/>
    <w:qFormat/>
    <w:rPr>
      <w:b/>
      <w:bCs/>
    </w:rPr>
  </w:style>
  <w:style w:type="table" w:styleId="TableGrid">
    <w:name w:val="Table Grid"/>
    <w:basedOn w:val="TableNormal"/>
    <w:pPr>
      <w:spacing w:after="120"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pPr>
      <w:spacing w:before="100" w:beforeAutospacing="1" w:after="100" w:afterAutospacing="1" w:line="220" w:lineRule="atLeast"/>
    </w:pPr>
    <w:rPr>
      <w:rFonts w:ascii="Verdana" w:eastAsia="Times New Roman" w:hAnsi="Verdana"/>
      <w:color w:val="000000"/>
      <w:sz w:val="16"/>
      <w:szCs w:val="16"/>
      <w:lang w:val="en-US"/>
    </w:rPr>
  </w:style>
  <w:style w:type="character" w:styleId="CommentReference">
    <w:name w:val="annotation reference"/>
    <w:semiHidden/>
    <w:rPr>
      <w:rFonts w:cs="Times New Roman"/>
      <w:sz w:val="16"/>
      <w:szCs w:val="16"/>
      <w:shd w:val="clear" w:color="auto" w:fill="auto"/>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sz w:val="24"/>
      <w:szCs w:val="24"/>
    </w:rPr>
  </w:style>
  <w:style w:type="paragraph" w:customStyle="1" w:styleId="NormalCentered">
    <w:name w:val="Normal Centered"/>
    <w:basedOn w:val="Normal"/>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pPr>
      <w:spacing w:before="120" w:after="120" w:line="240" w:lineRule="auto"/>
    </w:pPr>
    <w:rPr>
      <w:rFonts w:ascii="Times New Roman" w:eastAsia="Times New Roman" w:hAnsi="Times New Roman"/>
      <w:sz w:val="24"/>
      <w:szCs w:val="24"/>
    </w:rPr>
  </w:style>
  <w:style w:type="paragraph" w:customStyle="1" w:styleId="NormalRight">
    <w:name w:val="Normal Right"/>
    <w:basedOn w:val="Normal"/>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ascii="Times New Roman" w:eastAsia="Times New Roman" w:hAnsi="Times New Roman"/>
      <w:sz w:val="24"/>
      <w:szCs w:val="24"/>
      <w:u w:val="single"/>
    </w:rPr>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pPr>
      <w:spacing w:after="240" w:line="240" w:lineRule="auto"/>
    </w:pPr>
    <w:rPr>
      <w:rFonts w:ascii="Times New Roman" w:eastAsia="Times New Roman" w:hAnsi="Times New Roman"/>
      <w:sz w:val="24"/>
      <w:szCs w:val="24"/>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sz w:val="24"/>
      <w:szCs w:val="24"/>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sz w:val="24"/>
      <w:szCs w:val="24"/>
    </w:rPr>
  </w:style>
  <w:style w:type="paragraph" w:customStyle="1" w:styleId="Sous-titreobjet">
    <w:name w:val="Sous-titre objet"/>
    <w:basedOn w:val="Normal"/>
    <w:pPr>
      <w:spacing w:after="0" w:line="240" w:lineRule="auto"/>
      <w:jc w:val="center"/>
    </w:pPr>
    <w:rPr>
      <w:rFonts w:ascii="Times New Roman" w:eastAsia="Times New Roman" w:hAnsi="Times New Roman"/>
      <w:b/>
      <w:sz w:val="24"/>
      <w:szCs w:val="24"/>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sz w:val="24"/>
      <w:szCs w:val="24"/>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i/>
      <w:sz w:val="24"/>
      <w:szCs w:val="24"/>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b/>
      <w:sz w:val="24"/>
      <w:szCs w:val="24"/>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i/>
      <w:caps/>
      <w:sz w:val="24"/>
      <w:szCs w:val="24"/>
    </w:rPr>
  </w:style>
  <w:style w:type="paragraph" w:customStyle="1" w:styleId="Supertitre">
    <w:name w:val="Supertitre"/>
    <w:basedOn w:val="Normal"/>
    <w:next w:val="Normal"/>
    <w:pPr>
      <w:spacing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pPr>
      <w:spacing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sz w:val="24"/>
      <w:szCs w:val="24"/>
    </w:rPr>
  </w:style>
  <w:style w:type="paragraph" w:customStyle="1" w:styleId="Rfrenceinterinstitutionelleprliminaire">
    <w:name w:val="Référence interinstitutionelle (préliminaire)"/>
    <w:basedOn w:val="Normal"/>
    <w:next w:val="Normal"/>
    <w:pPr>
      <w:spacing w:after="0" w:line="240" w:lineRule="auto"/>
      <w:ind w:left="5103"/>
    </w:pPr>
    <w:rPr>
      <w:rFonts w:ascii="Times New Roman" w:eastAsia="Times New Roman" w:hAnsi="Times New Roman"/>
      <w:sz w:val="24"/>
      <w:szCs w:val="24"/>
      <w:lang w:eastAsia="de-DE"/>
    </w:rPr>
  </w:style>
  <w:style w:type="paragraph" w:customStyle="1" w:styleId="Sous-titreobjetprliminaire">
    <w:name w:val="Sous-titre objet (préliminaire)"/>
    <w:basedOn w:val="Normal"/>
    <w:pPr>
      <w:spacing w:after="0" w:line="240" w:lineRule="auto"/>
      <w:jc w:val="center"/>
    </w:pPr>
    <w:rPr>
      <w:rFonts w:ascii="Times New Roman" w:eastAsia="Times New Roman" w:hAnsi="Times New Roman"/>
      <w:b/>
      <w:sz w:val="24"/>
      <w:szCs w:val="24"/>
      <w:lang w:eastAsia="de-DE"/>
    </w:rPr>
  </w:style>
  <w:style w:type="paragraph" w:customStyle="1" w:styleId="Statutprliminaire">
    <w:name w:val="Statut (préliminaire)"/>
    <w:basedOn w:val="Normal"/>
    <w:next w:val="Normal"/>
    <w:pPr>
      <w:spacing w:before="360" w:after="0" w:line="240" w:lineRule="auto"/>
      <w:jc w:val="center"/>
    </w:pPr>
    <w:rPr>
      <w:rFonts w:ascii="Times New Roman" w:eastAsia="Times New Roman" w:hAnsi="Times New Roman"/>
      <w:sz w:val="24"/>
      <w:szCs w:val="24"/>
      <w:lang w:eastAsia="de-DE"/>
    </w:rPr>
  </w:style>
  <w:style w:type="paragraph" w:customStyle="1" w:styleId="Titreobjetprliminaire">
    <w:name w:val="Titre objet (préliminaire)"/>
    <w:basedOn w:val="Normal"/>
    <w:next w:val="Normal"/>
    <w:pPr>
      <w:spacing w:before="360" w:after="360" w:line="240" w:lineRule="auto"/>
      <w:jc w:val="center"/>
    </w:pPr>
    <w:rPr>
      <w:rFonts w:ascii="Times New Roman" w:eastAsia="Times New Roman" w:hAnsi="Times New Roman"/>
      <w:b/>
      <w:sz w:val="24"/>
      <w:szCs w:val="24"/>
      <w:lang w:eastAsia="de-DE"/>
    </w:rPr>
  </w:style>
  <w:style w:type="paragraph" w:customStyle="1" w:styleId="Typedudocumentprliminaire">
    <w:name w:val="Type du document (préliminaire)"/>
    <w:basedOn w:val="Normal"/>
    <w:next w:val="Normal"/>
    <w:pPr>
      <w:spacing w:before="360" w:after="0" w:line="240" w:lineRule="auto"/>
      <w:jc w:val="center"/>
    </w:pPr>
    <w:rPr>
      <w:rFonts w:ascii="Times New Roman" w:eastAsia="Times New Roman" w:hAnsi="Times New Roman"/>
      <w:b/>
      <w:sz w:val="24"/>
      <w:szCs w:val="24"/>
      <w:lang w:eastAsia="de-DE"/>
    </w:rPr>
  </w:style>
  <w:style w:type="paragraph" w:styleId="CommentSubject">
    <w:name w:val="annotation subject"/>
    <w:basedOn w:val="CommentText"/>
    <w:next w:val="CommentText"/>
    <w:link w:val="CommentSubjectChar"/>
    <w:semiHidden/>
    <w:pPr>
      <w:spacing w:before="120" w:after="120"/>
    </w:pPr>
    <w:rPr>
      <w:b/>
      <w:bCs/>
      <w:lang w:eastAsia="de-DE"/>
    </w:rPr>
  </w:style>
  <w:style w:type="character" w:customStyle="1" w:styleId="CommentSubjectChar">
    <w:name w:val="Comment Subject Char"/>
    <w:link w:val="CommentSubject"/>
    <w:semiHidden/>
    <w:rPr>
      <w:rFonts w:ascii="Times New Roman" w:eastAsia="Times New Roman" w:hAnsi="Times New Roman"/>
      <w:b/>
      <w:bCs/>
      <w:lang w:eastAsia="de-DE"/>
    </w:rPr>
  </w:style>
  <w:style w:type="paragraph" w:styleId="BalloonText">
    <w:name w:val="Balloon Text"/>
    <w:basedOn w:val="Normal"/>
    <w:link w:val="BalloonTextChar"/>
    <w:semiHidden/>
    <w:pPr>
      <w:spacing w:before="120" w:after="120" w:line="240" w:lineRule="auto"/>
      <w:jc w:val="both"/>
    </w:pPr>
    <w:rPr>
      <w:rFonts w:ascii="Tahoma" w:eastAsia="Times New Roman" w:hAnsi="Tahoma"/>
      <w:sz w:val="16"/>
      <w:szCs w:val="16"/>
      <w:lang w:val="x-none" w:eastAsia="de-DE"/>
    </w:rPr>
  </w:style>
  <w:style w:type="character" w:customStyle="1" w:styleId="BalloonTextChar">
    <w:name w:val="Balloon Text Char"/>
    <w:link w:val="BalloonText"/>
    <w:semiHidden/>
    <w:rPr>
      <w:rFonts w:ascii="Tahoma" w:eastAsia="Times New Roman" w:hAnsi="Tahoma" w:cs="Tahoma"/>
      <w:sz w:val="16"/>
      <w:szCs w:val="16"/>
      <w:lang w:eastAsia="de-DE"/>
    </w:rPr>
  </w:style>
  <w:style w:type="table" w:customStyle="1" w:styleId="TableGrid1">
    <w:name w:val="Table Gri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pPr>
      <w:numPr>
        <w:numId w:val="32"/>
      </w:numPr>
    </w:pPr>
  </w:style>
  <w:style w:type="character" w:styleId="EndnoteReference">
    <w:name w:val="endnote reference"/>
    <w:semiHidden/>
    <w:rPr>
      <w:shd w:val="clear" w:color="auto" w:fill="auto"/>
      <w:vertAlign w:val="superscript"/>
    </w:rPr>
  </w:style>
  <w:style w:type="paragraph" w:customStyle="1" w:styleId="Annexetitreacte">
    <w:name w:val="Annexe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exposglobal">
    <w:name w:val="Annexe titre (exposé global)"/>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fichefinacte">
    <w:name w:val="Annexe titre (fiche fin.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fichefinglobale">
    <w:name w:val="Annexe titre (fiche fin. global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globale">
    <w:name w:val="Annexe titre (global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Exposdesmotifstitreglobal">
    <w:name w:val="Exposé des motifs titre (global)"/>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Langueoriginale">
    <w:name w:val="Langue originale"/>
    <w:basedOn w:val="Normal"/>
    <w:next w:val="Phrasefinale"/>
    <w:pPr>
      <w:spacing w:before="360" w:after="120" w:line="240" w:lineRule="auto"/>
      <w:jc w:val="center"/>
    </w:pPr>
    <w:rPr>
      <w:rFonts w:ascii="Times New Roman" w:eastAsia="Times New Roman" w:hAnsi="Times New Roman"/>
      <w:caps/>
      <w:sz w:val="24"/>
      <w:szCs w:val="24"/>
      <w:lang w:eastAsia="de-DE"/>
    </w:rPr>
  </w:style>
  <w:style w:type="paragraph" w:customStyle="1" w:styleId="Phrasefinale">
    <w:name w:val="Phrase finale"/>
    <w:basedOn w:val="Normal"/>
    <w:next w:val="Normal"/>
    <w:pPr>
      <w:spacing w:before="360" w:after="0" w:line="240" w:lineRule="auto"/>
      <w:jc w:val="center"/>
    </w:pPr>
    <w:rPr>
      <w:rFonts w:ascii="Times New Roman" w:eastAsia="Times New Roman" w:hAnsi="Times New Roman"/>
      <w:sz w:val="24"/>
      <w:szCs w:val="24"/>
      <w:lang w:eastAsia="de-DE"/>
    </w:rPr>
  </w:style>
  <w:style w:type="paragraph" w:customStyle="1" w:styleId="Prliminairetitre">
    <w:name w:val="Préliminaire titre"/>
    <w:basedOn w:val="Normal"/>
    <w:next w:val="Normal"/>
    <w:pPr>
      <w:spacing w:before="360" w:after="360" w:line="240" w:lineRule="auto"/>
      <w:jc w:val="center"/>
    </w:pPr>
    <w:rPr>
      <w:rFonts w:ascii="Times New Roman" w:eastAsia="Times New Roman" w:hAnsi="Times New Roman"/>
      <w:b/>
      <w:sz w:val="24"/>
      <w:szCs w:val="24"/>
      <w:lang w:eastAsia="de-DE"/>
    </w:rPr>
  </w:style>
  <w:style w:type="paragraph" w:customStyle="1" w:styleId="Prliminairetype">
    <w:name w:val="Préliminaire type"/>
    <w:basedOn w:val="Normal"/>
    <w:next w:val="Normal"/>
    <w:pPr>
      <w:spacing w:before="360" w:after="0" w:line="240" w:lineRule="auto"/>
      <w:jc w:val="center"/>
    </w:pPr>
    <w:rPr>
      <w:rFonts w:ascii="Times New Roman" w:eastAsia="Times New Roman" w:hAnsi="Times New Roman"/>
      <w:b/>
      <w:sz w:val="24"/>
      <w:szCs w:val="24"/>
      <w:lang w:eastAsia="de-DE"/>
    </w:rPr>
  </w:style>
  <w:style w:type="paragraph" w:customStyle="1" w:styleId="Rfrenceinstitutionelle">
    <w:name w:val="Référence institutionelle"/>
    <w:basedOn w:val="Normal"/>
    <w:next w:val="Statut"/>
    <w:pPr>
      <w:spacing w:after="240" w:line="240" w:lineRule="auto"/>
      <w:ind w:left="5103"/>
    </w:pPr>
    <w:rPr>
      <w:rFonts w:ascii="Times New Roman" w:eastAsia="Times New Roman" w:hAnsi="Times New Roman"/>
      <w:sz w:val="24"/>
      <w:szCs w:val="24"/>
      <w:lang w:eastAsia="de-DE"/>
    </w:rPr>
  </w:style>
  <w:style w:type="paragraph" w:customStyle="1" w:styleId="Rfrenceinterinstitutionelle">
    <w:name w:val="Référence interinstitutionelle"/>
    <w:basedOn w:val="Normal"/>
    <w:next w:val="Statut"/>
    <w:pPr>
      <w:spacing w:after="0" w:line="240" w:lineRule="auto"/>
      <w:ind w:left="5103"/>
    </w:pPr>
    <w:rPr>
      <w:rFonts w:ascii="Times New Roman" w:eastAsia="Times New Roman" w:hAnsi="Times New Roman"/>
      <w:sz w:val="24"/>
      <w:szCs w:val="24"/>
      <w:lang w:eastAsia="de-DE"/>
    </w:rPr>
  </w:style>
  <w:style w:type="paragraph" w:customStyle="1" w:styleId="Fichefinancirestandardtitre">
    <w:name w:val="Fiche financière (standard)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standardtitreacte">
    <w:name w:val="Fiche financière (standard)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travailtitre">
    <w:name w:val="Fiche financière (travail)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travailtitreacte">
    <w:name w:val="Fiche financière (travail)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attributiontitre">
    <w:name w:val="Fiche financière (attribution)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attributiontitreacte">
    <w:name w:val="Fiche financière (attribution)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szCs w:val="20"/>
    </w:rPr>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33"/>
      </w:numPr>
      <w:spacing w:after="240" w:line="360" w:lineRule="auto"/>
    </w:pPr>
    <w:rPr>
      <w:rFonts w:ascii="Arial" w:eastAsia="Times New Roman" w:hAnsi="Arial"/>
      <w:noProof/>
      <w:sz w:val="24"/>
      <w:szCs w:val="20"/>
      <w:lang w:val="x-none"/>
    </w:rPr>
  </w:style>
  <w:style w:type="paragraph" w:customStyle="1" w:styleId="Para3">
    <w:name w:val="Para_3"/>
    <w:basedOn w:val="Normal"/>
    <w:pPr>
      <w:numPr>
        <w:ilvl w:val="2"/>
        <w:numId w:val="33"/>
      </w:numPr>
      <w:tabs>
        <w:tab w:val="left" w:pos="992"/>
      </w:tabs>
      <w:spacing w:after="240" w:line="360" w:lineRule="auto"/>
    </w:pPr>
    <w:rPr>
      <w:rFonts w:ascii="Arial" w:eastAsia="Times New Roman" w:hAnsi="Arial"/>
      <w:noProof/>
      <w:sz w:val="24"/>
      <w:szCs w:val="20"/>
    </w:rPr>
  </w:style>
  <w:style w:type="paragraph" w:customStyle="1" w:styleId="Para4">
    <w:name w:val="Para_4"/>
    <w:basedOn w:val="Normal"/>
    <w:pPr>
      <w:numPr>
        <w:ilvl w:val="3"/>
        <w:numId w:val="33"/>
      </w:numPr>
      <w:spacing w:after="240" w:line="360" w:lineRule="auto"/>
    </w:pPr>
    <w:rPr>
      <w:rFonts w:ascii="Arial" w:eastAsia="Times New Roman" w:hAnsi="Arial"/>
      <w:sz w:val="24"/>
      <w:szCs w:val="20"/>
    </w:rPr>
  </w:style>
  <w:style w:type="paragraph" w:customStyle="1" w:styleId="Para5">
    <w:name w:val="Para_5"/>
    <w:basedOn w:val="Normal"/>
    <w:pPr>
      <w:numPr>
        <w:ilvl w:val="4"/>
        <w:numId w:val="33"/>
      </w:numPr>
      <w:tabs>
        <w:tab w:val="left" w:pos="567"/>
      </w:tabs>
      <w:spacing w:after="240" w:line="360" w:lineRule="auto"/>
    </w:pPr>
    <w:rPr>
      <w:rFonts w:ascii="Arial" w:eastAsia="Times New Roman" w:hAnsi="Arial"/>
      <w:sz w:val="24"/>
      <w:szCs w:val="20"/>
    </w:rPr>
  </w:style>
  <w:style w:type="character" w:customStyle="1" w:styleId="Para2Char1">
    <w:name w:val="Para_2 Char1"/>
    <w:link w:val="Para2"/>
    <w:rPr>
      <w:rFonts w:ascii="Arial" w:eastAsia="Times New Roman" w:hAnsi="Arial"/>
      <w:noProof/>
      <w:sz w:val="24"/>
      <w:lang w:val="x-none" w:eastAsia="en-US"/>
    </w:rPr>
  </w:style>
  <w:style w:type="paragraph" w:styleId="Revision">
    <w:name w:val="Revision"/>
    <w:hidden/>
    <w:uiPriority w:val="99"/>
    <w:semiHidden/>
    <w:rPr>
      <w:sz w:val="22"/>
      <w:szCs w:val="22"/>
      <w:lang w:eastAsia="en-US"/>
    </w:r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link w:val="FootnoteReference"/>
    <w:uiPriority w:val="99"/>
    <w:pPr>
      <w:spacing w:before="120" w:after="160" w:line="240" w:lineRule="exact"/>
    </w:pPr>
    <w:rPr>
      <w:sz w:val="20"/>
      <w:szCs w:val="20"/>
      <w:vertAlign w:val="superscript"/>
      <w:lang w:eastAsia="en-GB"/>
    </w:rPr>
  </w:style>
  <w:style w:type="paragraph" w:customStyle="1" w:styleId="Textstand-alone">
    <w:name w:val="Text_stand-alone"/>
    <w:basedOn w:val="Normal"/>
    <w:qFormat/>
    <w:pPr>
      <w:spacing w:before="240" w:after="240" w:line="240" w:lineRule="auto"/>
      <w:jc w:val="both"/>
    </w:pPr>
    <w:rPr>
      <w:rFonts w:ascii="Verdana" w:eastAsia="Times New Roman" w:hAnsi="Verdana"/>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ne number"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240" w:line="240" w:lineRule="auto"/>
      <w:jc w:val="both"/>
      <w:outlineLvl w:val="0"/>
    </w:pPr>
    <w:rPr>
      <w:rFonts w:ascii="Verdana" w:eastAsia="Times New Roman" w:hAnsi="Verdana"/>
      <w:b/>
      <w:caps/>
      <w:smallCaps/>
      <w:kern w:val="32"/>
      <w:szCs w:val="32"/>
      <w:lang w:val="x-none"/>
    </w:rPr>
  </w:style>
  <w:style w:type="paragraph" w:styleId="Heading2">
    <w:name w:val="heading 2"/>
    <w:basedOn w:val="Normal"/>
    <w:next w:val="Normal"/>
    <w:link w:val="Heading2Char"/>
    <w:uiPriority w:val="9"/>
    <w:unhideWhenUsed/>
    <w:qFormat/>
    <w:pPr>
      <w:keepNext/>
      <w:numPr>
        <w:ilvl w:val="1"/>
        <w:numId w:val="3"/>
      </w:numPr>
      <w:spacing w:before="240" w:after="60"/>
      <w:outlineLvl w:val="1"/>
    </w:pPr>
    <w:rPr>
      <w:rFonts w:ascii="Cambria" w:eastAsia="Times New Roman" w:hAnsi="Cambria"/>
      <w:b/>
      <w:bCs/>
      <w:i/>
      <w:iCs/>
      <w:sz w:val="28"/>
      <w:szCs w:val="28"/>
      <w:lang w:val="x-none"/>
    </w:rPr>
  </w:style>
  <w:style w:type="paragraph" w:styleId="Heading3">
    <w:name w:val="heading 3"/>
    <w:basedOn w:val="Normal"/>
    <w:next w:val="Text3"/>
    <w:link w:val="Heading3Char"/>
    <w:qFormat/>
    <w:pPr>
      <w:keepNext/>
      <w:numPr>
        <w:ilvl w:val="2"/>
        <w:numId w:val="3"/>
      </w:numPr>
      <w:spacing w:after="240" w:line="240" w:lineRule="auto"/>
      <w:jc w:val="both"/>
      <w:outlineLvl w:val="2"/>
    </w:pPr>
    <w:rPr>
      <w:rFonts w:ascii="Times New Roman" w:eastAsia="Times New Roman" w:hAnsi="Times New Roman"/>
      <w:i/>
      <w:sz w:val="24"/>
      <w:szCs w:val="20"/>
      <w:lang w:val="x-none"/>
    </w:rPr>
  </w:style>
  <w:style w:type="paragraph" w:styleId="Heading4">
    <w:name w:val="heading 4"/>
    <w:basedOn w:val="Normal"/>
    <w:next w:val="Text4"/>
    <w:link w:val="Heading4Char"/>
    <w:qFormat/>
    <w:pPr>
      <w:keepNext/>
      <w:numPr>
        <w:ilvl w:val="3"/>
        <w:numId w:val="3"/>
      </w:numPr>
      <w:spacing w:after="240" w:line="240" w:lineRule="auto"/>
      <w:jc w:val="both"/>
      <w:outlineLvl w:val="3"/>
    </w:pPr>
    <w:rPr>
      <w:rFonts w:ascii="Times New Roman" w:eastAsia="Times New Roman" w:hAnsi="Times New Roman"/>
      <w:sz w:val="24"/>
      <w:szCs w:val="20"/>
      <w:lang w:val="x-none"/>
    </w:rPr>
  </w:style>
  <w:style w:type="paragraph" w:styleId="Heading5">
    <w:name w:val="heading 5"/>
    <w:basedOn w:val="Normal"/>
    <w:next w:val="Normal"/>
    <w:link w:val="Heading5Char"/>
    <w:qFormat/>
    <w:pPr>
      <w:spacing w:before="240" w:after="60" w:line="240" w:lineRule="auto"/>
      <w:ind w:left="3332" w:hanging="708"/>
      <w:jc w:val="both"/>
      <w:outlineLvl w:val="4"/>
    </w:pPr>
    <w:rPr>
      <w:rFonts w:ascii="Arial" w:eastAsia="Times New Roman" w:hAnsi="Arial"/>
      <w:szCs w:val="20"/>
      <w:lang w:val="x-none"/>
    </w:rPr>
  </w:style>
  <w:style w:type="paragraph" w:styleId="Heading6">
    <w:name w:val="heading 6"/>
    <w:basedOn w:val="Normal"/>
    <w:next w:val="Normal"/>
    <w:link w:val="Heading6Char"/>
    <w:qFormat/>
    <w:pPr>
      <w:spacing w:before="240" w:after="60" w:line="240" w:lineRule="auto"/>
      <w:ind w:left="4040" w:hanging="708"/>
      <w:jc w:val="both"/>
      <w:outlineLvl w:val="5"/>
    </w:pPr>
    <w:rPr>
      <w:rFonts w:ascii="Arial" w:eastAsia="Times New Roman" w:hAnsi="Arial"/>
      <w:i/>
      <w:szCs w:val="20"/>
      <w:lang w:val="x-none"/>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sz w:val="20"/>
      <w:szCs w:val="20"/>
      <w:lang w:val="x-none"/>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i/>
      <w:sz w:val="20"/>
      <w:szCs w:val="20"/>
      <w:lang w:val="x-none"/>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i/>
      <w:sz w:val="18"/>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13"/>
        <w:tab w:val="right" w:pos="9026"/>
      </w:tabs>
    </w:pPr>
    <w:rPr>
      <w:lang w:val="x-none"/>
    </w:r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rPr>
      <w:lang w:val="x-none"/>
    </w:rPr>
  </w:style>
  <w:style w:type="character" w:customStyle="1" w:styleId="FooterChar">
    <w:name w:val="Footer Char"/>
    <w:link w:val="Foot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styleId="Hyperlink">
    <w:name w:val="Hyperlink"/>
    <w:uiPriority w:val="99"/>
    <w:unhideWhenUsed/>
    <w:rPr>
      <w:color w:val="0000FF"/>
      <w:u w:val="single"/>
    </w:rPr>
  </w:style>
  <w:style w:type="character" w:customStyle="1" w:styleId="Heading1Char">
    <w:name w:val="Heading 1 Char"/>
    <w:link w:val="Heading1"/>
    <w:rPr>
      <w:rFonts w:ascii="Verdana" w:eastAsia="Times New Roman" w:hAnsi="Verdana"/>
      <w:b/>
      <w:caps/>
      <w:smallCaps/>
      <w:kern w:val="32"/>
      <w:sz w:val="22"/>
      <w:szCs w:val="32"/>
      <w:lang w:val="x-none" w:eastAsia="en-US"/>
    </w:rPr>
  </w:style>
  <w:style w:type="paragraph" w:styleId="TOCHeading">
    <w:name w:val="TOC Heading"/>
    <w:basedOn w:val="Normal"/>
    <w:next w:val="Normal"/>
    <w:uiPriority w:val="39"/>
    <w:unhideWhenUsed/>
    <w:qFormat/>
    <w:pPr>
      <w:spacing w:before="120" w:after="240" w:line="240" w:lineRule="auto"/>
      <w:jc w:val="center"/>
    </w:pPr>
    <w:rPr>
      <w:rFonts w:ascii="Times New Roman" w:hAnsi="Times New Roman"/>
      <w:b/>
      <w:sz w:val="28"/>
      <w:szCs w:val="20"/>
      <w:lang w:eastAsia="en-GB"/>
    </w:rPr>
  </w:style>
  <w:style w:type="paragraph" w:styleId="TOC1">
    <w:name w:val="toc 1"/>
    <w:basedOn w:val="Normal"/>
    <w:next w:val="Normal"/>
    <w:uiPriority w:val="39"/>
    <w:unhideWhenUsed/>
    <w:pPr>
      <w:tabs>
        <w:tab w:val="right" w:leader="dot" w:pos="9071"/>
      </w:tabs>
      <w:spacing w:before="60" w:after="120" w:line="240" w:lineRule="auto"/>
      <w:ind w:left="850" w:hanging="850"/>
    </w:pPr>
    <w:rPr>
      <w:rFonts w:ascii="Times New Roman" w:hAnsi="Times New Roman"/>
      <w:sz w:val="24"/>
      <w:szCs w:val="20"/>
      <w:lang w:eastAsia="en-GB"/>
    </w:rPr>
  </w:style>
  <w:style w:type="paragraph" w:styleId="TOC2">
    <w:name w:val="toc 2"/>
    <w:basedOn w:val="Normal"/>
    <w:next w:val="Normal"/>
    <w:uiPriority w:val="39"/>
    <w:unhideWhenUsed/>
    <w:pPr>
      <w:tabs>
        <w:tab w:val="right" w:leader="dot" w:pos="9071"/>
      </w:tabs>
      <w:spacing w:before="60" w:after="120" w:line="240" w:lineRule="auto"/>
      <w:ind w:left="850" w:hanging="850"/>
    </w:pPr>
    <w:rPr>
      <w:rFonts w:ascii="Times New Roman" w:hAnsi="Times New Roman"/>
      <w:sz w:val="24"/>
      <w:szCs w:val="20"/>
      <w:lang w:eastAsia="en-GB"/>
    </w:rPr>
  </w:style>
  <w:style w:type="character" w:customStyle="1" w:styleId="Heading2Char">
    <w:name w:val="Heading 2 Char"/>
    <w:link w:val="Heading2"/>
    <w:uiPriority w:val="9"/>
    <w:rPr>
      <w:rFonts w:ascii="Cambria" w:eastAsia="Times New Roman" w:hAnsi="Cambria"/>
      <w:b/>
      <w:bCs/>
      <w:i/>
      <w:iCs/>
      <w:sz w:val="28"/>
      <w:szCs w:val="28"/>
      <w:lang w:val="x-none" w:eastAsia="en-US"/>
    </w:rPr>
  </w:style>
  <w:style w:type="character" w:customStyle="1" w:styleId="Heading3Char">
    <w:name w:val="Heading 3 Char"/>
    <w:link w:val="Heading3"/>
    <w:rPr>
      <w:rFonts w:ascii="Times New Roman" w:eastAsia="Times New Roman" w:hAnsi="Times New Roman"/>
      <w:i/>
      <w:sz w:val="24"/>
      <w:lang w:val="x-none" w:eastAsia="en-US"/>
    </w:rPr>
  </w:style>
  <w:style w:type="character" w:customStyle="1" w:styleId="Heading4Char">
    <w:name w:val="Heading 4 Char"/>
    <w:link w:val="Heading4"/>
    <w:rPr>
      <w:rFonts w:ascii="Times New Roman" w:eastAsia="Times New Roman" w:hAnsi="Times New Roman"/>
      <w:sz w:val="24"/>
      <w:lang w:val="x-none" w:eastAsia="en-US"/>
    </w:rPr>
  </w:style>
  <w:style w:type="character" w:customStyle="1" w:styleId="Heading5Char">
    <w:name w:val="Heading 5 Char"/>
    <w:link w:val="Heading5"/>
    <w:rPr>
      <w:rFonts w:ascii="Arial" w:eastAsia="Times New Roman" w:hAnsi="Arial"/>
      <w:sz w:val="22"/>
      <w:lang w:eastAsia="en-US"/>
    </w:rPr>
  </w:style>
  <w:style w:type="character" w:customStyle="1" w:styleId="Heading6Char">
    <w:name w:val="Heading 6 Char"/>
    <w:link w:val="Heading6"/>
    <w:rPr>
      <w:rFonts w:ascii="Arial" w:eastAsia="Times New Roman" w:hAnsi="Arial"/>
      <w:i/>
      <w:sz w:val="22"/>
      <w:lang w:eastAsia="en-US"/>
    </w:rPr>
  </w:style>
  <w:style w:type="character" w:customStyle="1" w:styleId="Heading7Char">
    <w:name w:val="Heading 7 Char"/>
    <w:link w:val="Heading7"/>
    <w:rPr>
      <w:rFonts w:ascii="Arial" w:eastAsia="Times New Roman" w:hAnsi="Arial"/>
      <w:lang w:eastAsia="en-US"/>
    </w:rPr>
  </w:style>
  <w:style w:type="character" w:customStyle="1" w:styleId="Heading8Char">
    <w:name w:val="Heading 8 Char"/>
    <w:link w:val="Heading8"/>
    <w:rPr>
      <w:rFonts w:ascii="Arial" w:eastAsia="Times New Roman" w:hAnsi="Arial"/>
      <w:i/>
      <w:lang w:eastAsia="en-US"/>
    </w:rPr>
  </w:style>
  <w:style w:type="character" w:customStyle="1" w:styleId="Heading9Char">
    <w:name w:val="Heading 9 Char"/>
    <w:link w:val="Heading9"/>
    <w:rPr>
      <w:rFonts w:ascii="Arial" w:eastAsia="Times New Roman" w:hAnsi="Arial"/>
      <w:i/>
      <w:sz w:val="18"/>
      <w:lang w:eastAsia="en-US"/>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line="240" w:lineRule="auto"/>
      <w:ind w:left="1916"/>
      <w:jc w:val="both"/>
    </w:pPr>
    <w:rPr>
      <w:rFonts w:ascii="Times New Roman" w:eastAsia="Times New Roman" w:hAnsi="Times New Roman"/>
      <w:sz w:val="24"/>
      <w:szCs w:val="20"/>
    </w:rPr>
  </w:style>
  <w:style w:type="paragraph" w:customStyle="1" w:styleId="Text4">
    <w:name w:val="Text 4"/>
    <w:basedOn w:val="Normal"/>
    <w:pPr>
      <w:spacing w:after="240" w:line="240" w:lineRule="auto"/>
      <w:ind w:left="2880"/>
      <w:jc w:val="both"/>
    </w:pPr>
    <w:rPr>
      <w:rFonts w:ascii="Times New Roman" w:eastAsia="Times New Roman" w:hAnsi="Times New Roman"/>
      <w:sz w:val="24"/>
      <w:szCs w:val="20"/>
    </w:rPr>
  </w:style>
  <w:style w:type="paragraph" w:customStyle="1" w:styleId="Address">
    <w:name w:val="Address"/>
    <w:basedOn w:val="Normal"/>
    <w:pPr>
      <w:spacing w:after="0" w:line="240" w:lineRule="auto"/>
    </w:pPr>
    <w:rPr>
      <w:rFonts w:ascii="Times New Roman" w:eastAsia="Times New Roman" w:hAnsi="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lang w:val="x-none"/>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lang w:val="x-none"/>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line="240" w:lineRule="auto"/>
      <w:jc w:val="both"/>
    </w:pPr>
    <w:rPr>
      <w:rFonts w:ascii="Times New Roman" w:eastAsia="Times New Roman" w:hAnsi="Times New Roman"/>
      <w:sz w:val="16"/>
      <w:szCs w:val="20"/>
      <w:lang w:val="x-none"/>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szCs w:val="20"/>
      <w:lang w:val="x-none"/>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lang w:val="x-none"/>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szCs w:val="20"/>
      <w:lang w:val="x-none"/>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styleId="Caption">
    <w:name w:val="caption"/>
    <w:basedOn w:val="Normal"/>
    <w:next w:val="Normal"/>
    <w:qFormat/>
    <w:pPr>
      <w:spacing w:before="120" w:after="120" w:line="240" w:lineRule="auto"/>
      <w:jc w:val="both"/>
    </w:pPr>
    <w:rPr>
      <w:rFonts w:ascii="Times New Roman" w:eastAsia="Times New Roman" w:hAnsi="Times New Roman"/>
      <w:b/>
      <w:sz w:val="24"/>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sz w:val="24"/>
      <w:szCs w:val="20"/>
      <w:lang w:val="x-none"/>
    </w:rPr>
  </w:style>
  <w:style w:type="character" w:customStyle="1" w:styleId="ClosingChar">
    <w:name w:val="Closing Char"/>
    <w:link w:val="Closing"/>
    <w:rPr>
      <w:rFonts w:ascii="Times New Roman" w:eastAsia="Times New Roman" w:hAnsi="Times New Roman"/>
      <w:sz w:val="24"/>
      <w:lang w:eastAsia="en-US"/>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sz w:val="24"/>
      <w:szCs w:val="20"/>
      <w:lang w:val="x-none"/>
    </w:rPr>
  </w:style>
  <w:style w:type="character" w:customStyle="1" w:styleId="SignatureChar">
    <w:name w:val="Signature Char"/>
    <w:link w:val="Signature"/>
    <w:uiPriority w:val="99"/>
    <w:rPr>
      <w:rFonts w:ascii="Times New Roman" w:eastAsia="Times New Roman" w:hAnsi="Times New Roman"/>
      <w:sz w:val="24"/>
      <w:lang w:eastAsia="en-US"/>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paragraph" w:styleId="CommentText">
    <w:name w:val="annotation text"/>
    <w:basedOn w:val="Normal"/>
    <w:link w:val="CommentTextChar"/>
    <w:semiHidden/>
    <w:pPr>
      <w:spacing w:after="240" w:line="240" w:lineRule="auto"/>
      <w:jc w:val="both"/>
    </w:pPr>
    <w:rPr>
      <w:rFonts w:ascii="Times New Roman" w:eastAsia="Times New Roman" w:hAnsi="Times New Roman"/>
      <w:sz w:val="20"/>
      <w:szCs w:val="20"/>
      <w:lang w:val="x-none"/>
    </w:rPr>
  </w:style>
  <w:style w:type="character" w:customStyle="1" w:styleId="CommentTextChar">
    <w:name w:val="Comment Text Char"/>
    <w:link w:val="CommentText"/>
    <w:semiHidden/>
    <w:rPr>
      <w:rFonts w:ascii="Times New Roman" w:eastAsia="Times New Roman" w:hAnsi="Times New Roman"/>
      <w:lang w:eastAsia="en-US"/>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szCs w:val="20"/>
      <w:lang w:val="x-none"/>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szCs w:val="20"/>
      <w:lang w:val="x-none"/>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sz w:val="20"/>
      <w:szCs w:val="20"/>
      <w:lang w:val="x-none"/>
    </w:rPr>
  </w:style>
  <w:style w:type="character" w:customStyle="1" w:styleId="EndnoteTextChar">
    <w:name w:val="Endnote Text Char"/>
    <w:link w:val="EndnoteText"/>
    <w:semiHidden/>
    <w:rPr>
      <w:rFonts w:ascii="Times New Roman" w:eastAsia="Times New Roman" w:hAnsi="Times New Roman"/>
      <w:lang w:eastAsia="en-US"/>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sz w:val="20"/>
      <w:szCs w:val="20"/>
    </w:rPr>
  </w:style>
  <w:style w:type="paragraph" w:styleId="FootnoteText">
    <w:name w:val="footnote text"/>
    <w:basedOn w:val="Normal"/>
    <w:link w:val="FootnoteTextChar"/>
    <w:uiPriority w:val="99"/>
    <w:semiHidden/>
    <w:pPr>
      <w:spacing w:after="240" w:line="240" w:lineRule="auto"/>
      <w:ind w:left="357" w:hanging="357"/>
      <w:jc w:val="both"/>
    </w:pPr>
    <w:rPr>
      <w:rFonts w:ascii="Times New Roman" w:eastAsia="Times New Roman" w:hAnsi="Times New Roman"/>
      <w:sz w:val="20"/>
      <w:szCs w:val="20"/>
      <w:lang w:val="x-none"/>
    </w:rPr>
  </w:style>
  <w:style w:type="character" w:customStyle="1" w:styleId="FootnoteTextChar">
    <w:name w:val="Footnote Text Char"/>
    <w:link w:val="FootnoteText"/>
    <w:uiPriority w:val="99"/>
    <w:semiHidden/>
    <w:rPr>
      <w:rFonts w:ascii="Times New Roman" w:eastAsia="Times New Roman" w:hAnsi="Times New Roman"/>
      <w:lang w:eastAsia="en-US"/>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sz w:val="24"/>
      <w:szCs w:val="20"/>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szCs w:val="20"/>
    </w:r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sz w:val="24"/>
      <w:szCs w:val="20"/>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szCs w:val="20"/>
    </w:r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sz w:val="24"/>
      <w:szCs w:val="20"/>
      <w:lang w:val="x-none"/>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line="240" w:lineRule="auto"/>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szCs w:val="20"/>
      <w:lang w:val="x-none"/>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spacing w:before="0"/>
      <w:outlineLvl w:val="9"/>
    </w:pPr>
    <w:rPr>
      <w:rFonts w:ascii="Times New Roman" w:hAnsi="Times New Roman"/>
      <w:b w:val="0"/>
      <w:bCs/>
      <w:kern w:val="0"/>
      <w:sz w:val="24"/>
      <w:szCs w:val="20"/>
    </w:rPr>
  </w:style>
  <w:style w:type="paragraph" w:customStyle="1" w:styleId="NumPar2">
    <w:name w:val="NumPar 2"/>
    <w:basedOn w:val="Heading2"/>
    <w:next w:val="Text2"/>
    <w:pPr>
      <w:keepNext w:val="0"/>
      <w:numPr>
        <w:numId w:val="0"/>
      </w:numPr>
      <w:tabs>
        <w:tab w:val="num" w:pos="1080"/>
      </w:tabs>
      <w:spacing w:before="0" w:after="240" w:line="240" w:lineRule="auto"/>
      <w:ind w:left="1080" w:hanging="600"/>
      <w:jc w:val="both"/>
      <w:outlineLvl w:val="9"/>
    </w:pPr>
    <w:rPr>
      <w:rFonts w:ascii="Times New Roman" w:hAnsi="Times New Roman"/>
      <w:b w:val="0"/>
      <w:bCs w:val="0"/>
      <w:i w:val="0"/>
      <w:iCs w:val="0"/>
      <w:sz w:val="24"/>
      <w:szCs w:val="20"/>
    </w:rPr>
  </w:style>
  <w:style w:type="paragraph" w:customStyle="1" w:styleId="NumPar3">
    <w:name w:val="NumPar 3"/>
    <w:basedOn w:val="Heading3"/>
    <w:next w:val="Text3"/>
    <w:pPr>
      <w:keepNext w:val="0"/>
      <w:numPr>
        <w:numId w:val="0"/>
      </w:numPr>
      <w:tabs>
        <w:tab w:val="num" w:pos="1920"/>
      </w:tabs>
      <w:ind w:left="1920" w:hanging="840"/>
      <w:outlineLvl w:val="9"/>
    </w:pPr>
    <w:rPr>
      <w:i w:val="0"/>
    </w:rPr>
  </w:style>
  <w:style w:type="paragraph" w:customStyle="1" w:styleId="NumPar4">
    <w:name w:val="NumPar 4"/>
    <w:basedOn w:val="Heading4"/>
    <w:next w:val="Text4"/>
    <w:pPr>
      <w:keepNext w:val="0"/>
      <w:numPr>
        <w:numId w:val="0"/>
      </w:numPr>
      <w:tabs>
        <w:tab w:val="num" w:pos="2880"/>
      </w:tabs>
      <w:ind w:left="2880" w:hanging="960"/>
      <w:outlineLvl w:val="9"/>
    </w:pPr>
  </w:style>
  <w:style w:type="paragraph" w:styleId="PlainText">
    <w:name w:val="Plain Text"/>
    <w:basedOn w:val="Normal"/>
    <w:link w:val="PlainTextChar"/>
    <w:uiPriority w:val="99"/>
    <w:pPr>
      <w:spacing w:after="240" w:line="240" w:lineRule="auto"/>
      <w:jc w:val="both"/>
    </w:pPr>
    <w:rPr>
      <w:rFonts w:ascii="Courier New" w:eastAsia="Times New Roman" w:hAnsi="Courier New"/>
      <w:sz w:val="20"/>
      <w:szCs w:val="20"/>
      <w:lang w:val="x-none"/>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szCs w:val="20"/>
      <w:lang w:val="x-none"/>
    </w:rPr>
  </w:style>
  <w:style w:type="character" w:customStyle="1" w:styleId="SalutationChar">
    <w:name w:val="Salutation Char"/>
    <w:link w:val="Salutation"/>
    <w:rPr>
      <w:rFonts w:ascii="Times New Roman" w:eastAsia="Times New Roman" w:hAnsi="Times New Roman"/>
      <w:sz w:val="24"/>
      <w:lang w:eastAsia="en-US"/>
    </w:rPr>
  </w:style>
  <w:style w:type="paragraph" w:styleId="Subtitle">
    <w:name w:val="Subtitle"/>
    <w:basedOn w:val="Normal"/>
    <w:link w:val="SubtitleChar"/>
    <w:qFormat/>
    <w:pPr>
      <w:spacing w:after="60" w:line="240" w:lineRule="auto"/>
      <w:jc w:val="center"/>
      <w:outlineLvl w:val="1"/>
    </w:pPr>
    <w:rPr>
      <w:rFonts w:ascii="Arial" w:eastAsia="Times New Roman" w:hAnsi="Arial"/>
      <w:sz w:val="24"/>
      <w:szCs w:val="20"/>
      <w:lang w:val="x-none"/>
    </w:rPr>
  </w:style>
  <w:style w:type="character" w:customStyle="1" w:styleId="SubtitleChar">
    <w:name w:val="Subtitle Char"/>
    <w:link w:val="Subtitle"/>
    <w:rPr>
      <w:rFonts w:ascii="Arial" w:eastAsia="Times New Roman" w:hAnsi="Arial"/>
      <w:sz w:val="24"/>
      <w:lang w:eastAsia="en-US"/>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b/>
      <w:kern w:val="28"/>
      <w:sz w:val="32"/>
      <w:szCs w:val="20"/>
      <w:lang w:val="x-none"/>
    </w:rPr>
  </w:style>
  <w:style w:type="character" w:customStyle="1" w:styleId="TitleChar">
    <w:name w:val="Title Char"/>
    <w:link w:val="Title"/>
    <w:rPr>
      <w:rFonts w:ascii="Arial" w:eastAsia="Times New Roman" w:hAnsi="Arial"/>
      <w:b/>
      <w:kern w:val="28"/>
      <w:sz w:val="32"/>
      <w:lang w:eastAsia="en-US"/>
    </w:rPr>
  </w:style>
  <w:style w:type="paragraph" w:styleId="TOAHeading">
    <w:name w:val="toa heading"/>
    <w:basedOn w:val="Normal"/>
    <w:next w:val="Normal"/>
    <w:semiHidden/>
    <w:pPr>
      <w:spacing w:before="120" w:after="240" w:line="240" w:lineRule="auto"/>
      <w:jc w:val="both"/>
    </w:pPr>
    <w:rPr>
      <w:rFonts w:ascii="Arial" w:eastAsia="Times New Roman" w:hAnsi="Arial"/>
      <w:b/>
      <w:sz w:val="24"/>
      <w:szCs w:val="20"/>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Contact">
    <w:name w:val="Contact"/>
    <w:basedOn w:val="Normal"/>
    <w:next w:val="Enclosures"/>
    <w:uiPriority w:val="99"/>
    <w:pPr>
      <w:spacing w:before="480" w:after="0" w:line="240" w:lineRule="auto"/>
      <w:ind w:left="567" w:hanging="567"/>
    </w:pPr>
    <w:rPr>
      <w:rFonts w:ascii="Times New Roman" w:eastAsia="Times New Roman" w:hAnsi="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i/>
      <w:sz w:val="24"/>
      <w:szCs w:val="20"/>
    </w:rPr>
  </w:style>
  <w:style w:type="character" w:styleId="FollowedHyperlink">
    <w:name w:val="FollowedHyperlink"/>
    <w:rPr>
      <w:color w:val="800080"/>
      <w:u w:val="single"/>
    </w:rPr>
  </w:style>
  <w:style w:type="paragraph" w:customStyle="1" w:styleId="DisclaimerSJ">
    <w:name w:val="Disclaimer_SJ"/>
    <w:basedOn w:val="Normal"/>
    <w:next w:val="Normal"/>
    <w:pPr>
      <w:spacing w:after="0" w:line="240" w:lineRule="auto"/>
      <w:jc w:val="both"/>
    </w:pPr>
    <w:rPr>
      <w:rFonts w:ascii="Arial" w:eastAsia="Times New Roman" w:hAnsi="Arial"/>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b/>
      <w:caps/>
      <w:color w:val="FF0000"/>
      <w:sz w:val="32"/>
      <w:szCs w:val="20"/>
      <w:bdr w:val="single" w:sz="18" w:space="0" w:color="FF0000"/>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FootnoteReference">
    <w:name w:val="footnote reference"/>
    <w:aliases w:val="EN Footnote Reference,-E Fußnotenzeichen,BVI fnr,Footnote,Footnote symbol,Footnote number,Footnote Reference Number,Footnote reference number,Times 10 Point,Exposant 3 Point,Footnote Reference Superscript,note TESI, BVI fnr,Appel note"/>
    <w:link w:val="FootnotesymbolCharChar"/>
    <w:uiPriority w:val="99"/>
    <w:rPr>
      <w:vertAlign w:val="superscript"/>
    </w:rPr>
  </w:style>
  <w:style w:type="character" w:styleId="PageNumber">
    <w:name w:val="page number"/>
  </w:style>
  <w:style w:type="paragraph" w:customStyle="1" w:styleId="Style10">
    <w:name w:val="Style 1"/>
    <w:basedOn w:val="Normal"/>
    <w:pPr>
      <w:widowControl w:val="0"/>
      <w:autoSpaceDE w:val="0"/>
      <w:autoSpaceDN w:val="0"/>
      <w:adjustRightInd w:val="0"/>
      <w:spacing w:after="0" w:line="240" w:lineRule="auto"/>
    </w:pPr>
    <w:rPr>
      <w:rFonts w:ascii="Times New Roman" w:eastAsia="Times New Roman" w:hAnsi="Times New Roman"/>
      <w:sz w:val="20"/>
      <w:szCs w:val="24"/>
      <w:lang w:val="en-US"/>
    </w:rPr>
  </w:style>
  <w:style w:type="paragraph" w:customStyle="1" w:styleId="ADPPuce1">
    <w:name w:val="ADP Puce 1"/>
    <w:basedOn w:val="Normal"/>
    <w:pPr>
      <w:numPr>
        <w:numId w:val="19"/>
      </w:numPr>
      <w:spacing w:after="0" w:line="240" w:lineRule="auto"/>
      <w:ind w:left="1080" w:hanging="360"/>
      <w:jc w:val="both"/>
    </w:pPr>
    <w:rPr>
      <w:rFonts w:ascii="Arial" w:eastAsia="Times New Roman" w:hAnsi="Arial"/>
      <w:sz w:val="20"/>
      <w:szCs w:val="24"/>
    </w:rPr>
  </w:style>
  <w:style w:type="character" w:styleId="Emphasis">
    <w:name w:val="Emphasis"/>
    <w:qFormat/>
    <w:rPr>
      <w:i/>
      <w:iCs/>
    </w:rPr>
  </w:style>
  <w:style w:type="character" w:styleId="Strong">
    <w:name w:val="Strong"/>
    <w:qFormat/>
    <w:rPr>
      <w:b/>
      <w:bCs/>
    </w:rPr>
  </w:style>
  <w:style w:type="table" w:styleId="TableGrid">
    <w:name w:val="Table Grid"/>
    <w:basedOn w:val="TableNormal"/>
    <w:pPr>
      <w:spacing w:after="120"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pPr>
      <w:spacing w:before="100" w:beforeAutospacing="1" w:after="100" w:afterAutospacing="1" w:line="220" w:lineRule="atLeast"/>
    </w:pPr>
    <w:rPr>
      <w:rFonts w:ascii="Verdana" w:eastAsia="Times New Roman" w:hAnsi="Verdana"/>
      <w:color w:val="000000"/>
      <w:sz w:val="16"/>
      <w:szCs w:val="16"/>
      <w:lang w:val="en-US"/>
    </w:rPr>
  </w:style>
  <w:style w:type="character" w:styleId="CommentReference">
    <w:name w:val="annotation reference"/>
    <w:semiHidden/>
    <w:rPr>
      <w:rFonts w:cs="Times New Roman"/>
      <w:sz w:val="16"/>
      <w:szCs w:val="16"/>
      <w:shd w:val="clear" w:color="auto" w:fill="auto"/>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sz w:val="24"/>
      <w:szCs w:val="24"/>
    </w:rPr>
  </w:style>
  <w:style w:type="paragraph" w:customStyle="1" w:styleId="NormalCentered">
    <w:name w:val="Normal Centered"/>
    <w:basedOn w:val="Normal"/>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pPr>
      <w:spacing w:before="120" w:after="120" w:line="240" w:lineRule="auto"/>
    </w:pPr>
    <w:rPr>
      <w:rFonts w:ascii="Times New Roman" w:eastAsia="Times New Roman" w:hAnsi="Times New Roman"/>
      <w:sz w:val="24"/>
      <w:szCs w:val="24"/>
    </w:rPr>
  </w:style>
  <w:style w:type="paragraph" w:customStyle="1" w:styleId="NormalRight">
    <w:name w:val="Normal Right"/>
    <w:basedOn w:val="Normal"/>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ascii="Times New Roman" w:eastAsia="Times New Roman" w:hAnsi="Times New Roman"/>
      <w:sz w:val="24"/>
      <w:szCs w:val="24"/>
      <w:u w:val="single"/>
    </w:rPr>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pPr>
      <w:spacing w:after="240" w:line="240" w:lineRule="auto"/>
    </w:pPr>
    <w:rPr>
      <w:rFonts w:ascii="Times New Roman" w:eastAsia="Times New Roman" w:hAnsi="Times New Roman"/>
      <w:sz w:val="24"/>
      <w:szCs w:val="24"/>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sz w:val="24"/>
      <w:szCs w:val="24"/>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sz w:val="24"/>
      <w:szCs w:val="24"/>
    </w:rPr>
  </w:style>
  <w:style w:type="paragraph" w:customStyle="1" w:styleId="Sous-titreobjet">
    <w:name w:val="Sous-titre objet"/>
    <w:basedOn w:val="Normal"/>
    <w:pPr>
      <w:spacing w:after="0" w:line="240" w:lineRule="auto"/>
      <w:jc w:val="center"/>
    </w:pPr>
    <w:rPr>
      <w:rFonts w:ascii="Times New Roman" w:eastAsia="Times New Roman" w:hAnsi="Times New Roman"/>
      <w:b/>
      <w:sz w:val="24"/>
      <w:szCs w:val="24"/>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sz w:val="24"/>
      <w:szCs w:val="24"/>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i/>
      <w:sz w:val="24"/>
      <w:szCs w:val="24"/>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b/>
      <w:sz w:val="24"/>
      <w:szCs w:val="24"/>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i/>
      <w:caps/>
      <w:sz w:val="24"/>
      <w:szCs w:val="24"/>
    </w:rPr>
  </w:style>
  <w:style w:type="paragraph" w:customStyle="1" w:styleId="Supertitre">
    <w:name w:val="Supertitre"/>
    <w:basedOn w:val="Normal"/>
    <w:next w:val="Normal"/>
    <w:pPr>
      <w:spacing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pPr>
      <w:spacing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sz w:val="24"/>
      <w:szCs w:val="24"/>
    </w:rPr>
  </w:style>
  <w:style w:type="paragraph" w:customStyle="1" w:styleId="Rfrenceinterinstitutionelleprliminaire">
    <w:name w:val="Référence interinstitutionelle (préliminaire)"/>
    <w:basedOn w:val="Normal"/>
    <w:next w:val="Normal"/>
    <w:pPr>
      <w:spacing w:after="0" w:line="240" w:lineRule="auto"/>
      <w:ind w:left="5103"/>
    </w:pPr>
    <w:rPr>
      <w:rFonts w:ascii="Times New Roman" w:eastAsia="Times New Roman" w:hAnsi="Times New Roman"/>
      <w:sz w:val="24"/>
      <w:szCs w:val="24"/>
      <w:lang w:eastAsia="de-DE"/>
    </w:rPr>
  </w:style>
  <w:style w:type="paragraph" w:customStyle="1" w:styleId="Sous-titreobjetprliminaire">
    <w:name w:val="Sous-titre objet (préliminaire)"/>
    <w:basedOn w:val="Normal"/>
    <w:pPr>
      <w:spacing w:after="0" w:line="240" w:lineRule="auto"/>
      <w:jc w:val="center"/>
    </w:pPr>
    <w:rPr>
      <w:rFonts w:ascii="Times New Roman" w:eastAsia="Times New Roman" w:hAnsi="Times New Roman"/>
      <w:b/>
      <w:sz w:val="24"/>
      <w:szCs w:val="24"/>
      <w:lang w:eastAsia="de-DE"/>
    </w:rPr>
  </w:style>
  <w:style w:type="paragraph" w:customStyle="1" w:styleId="Statutprliminaire">
    <w:name w:val="Statut (préliminaire)"/>
    <w:basedOn w:val="Normal"/>
    <w:next w:val="Normal"/>
    <w:pPr>
      <w:spacing w:before="360" w:after="0" w:line="240" w:lineRule="auto"/>
      <w:jc w:val="center"/>
    </w:pPr>
    <w:rPr>
      <w:rFonts w:ascii="Times New Roman" w:eastAsia="Times New Roman" w:hAnsi="Times New Roman"/>
      <w:sz w:val="24"/>
      <w:szCs w:val="24"/>
      <w:lang w:eastAsia="de-DE"/>
    </w:rPr>
  </w:style>
  <w:style w:type="paragraph" w:customStyle="1" w:styleId="Titreobjetprliminaire">
    <w:name w:val="Titre objet (préliminaire)"/>
    <w:basedOn w:val="Normal"/>
    <w:next w:val="Normal"/>
    <w:pPr>
      <w:spacing w:before="360" w:after="360" w:line="240" w:lineRule="auto"/>
      <w:jc w:val="center"/>
    </w:pPr>
    <w:rPr>
      <w:rFonts w:ascii="Times New Roman" w:eastAsia="Times New Roman" w:hAnsi="Times New Roman"/>
      <w:b/>
      <w:sz w:val="24"/>
      <w:szCs w:val="24"/>
      <w:lang w:eastAsia="de-DE"/>
    </w:rPr>
  </w:style>
  <w:style w:type="paragraph" w:customStyle="1" w:styleId="Typedudocumentprliminaire">
    <w:name w:val="Type du document (préliminaire)"/>
    <w:basedOn w:val="Normal"/>
    <w:next w:val="Normal"/>
    <w:pPr>
      <w:spacing w:before="360" w:after="0" w:line="240" w:lineRule="auto"/>
      <w:jc w:val="center"/>
    </w:pPr>
    <w:rPr>
      <w:rFonts w:ascii="Times New Roman" w:eastAsia="Times New Roman" w:hAnsi="Times New Roman"/>
      <w:b/>
      <w:sz w:val="24"/>
      <w:szCs w:val="24"/>
      <w:lang w:eastAsia="de-DE"/>
    </w:rPr>
  </w:style>
  <w:style w:type="paragraph" w:styleId="CommentSubject">
    <w:name w:val="annotation subject"/>
    <w:basedOn w:val="CommentText"/>
    <w:next w:val="CommentText"/>
    <w:link w:val="CommentSubjectChar"/>
    <w:semiHidden/>
    <w:pPr>
      <w:spacing w:before="120" w:after="120"/>
    </w:pPr>
    <w:rPr>
      <w:b/>
      <w:bCs/>
      <w:lang w:eastAsia="de-DE"/>
    </w:rPr>
  </w:style>
  <w:style w:type="character" w:customStyle="1" w:styleId="CommentSubjectChar">
    <w:name w:val="Comment Subject Char"/>
    <w:link w:val="CommentSubject"/>
    <w:semiHidden/>
    <w:rPr>
      <w:rFonts w:ascii="Times New Roman" w:eastAsia="Times New Roman" w:hAnsi="Times New Roman"/>
      <w:b/>
      <w:bCs/>
      <w:lang w:eastAsia="de-DE"/>
    </w:rPr>
  </w:style>
  <w:style w:type="paragraph" w:styleId="BalloonText">
    <w:name w:val="Balloon Text"/>
    <w:basedOn w:val="Normal"/>
    <w:link w:val="BalloonTextChar"/>
    <w:semiHidden/>
    <w:pPr>
      <w:spacing w:before="120" w:after="120" w:line="240" w:lineRule="auto"/>
      <w:jc w:val="both"/>
    </w:pPr>
    <w:rPr>
      <w:rFonts w:ascii="Tahoma" w:eastAsia="Times New Roman" w:hAnsi="Tahoma"/>
      <w:sz w:val="16"/>
      <w:szCs w:val="16"/>
      <w:lang w:val="x-none" w:eastAsia="de-DE"/>
    </w:rPr>
  </w:style>
  <w:style w:type="character" w:customStyle="1" w:styleId="BalloonTextChar">
    <w:name w:val="Balloon Text Char"/>
    <w:link w:val="BalloonText"/>
    <w:semiHidden/>
    <w:rPr>
      <w:rFonts w:ascii="Tahoma" w:eastAsia="Times New Roman" w:hAnsi="Tahoma" w:cs="Tahoma"/>
      <w:sz w:val="16"/>
      <w:szCs w:val="16"/>
      <w:lang w:eastAsia="de-DE"/>
    </w:rPr>
  </w:style>
  <w:style w:type="table" w:customStyle="1" w:styleId="TableGrid1">
    <w:name w:val="Table Gri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pPr>
      <w:numPr>
        <w:numId w:val="32"/>
      </w:numPr>
    </w:pPr>
  </w:style>
  <w:style w:type="character" w:styleId="EndnoteReference">
    <w:name w:val="endnote reference"/>
    <w:semiHidden/>
    <w:rPr>
      <w:shd w:val="clear" w:color="auto" w:fill="auto"/>
      <w:vertAlign w:val="superscript"/>
    </w:rPr>
  </w:style>
  <w:style w:type="paragraph" w:customStyle="1" w:styleId="Annexetitreacte">
    <w:name w:val="Annexe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exposglobal">
    <w:name w:val="Annexe titre (exposé global)"/>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fichefinacte">
    <w:name w:val="Annexe titre (fiche fin.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fichefinglobale">
    <w:name w:val="Annexe titre (fiche fin. global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Annexetitreglobale">
    <w:name w:val="Annexe titre (global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Exposdesmotifstitreglobal">
    <w:name w:val="Exposé des motifs titre (global)"/>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Langueoriginale">
    <w:name w:val="Langue originale"/>
    <w:basedOn w:val="Normal"/>
    <w:next w:val="Phrasefinale"/>
    <w:pPr>
      <w:spacing w:before="360" w:after="120" w:line="240" w:lineRule="auto"/>
      <w:jc w:val="center"/>
    </w:pPr>
    <w:rPr>
      <w:rFonts w:ascii="Times New Roman" w:eastAsia="Times New Roman" w:hAnsi="Times New Roman"/>
      <w:caps/>
      <w:sz w:val="24"/>
      <w:szCs w:val="24"/>
      <w:lang w:eastAsia="de-DE"/>
    </w:rPr>
  </w:style>
  <w:style w:type="paragraph" w:customStyle="1" w:styleId="Phrasefinale">
    <w:name w:val="Phrase finale"/>
    <w:basedOn w:val="Normal"/>
    <w:next w:val="Normal"/>
    <w:pPr>
      <w:spacing w:before="360" w:after="0" w:line="240" w:lineRule="auto"/>
      <w:jc w:val="center"/>
    </w:pPr>
    <w:rPr>
      <w:rFonts w:ascii="Times New Roman" w:eastAsia="Times New Roman" w:hAnsi="Times New Roman"/>
      <w:sz w:val="24"/>
      <w:szCs w:val="24"/>
      <w:lang w:eastAsia="de-DE"/>
    </w:rPr>
  </w:style>
  <w:style w:type="paragraph" w:customStyle="1" w:styleId="Prliminairetitre">
    <w:name w:val="Préliminaire titre"/>
    <w:basedOn w:val="Normal"/>
    <w:next w:val="Normal"/>
    <w:pPr>
      <w:spacing w:before="360" w:after="360" w:line="240" w:lineRule="auto"/>
      <w:jc w:val="center"/>
    </w:pPr>
    <w:rPr>
      <w:rFonts w:ascii="Times New Roman" w:eastAsia="Times New Roman" w:hAnsi="Times New Roman"/>
      <w:b/>
      <w:sz w:val="24"/>
      <w:szCs w:val="24"/>
      <w:lang w:eastAsia="de-DE"/>
    </w:rPr>
  </w:style>
  <w:style w:type="paragraph" w:customStyle="1" w:styleId="Prliminairetype">
    <w:name w:val="Préliminaire type"/>
    <w:basedOn w:val="Normal"/>
    <w:next w:val="Normal"/>
    <w:pPr>
      <w:spacing w:before="360" w:after="0" w:line="240" w:lineRule="auto"/>
      <w:jc w:val="center"/>
    </w:pPr>
    <w:rPr>
      <w:rFonts w:ascii="Times New Roman" w:eastAsia="Times New Roman" w:hAnsi="Times New Roman"/>
      <w:b/>
      <w:sz w:val="24"/>
      <w:szCs w:val="24"/>
      <w:lang w:eastAsia="de-DE"/>
    </w:rPr>
  </w:style>
  <w:style w:type="paragraph" w:customStyle="1" w:styleId="Rfrenceinstitutionelle">
    <w:name w:val="Référence institutionelle"/>
    <w:basedOn w:val="Normal"/>
    <w:next w:val="Statut"/>
    <w:pPr>
      <w:spacing w:after="240" w:line="240" w:lineRule="auto"/>
      <w:ind w:left="5103"/>
    </w:pPr>
    <w:rPr>
      <w:rFonts w:ascii="Times New Roman" w:eastAsia="Times New Roman" w:hAnsi="Times New Roman"/>
      <w:sz w:val="24"/>
      <w:szCs w:val="24"/>
      <w:lang w:eastAsia="de-DE"/>
    </w:rPr>
  </w:style>
  <w:style w:type="paragraph" w:customStyle="1" w:styleId="Rfrenceinterinstitutionelle">
    <w:name w:val="Référence interinstitutionelle"/>
    <w:basedOn w:val="Normal"/>
    <w:next w:val="Statut"/>
    <w:pPr>
      <w:spacing w:after="0" w:line="240" w:lineRule="auto"/>
      <w:ind w:left="5103"/>
    </w:pPr>
    <w:rPr>
      <w:rFonts w:ascii="Times New Roman" w:eastAsia="Times New Roman" w:hAnsi="Times New Roman"/>
      <w:sz w:val="24"/>
      <w:szCs w:val="24"/>
      <w:lang w:eastAsia="de-DE"/>
    </w:rPr>
  </w:style>
  <w:style w:type="paragraph" w:customStyle="1" w:styleId="Fichefinancirestandardtitre">
    <w:name w:val="Fiche financière (standard)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standardtitreacte">
    <w:name w:val="Fiche financière (standard)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travailtitre">
    <w:name w:val="Fiche financière (travail)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travailtitreacte">
    <w:name w:val="Fiche financière (travail)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attributiontitre">
    <w:name w:val="Fiche financière (attribution) titr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paragraph" w:customStyle="1" w:styleId="Fichefinancireattributiontitreacte">
    <w:name w:val="Fiche financière (attribution) titre (acte)"/>
    <w:basedOn w:val="Normal"/>
    <w:next w:val="Normal"/>
    <w:pPr>
      <w:spacing w:before="120" w:after="120" w:line="240" w:lineRule="auto"/>
      <w:jc w:val="center"/>
    </w:pPr>
    <w:rPr>
      <w:rFonts w:ascii="Times New Roman" w:eastAsia="Times New Roman" w:hAnsi="Times New Roman"/>
      <w:b/>
      <w:sz w:val="24"/>
      <w:szCs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szCs w:val="20"/>
    </w:rPr>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33"/>
      </w:numPr>
      <w:spacing w:after="240" w:line="360" w:lineRule="auto"/>
    </w:pPr>
    <w:rPr>
      <w:rFonts w:ascii="Arial" w:eastAsia="Times New Roman" w:hAnsi="Arial"/>
      <w:noProof/>
      <w:sz w:val="24"/>
      <w:szCs w:val="20"/>
      <w:lang w:val="x-none"/>
    </w:rPr>
  </w:style>
  <w:style w:type="paragraph" w:customStyle="1" w:styleId="Para3">
    <w:name w:val="Para_3"/>
    <w:basedOn w:val="Normal"/>
    <w:pPr>
      <w:numPr>
        <w:ilvl w:val="2"/>
        <w:numId w:val="33"/>
      </w:numPr>
      <w:tabs>
        <w:tab w:val="left" w:pos="992"/>
      </w:tabs>
      <w:spacing w:after="240" w:line="360" w:lineRule="auto"/>
    </w:pPr>
    <w:rPr>
      <w:rFonts w:ascii="Arial" w:eastAsia="Times New Roman" w:hAnsi="Arial"/>
      <w:noProof/>
      <w:sz w:val="24"/>
      <w:szCs w:val="20"/>
    </w:rPr>
  </w:style>
  <w:style w:type="paragraph" w:customStyle="1" w:styleId="Para4">
    <w:name w:val="Para_4"/>
    <w:basedOn w:val="Normal"/>
    <w:pPr>
      <w:numPr>
        <w:ilvl w:val="3"/>
        <w:numId w:val="33"/>
      </w:numPr>
      <w:spacing w:after="240" w:line="360" w:lineRule="auto"/>
    </w:pPr>
    <w:rPr>
      <w:rFonts w:ascii="Arial" w:eastAsia="Times New Roman" w:hAnsi="Arial"/>
      <w:sz w:val="24"/>
      <w:szCs w:val="20"/>
    </w:rPr>
  </w:style>
  <w:style w:type="paragraph" w:customStyle="1" w:styleId="Para5">
    <w:name w:val="Para_5"/>
    <w:basedOn w:val="Normal"/>
    <w:pPr>
      <w:numPr>
        <w:ilvl w:val="4"/>
        <w:numId w:val="33"/>
      </w:numPr>
      <w:tabs>
        <w:tab w:val="left" w:pos="567"/>
      </w:tabs>
      <w:spacing w:after="240" w:line="360" w:lineRule="auto"/>
    </w:pPr>
    <w:rPr>
      <w:rFonts w:ascii="Arial" w:eastAsia="Times New Roman" w:hAnsi="Arial"/>
      <w:sz w:val="24"/>
      <w:szCs w:val="20"/>
    </w:rPr>
  </w:style>
  <w:style w:type="character" w:customStyle="1" w:styleId="Para2Char1">
    <w:name w:val="Para_2 Char1"/>
    <w:link w:val="Para2"/>
    <w:rPr>
      <w:rFonts w:ascii="Arial" w:eastAsia="Times New Roman" w:hAnsi="Arial"/>
      <w:noProof/>
      <w:sz w:val="24"/>
      <w:lang w:val="x-none" w:eastAsia="en-US"/>
    </w:rPr>
  </w:style>
  <w:style w:type="paragraph" w:styleId="Revision">
    <w:name w:val="Revision"/>
    <w:hidden/>
    <w:uiPriority w:val="99"/>
    <w:semiHidden/>
    <w:rPr>
      <w:sz w:val="22"/>
      <w:szCs w:val="22"/>
      <w:lang w:eastAsia="en-US"/>
    </w:r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link w:val="FootnoteReference"/>
    <w:uiPriority w:val="99"/>
    <w:pPr>
      <w:spacing w:before="120" w:after="160" w:line="240" w:lineRule="exact"/>
    </w:pPr>
    <w:rPr>
      <w:sz w:val="20"/>
      <w:szCs w:val="20"/>
      <w:vertAlign w:val="superscript"/>
      <w:lang w:eastAsia="en-GB"/>
    </w:rPr>
  </w:style>
  <w:style w:type="paragraph" w:customStyle="1" w:styleId="Textstand-alone">
    <w:name w:val="Text_stand-alone"/>
    <w:basedOn w:val="Normal"/>
    <w:qFormat/>
    <w:pPr>
      <w:spacing w:before="240" w:after="240" w:line="240" w:lineRule="auto"/>
      <w:jc w:val="both"/>
    </w:pPr>
    <w:rPr>
      <w:rFonts w:ascii="Verdana" w:eastAsia="Times New Roman" w:hAnsi="Verdan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90061">
      <w:bodyDiv w:val="1"/>
      <w:marLeft w:val="0"/>
      <w:marRight w:val="0"/>
      <w:marTop w:val="0"/>
      <w:marBottom w:val="0"/>
      <w:divBdr>
        <w:top w:val="none" w:sz="0" w:space="0" w:color="auto"/>
        <w:left w:val="none" w:sz="0" w:space="0" w:color="auto"/>
        <w:bottom w:val="none" w:sz="0" w:space="0" w:color="auto"/>
        <w:right w:val="none" w:sz="0" w:space="0" w:color="auto"/>
      </w:divBdr>
    </w:div>
    <w:div w:id="80105082">
      <w:bodyDiv w:val="1"/>
      <w:marLeft w:val="0"/>
      <w:marRight w:val="0"/>
      <w:marTop w:val="0"/>
      <w:marBottom w:val="0"/>
      <w:divBdr>
        <w:top w:val="none" w:sz="0" w:space="0" w:color="auto"/>
        <w:left w:val="none" w:sz="0" w:space="0" w:color="auto"/>
        <w:bottom w:val="none" w:sz="0" w:space="0" w:color="auto"/>
        <w:right w:val="none" w:sz="0" w:space="0" w:color="auto"/>
      </w:divBdr>
    </w:div>
    <w:div w:id="92553075">
      <w:bodyDiv w:val="1"/>
      <w:marLeft w:val="0"/>
      <w:marRight w:val="0"/>
      <w:marTop w:val="0"/>
      <w:marBottom w:val="0"/>
      <w:divBdr>
        <w:top w:val="none" w:sz="0" w:space="0" w:color="auto"/>
        <w:left w:val="none" w:sz="0" w:space="0" w:color="auto"/>
        <w:bottom w:val="none" w:sz="0" w:space="0" w:color="auto"/>
        <w:right w:val="none" w:sz="0" w:space="0" w:color="auto"/>
      </w:divBdr>
    </w:div>
    <w:div w:id="122774436">
      <w:bodyDiv w:val="1"/>
      <w:marLeft w:val="0"/>
      <w:marRight w:val="0"/>
      <w:marTop w:val="0"/>
      <w:marBottom w:val="0"/>
      <w:divBdr>
        <w:top w:val="none" w:sz="0" w:space="0" w:color="auto"/>
        <w:left w:val="none" w:sz="0" w:space="0" w:color="auto"/>
        <w:bottom w:val="none" w:sz="0" w:space="0" w:color="auto"/>
        <w:right w:val="none" w:sz="0" w:space="0" w:color="auto"/>
      </w:divBdr>
    </w:div>
    <w:div w:id="123812302">
      <w:bodyDiv w:val="1"/>
      <w:marLeft w:val="0"/>
      <w:marRight w:val="0"/>
      <w:marTop w:val="0"/>
      <w:marBottom w:val="0"/>
      <w:divBdr>
        <w:top w:val="none" w:sz="0" w:space="0" w:color="auto"/>
        <w:left w:val="none" w:sz="0" w:space="0" w:color="auto"/>
        <w:bottom w:val="none" w:sz="0" w:space="0" w:color="auto"/>
        <w:right w:val="none" w:sz="0" w:space="0" w:color="auto"/>
      </w:divBdr>
    </w:div>
    <w:div w:id="154420651">
      <w:bodyDiv w:val="1"/>
      <w:marLeft w:val="0"/>
      <w:marRight w:val="0"/>
      <w:marTop w:val="0"/>
      <w:marBottom w:val="0"/>
      <w:divBdr>
        <w:top w:val="none" w:sz="0" w:space="0" w:color="auto"/>
        <w:left w:val="none" w:sz="0" w:space="0" w:color="auto"/>
        <w:bottom w:val="none" w:sz="0" w:space="0" w:color="auto"/>
        <w:right w:val="none" w:sz="0" w:space="0" w:color="auto"/>
      </w:divBdr>
    </w:div>
    <w:div w:id="160194043">
      <w:bodyDiv w:val="1"/>
      <w:marLeft w:val="0"/>
      <w:marRight w:val="0"/>
      <w:marTop w:val="0"/>
      <w:marBottom w:val="0"/>
      <w:divBdr>
        <w:top w:val="none" w:sz="0" w:space="0" w:color="auto"/>
        <w:left w:val="none" w:sz="0" w:space="0" w:color="auto"/>
        <w:bottom w:val="none" w:sz="0" w:space="0" w:color="auto"/>
        <w:right w:val="none" w:sz="0" w:space="0" w:color="auto"/>
      </w:divBdr>
    </w:div>
    <w:div w:id="206575120">
      <w:bodyDiv w:val="1"/>
      <w:marLeft w:val="0"/>
      <w:marRight w:val="0"/>
      <w:marTop w:val="0"/>
      <w:marBottom w:val="0"/>
      <w:divBdr>
        <w:top w:val="none" w:sz="0" w:space="0" w:color="auto"/>
        <w:left w:val="none" w:sz="0" w:space="0" w:color="auto"/>
        <w:bottom w:val="none" w:sz="0" w:space="0" w:color="auto"/>
        <w:right w:val="none" w:sz="0" w:space="0" w:color="auto"/>
      </w:divBdr>
    </w:div>
    <w:div w:id="248544164">
      <w:bodyDiv w:val="1"/>
      <w:marLeft w:val="0"/>
      <w:marRight w:val="0"/>
      <w:marTop w:val="0"/>
      <w:marBottom w:val="0"/>
      <w:divBdr>
        <w:top w:val="none" w:sz="0" w:space="0" w:color="auto"/>
        <w:left w:val="none" w:sz="0" w:space="0" w:color="auto"/>
        <w:bottom w:val="none" w:sz="0" w:space="0" w:color="auto"/>
        <w:right w:val="none" w:sz="0" w:space="0" w:color="auto"/>
      </w:divBdr>
    </w:div>
    <w:div w:id="255138519">
      <w:bodyDiv w:val="1"/>
      <w:marLeft w:val="0"/>
      <w:marRight w:val="0"/>
      <w:marTop w:val="0"/>
      <w:marBottom w:val="0"/>
      <w:divBdr>
        <w:top w:val="none" w:sz="0" w:space="0" w:color="auto"/>
        <w:left w:val="none" w:sz="0" w:space="0" w:color="auto"/>
        <w:bottom w:val="none" w:sz="0" w:space="0" w:color="auto"/>
        <w:right w:val="none" w:sz="0" w:space="0" w:color="auto"/>
      </w:divBdr>
    </w:div>
    <w:div w:id="301154802">
      <w:bodyDiv w:val="1"/>
      <w:marLeft w:val="0"/>
      <w:marRight w:val="0"/>
      <w:marTop w:val="0"/>
      <w:marBottom w:val="0"/>
      <w:divBdr>
        <w:top w:val="none" w:sz="0" w:space="0" w:color="auto"/>
        <w:left w:val="none" w:sz="0" w:space="0" w:color="auto"/>
        <w:bottom w:val="none" w:sz="0" w:space="0" w:color="auto"/>
        <w:right w:val="none" w:sz="0" w:space="0" w:color="auto"/>
      </w:divBdr>
    </w:div>
    <w:div w:id="319314287">
      <w:bodyDiv w:val="1"/>
      <w:marLeft w:val="0"/>
      <w:marRight w:val="0"/>
      <w:marTop w:val="0"/>
      <w:marBottom w:val="0"/>
      <w:divBdr>
        <w:top w:val="none" w:sz="0" w:space="0" w:color="auto"/>
        <w:left w:val="none" w:sz="0" w:space="0" w:color="auto"/>
        <w:bottom w:val="none" w:sz="0" w:space="0" w:color="auto"/>
        <w:right w:val="none" w:sz="0" w:space="0" w:color="auto"/>
      </w:divBdr>
    </w:div>
    <w:div w:id="348221590">
      <w:bodyDiv w:val="1"/>
      <w:marLeft w:val="0"/>
      <w:marRight w:val="0"/>
      <w:marTop w:val="0"/>
      <w:marBottom w:val="0"/>
      <w:divBdr>
        <w:top w:val="none" w:sz="0" w:space="0" w:color="auto"/>
        <w:left w:val="none" w:sz="0" w:space="0" w:color="auto"/>
        <w:bottom w:val="none" w:sz="0" w:space="0" w:color="auto"/>
        <w:right w:val="none" w:sz="0" w:space="0" w:color="auto"/>
      </w:divBdr>
    </w:div>
    <w:div w:id="353269433">
      <w:bodyDiv w:val="1"/>
      <w:marLeft w:val="0"/>
      <w:marRight w:val="0"/>
      <w:marTop w:val="0"/>
      <w:marBottom w:val="0"/>
      <w:divBdr>
        <w:top w:val="none" w:sz="0" w:space="0" w:color="auto"/>
        <w:left w:val="none" w:sz="0" w:space="0" w:color="auto"/>
        <w:bottom w:val="none" w:sz="0" w:space="0" w:color="auto"/>
        <w:right w:val="none" w:sz="0" w:space="0" w:color="auto"/>
      </w:divBdr>
    </w:div>
    <w:div w:id="376930177">
      <w:bodyDiv w:val="1"/>
      <w:marLeft w:val="0"/>
      <w:marRight w:val="0"/>
      <w:marTop w:val="0"/>
      <w:marBottom w:val="0"/>
      <w:divBdr>
        <w:top w:val="none" w:sz="0" w:space="0" w:color="auto"/>
        <w:left w:val="none" w:sz="0" w:space="0" w:color="auto"/>
        <w:bottom w:val="none" w:sz="0" w:space="0" w:color="auto"/>
        <w:right w:val="none" w:sz="0" w:space="0" w:color="auto"/>
      </w:divBdr>
    </w:div>
    <w:div w:id="437410556">
      <w:bodyDiv w:val="1"/>
      <w:marLeft w:val="0"/>
      <w:marRight w:val="0"/>
      <w:marTop w:val="0"/>
      <w:marBottom w:val="0"/>
      <w:divBdr>
        <w:top w:val="none" w:sz="0" w:space="0" w:color="auto"/>
        <w:left w:val="none" w:sz="0" w:space="0" w:color="auto"/>
        <w:bottom w:val="none" w:sz="0" w:space="0" w:color="auto"/>
        <w:right w:val="none" w:sz="0" w:space="0" w:color="auto"/>
      </w:divBdr>
    </w:div>
    <w:div w:id="442775420">
      <w:bodyDiv w:val="1"/>
      <w:marLeft w:val="0"/>
      <w:marRight w:val="0"/>
      <w:marTop w:val="0"/>
      <w:marBottom w:val="0"/>
      <w:divBdr>
        <w:top w:val="none" w:sz="0" w:space="0" w:color="auto"/>
        <w:left w:val="none" w:sz="0" w:space="0" w:color="auto"/>
        <w:bottom w:val="none" w:sz="0" w:space="0" w:color="auto"/>
        <w:right w:val="none" w:sz="0" w:space="0" w:color="auto"/>
      </w:divBdr>
    </w:div>
    <w:div w:id="443886253">
      <w:bodyDiv w:val="1"/>
      <w:marLeft w:val="0"/>
      <w:marRight w:val="0"/>
      <w:marTop w:val="0"/>
      <w:marBottom w:val="0"/>
      <w:divBdr>
        <w:top w:val="none" w:sz="0" w:space="0" w:color="auto"/>
        <w:left w:val="none" w:sz="0" w:space="0" w:color="auto"/>
        <w:bottom w:val="none" w:sz="0" w:space="0" w:color="auto"/>
        <w:right w:val="none" w:sz="0" w:space="0" w:color="auto"/>
      </w:divBdr>
    </w:div>
    <w:div w:id="495461248">
      <w:bodyDiv w:val="1"/>
      <w:marLeft w:val="0"/>
      <w:marRight w:val="0"/>
      <w:marTop w:val="0"/>
      <w:marBottom w:val="0"/>
      <w:divBdr>
        <w:top w:val="none" w:sz="0" w:space="0" w:color="auto"/>
        <w:left w:val="none" w:sz="0" w:space="0" w:color="auto"/>
        <w:bottom w:val="none" w:sz="0" w:space="0" w:color="auto"/>
        <w:right w:val="none" w:sz="0" w:space="0" w:color="auto"/>
      </w:divBdr>
    </w:div>
    <w:div w:id="544029127">
      <w:bodyDiv w:val="1"/>
      <w:marLeft w:val="0"/>
      <w:marRight w:val="0"/>
      <w:marTop w:val="0"/>
      <w:marBottom w:val="0"/>
      <w:divBdr>
        <w:top w:val="none" w:sz="0" w:space="0" w:color="auto"/>
        <w:left w:val="none" w:sz="0" w:space="0" w:color="auto"/>
        <w:bottom w:val="none" w:sz="0" w:space="0" w:color="auto"/>
        <w:right w:val="none" w:sz="0" w:space="0" w:color="auto"/>
      </w:divBdr>
    </w:div>
    <w:div w:id="548611356">
      <w:bodyDiv w:val="1"/>
      <w:marLeft w:val="0"/>
      <w:marRight w:val="0"/>
      <w:marTop w:val="0"/>
      <w:marBottom w:val="0"/>
      <w:divBdr>
        <w:top w:val="none" w:sz="0" w:space="0" w:color="auto"/>
        <w:left w:val="none" w:sz="0" w:space="0" w:color="auto"/>
        <w:bottom w:val="none" w:sz="0" w:space="0" w:color="auto"/>
        <w:right w:val="none" w:sz="0" w:space="0" w:color="auto"/>
      </w:divBdr>
    </w:div>
    <w:div w:id="553391046">
      <w:bodyDiv w:val="1"/>
      <w:marLeft w:val="0"/>
      <w:marRight w:val="0"/>
      <w:marTop w:val="0"/>
      <w:marBottom w:val="0"/>
      <w:divBdr>
        <w:top w:val="none" w:sz="0" w:space="0" w:color="auto"/>
        <w:left w:val="none" w:sz="0" w:space="0" w:color="auto"/>
        <w:bottom w:val="none" w:sz="0" w:space="0" w:color="auto"/>
        <w:right w:val="none" w:sz="0" w:space="0" w:color="auto"/>
      </w:divBdr>
    </w:div>
    <w:div w:id="553931627">
      <w:bodyDiv w:val="1"/>
      <w:marLeft w:val="0"/>
      <w:marRight w:val="0"/>
      <w:marTop w:val="0"/>
      <w:marBottom w:val="0"/>
      <w:divBdr>
        <w:top w:val="none" w:sz="0" w:space="0" w:color="auto"/>
        <w:left w:val="none" w:sz="0" w:space="0" w:color="auto"/>
        <w:bottom w:val="none" w:sz="0" w:space="0" w:color="auto"/>
        <w:right w:val="none" w:sz="0" w:space="0" w:color="auto"/>
      </w:divBdr>
    </w:div>
    <w:div w:id="554238905">
      <w:bodyDiv w:val="1"/>
      <w:marLeft w:val="0"/>
      <w:marRight w:val="0"/>
      <w:marTop w:val="0"/>
      <w:marBottom w:val="0"/>
      <w:divBdr>
        <w:top w:val="none" w:sz="0" w:space="0" w:color="auto"/>
        <w:left w:val="none" w:sz="0" w:space="0" w:color="auto"/>
        <w:bottom w:val="none" w:sz="0" w:space="0" w:color="auto"/>
        <w:right w:val="none" w:sz="0" w:space="0" w:color="auto"/>
      </w:divBdr>
    </w:div>
    <w:div w:id="567031840">
      <w:bodyDiv w:val="1"/>
      <w:marLeft w:val="0"/>
      <w:marRight w:val="0"/>
      <w:marTop w:val="0"/>
      <w:marBottom w:val="0"/>
      <w:divBdr>
        <w:top w:val="none" w:sz="0" w:space="0" w:color="auto"/>
        <w:left w:val="none" w:sz="0" w:space="0" w:color="auto"/>
        <w:bottom w:val="none" w:sz="0" w:space="0" w:color="auto"/>
        <w:right w:val="none" w:sz="0" w:space="0" w:color="auto"/>
      </w:divBdr>
    </w:div>
    <w:div w:id="584921178">
      <w:bodyDiv w:val="1"/>
      <w:marLeft w:val="0"/>
      <w:marRight w:val="0"/>
      <w:marTop w:val="0"/>
      <w:marBottom w:val="0"/>
      <w:divBdr>
        <w:top w:val="none" w:sz="0" w:space="0" w:color="auto"/>
        <w:left w:val="none" w:sz="0" w:space="0" w:color="auto"/>
        <w:bottom w:val="none" w:sz="0" w:space="0" w:color="auto"/>
        <w:right w:val="none" w:sz="0" w:space="0" w:color="auto"/>
      </w:divBdr>
    </w:div>
    <w:div w:id="590086947">
      <w:bodyDiv w:val="1"/>
      <w:marLeft w:val="0"/>
      <w:marRight w:val="0"/>
      <w:marTop w:val="0"/>
      <w:marBottom w:val="0"/>
      <w:divBdr>
        <w:top w:val="none" w:sz="0" w:space="0" w:color="auto"/>
        <w:left w:val="none" w:sz="0" w:space="0" w:color="auto"/>
        <w:bottom w:val="none" w:sz="0" w:space="0" w:color="auto"/>
        <w:right w:val="none" w:sz="0" w:space="0" w:color="auto"/>
      </w:divBdr>
    </w:div>
    <w:div w:id="599096490">
      <w:bodyDiv w:val="1"/>
      <w:marLeft w:val="0"/>
      <w:marRight w:val="0"/>
      <w:marTop w:val="0"/>
      <w:marBottom w:val="0"/>
      <w:divBdr>
        <w:top w:val="none" w:sz="0" w:space="0" w:color="auto"/>
        <w:left w:val="none" w:sz="0" w:space="0" w:color="auto"/>
        <w:bottom w:val="none" w:sz="0" w:space="0" w:color="auto"/>
        <w:right w:val="none" w:sz="0" w:space="0" w:color="auto"/>
      </w:divBdr>
    </w:div>
    <w:div w:id="600723199">
      <w:bodyDiv w:val="1"/>
      <w:marLeft w:val="0"/>
      <w:marRight w:val="0"/>
      <w:marTop w:val="0"/>
      <w:marBottom w:val="0"/>
      <w:divBdr>
        <w:top w:val="none" w:sz="0" w:space="0" w:color="auto"/>
        <w:left w:val="none" w:sz="0" w:space="0" w:color="auto"/>
        <w:bottom w:val="none" w:sz="0" w:space="0" w:color="auto"/>
        <w:right w:val="none" w:sz="0" w:space="0" w:color="auto"/>
      </w:divBdr>
    </w:div>
    <w:div w:id="676157042">
      <w:bodyDiv w:val="1"/>
      <w:marLeft w:val="0"/>
      <w:marRight w:val="0"/>
      <w:marTop w:val="0"/>
      <w:marBottom w:val="0"/>
      <w:divBdr>
        <w:top w:val="none" w:sz="0" w:space="0" w:color="auto"/>
        <w:left w:val="none" w:sz="0" w:space="0" w:color="auto"/>
        <w:bottom w:val="none" w:sz="0" w:space="0" w:color="auto"/>
        <w:right w:val="none" w:sz="0" w:space="0" w:color="auto"/>
      </w:divBdr>
    </w:div>
    <w:div w:id="679087209">
      <w:bodyDiv w:val="1"/>
      <w:marLeft w:val="0"/>
      <w:marRight w:val="0"/>
      <w:marTop w:val="0"/>
      <w:marBottom w:val="0"/>
      <w:divBdr>
        <w:top w:val="none" w:sz="0" w:space="0" w:color="auto"/>
        <w:left w:val="none" w:sz="0" w:space="0" w:color="auto"/>
        <w:bottom w:val="none" w:sz="0" w:space="0" w:color="auto"/>
        <w:right w:val="none" w:sz="0" w:space="0" w:color="auto"/>
      </w:divBdr>
    </w:div>
    <w:div w:id="709837255">
      <w:bodyDiv w:val="1"/>
      <w:marLeft w:val="0"/>
      <w:marRight w:val="0"/>
      <w:marTop w:val="0"/>
      <w:marBottom w:val="0"/>
      <w:divBdr>
        <w:top w:val="none" w:sz="0" w:space="0" w:color="auto"/>
        <w:left w:val="none" w:sz="0" w:space="0" w:color="auto"/>
        <w:bottom w:val="none" w:sz="0" w:space="0" w:color="auto"/>
        <w:right w:val="none" w:sz="0" w:space="0" w:color="auto"/>
      </w:divBdr>
    </w:div>
    <w:div w:id="759448198">
      <w:bodyDiv w:val="1"/>
      <w:marLeft w:val="0"/>
      <w:marRight w:val="0"/>
      <w:marTop w:val="0"/>
      <w:marBottom w:val="0"/>
      <w:divBdr>
        <w:top w:val="none" w:sz="0" w:space="0" w:color="auto"/>
        <w:left w:val="none" w:sz="0" w:space="0" w:color="auto"/>
        <w:bottom w:val="none" w:sz="0" w:space="0" w:color="auto"/>
        <w:right w:val="none" w:sz="0" w:space="0" w:color="auto"/>
      </w:divBdr>
    </w:div>
    <w:div w:id="852457130">
      <w:bodyDiv w:val="1"/>
      <w:marLeft w:val="0"/>
      <w:marRight w:val="0"/>
      <w:marTop w:val="0"/>
      <w:marBottom w:val="0"/>
      <w:divBdr>
        <w:top w:val="none" w:sz="0" w:space="0" w:color="auto"/>
        <w:left w:val="none" w:sz="0" w:space="0" w:color="auto"/>
        <w:bottom w:val="none" w:sz="0" w:space="0" w:color="auto"/>
        <w:right w:val="none" w:sz="0" w:space="0" w:color="auto"/>
      </w:divBdr>
    </w:div>
    <w:div w:id="856306717">
      <w:bodyDiv w:val="1"/>
      <w:marLeft w:val="0"/>
      <w:marRight w:val="0"/>
      <w:marTop w:val="0"/>
      <w:marBottom w:val="0"/>
      <w:divBdr>
        <w:top w:val="none" w:sz="0" w:space="0" w:color="auto"/>
        <w:left w:val="none" w:sz="0" w:space="0" w:color="auto"/>
        <w:bottom w:val="none" w:sz="0" w:space="0" w:color="auto"/>
        <w:right w:val="none" w:sz="0" w:space="0" w:color="auto"/>
      </w:divBdr>
    </w:div>
    <w:div w:id="867765973">
      <w:bodyDiv w:val="1"/>
      <w:marLeft w:val="0"/>
      <w:marRight w:val="0"/>
      <w:marTop w:val="0"/>
      <w:marBottom w:val="0"/>
      <w:divBdr>
        <w:top w:val="none" w:sz="0" w:space="0" w:color="auto"/>
        <w:left w:val="none" w:sz="0" w:space="0" w:color="auto"/>
        <w:bottom w:val="none" w:sz="0" w:space="0" w:color="auto"/>
        <w:right w:val="none" w:sz="0" w:space="0" w:color="auto"/>
      </w:divBdr>
    </w:div>
    <w:div w:id="877662379">
      <w:bodyDiv w:val="1"/>
      <w:marLeft w:val="0"/>
      <w:marRight w:val="0"/>
      <w:marTop w:val="0"/>
      <w:marBottom w:val="0"/>
      <w:divBdr>
        <w:top w:val="none" w:sz="0" w:space="0" w:color="auto"/>
        <w:left w:val="none" w:sz="0" w:space="0" w:color="auto"/>
        <w:bottom w:val="none" w:sz="0" w:space="0" w:color="auto"/>
        <w:right w:val="none" w:sz="0" w:space="0" w:color="auto"/>
      </w:divBdr>
    </w:div>
    <w:div w:id="890459221">
      <w:bodyDiv w:val="1"/>
      <w:marLeft w:val="0"/>
      <w:marRight w:val="0"/>
      <w:marTop w:val="0"/>
      <w:marBottom w:val="0"/>
      <w:divBdr>
        <w:top w:val="none" w:sz="0" w:space="0" w:color="auto"/>
        <w:left w:val="none" w:sz="0" w:space="0" w:color="auto"/>
        <w:bottom w:val="none" w:sz="0" w:space="0" w:color="auto"/>
        <w:right w:val="none" w:sz="0" w:space="0" w:color="auto"/>
      </w:divBdr>
    </w:div>
    <w:div w:id="898902683">
      <w:bodyDiv w:val="1"/>
      <w:marLeft w:val="0"/>
      <w:marRight w:val="0"/>
      <w:marTop w:val="0"/>
      <w:marBottom w:val="0"/>
      <w:divBdr>
        <w:top w:val="none" w:sz="0" w:space="0" w:color="auto"/>
        <w:left w:val="none" w:sz="0" w:space="0" w:color="auto"/>
        <w:bottom w:val="none" w:sz="0" w:space="0" w:color="auto"/>
        <w:right w:val="none" w:sz="0" w:space="0" w:color="auto"/>
      </w:divBdr>
    </w:div>
    <w:div w:id="917250338">
      <w:bodyDiv w:val="1"/>
      <w:marLeft w:val="0"/>
      <w:marRight w:val="0"/>
      <w:marTop w:val="0"/>
      <w:marBottom w:val="0"/>
      <w:divBdr>
        <w:top w:val="none" w:sz="0" w:space="0" w:color="auto"/>
        <w:left w:val="none" w:sz="0" w:space="0" w:color="auto"/>
        <w:bottom w:val="none" w:sz="0" w:space="0" w:color="auto"/>
        <w:right w:val="none" w:sz="0" w:space="0" w:color="auto"/>
      </w:divBdr>
    </w:div>
    <w:div w:id="939333162">
      <w:bodyDiv w:val="1"/>
      <w:marLeft w:val="0"/>
      <w:marRight w:val="0"/>
      <w:marTop w:val="0"/>
      <w:marBottom w:val="0"/>
      <w:divBdr>
        <w:top w:val="none" w:sz="0" w:space="0" w:color="auto"/>
        <w:left w:val="none" w:sz="0" w:space="0" w:color="auto"/>
        <w:bottom w:val="none" w:sz="0" w:space="0" w:color="auto"/>
        <w:right w:val="none" w:sz="0" w:space="0" w:color="auto"/>
      </w:divBdr>
    </w:div>
    <w:div w:id="1046949532">
      <w:bodyDiv w:val="1"/>
      <w:marLeft w:val="0"/>
      <w:marRight w:val="0"/>
      <w:marTop w:val="0"/>
      <w:marBottom w:val="0"/>
      <w:divBdr>
        <w:top w:val="none" w:sz="0" w:space="0" w:color="auto"/>
        <w:left w:val="none" w:sz="0" w:space="0" w:color="auto"/>
        <w:bottom w:val="none" w:sz="0" w:space="0" w:color="auto"/>
        <w:right w:val="none" w:sz="0" w:space="0" w:color="auto"/>
      </w:divBdr>
    </w:div>
    <w:div w:id="1049959525">
      <w:bodyDiv w:val="1"/>
      <w:marLeft w:val="0"/>
      <w:marRight w:val="0"/>
      <w:marTop w:val="0"/>
      <w:marBottom w:val="0"/>
      <w:divBdr>
        <w:top w:val="none" w:sz="0" w:space="0" w:color="auto"/>
        <w:left w:val="none" w:sz="0" w:space="0" w:color="auto"/>
        <w:bottom w:val="none" w:sz="0" w:space="0" w:color="auto"/>
        <w:right w:val="none" w:sz="0" w:space="0" w:color="auto"/>
      </w:divBdr>
    </w:div>
    <w:div w:id="1063719022">
      <w:bodyDiv w:val="1"/>
      <w:marLeft w:val="0"/>
      <w:marRight w:val="0"/>
      <w:marTop w:val="0"/>
      <w:marBottom w:val="0"/>
      <w:divBdr>
        <w:top w:val="none" w:sz="0" w:space="0" w:color="auto"/>
        <w:left w:val="none" w:sz="0" w:space="0" w:color="auto"/>
        <w:bottom w:val="none" w:sz="0" w:space="0" w:color="auto"/>
        <w:right w:val="none" w:sz="0" w:space="0" w:color="auto"/>
      </w:divBdr>
    </w:div>
    <w:div w:id="1071654882">
      <w:bodyDiv w:val="1"/>
      <w:marLeft w:val="0"/>
      <w:marRight w:val="0"/>
      <w:marTop w:val="0"/>
      <w:marBottom w:val="0"/>
      <w:divBdr>
        <w:top w:val="none" w:sz="0" w:space="0" w:color="auto"/>
        <w:left w:val="none" w:sz="0" w:space="0" w:color="auto"/>
        <w:bottom w:val="none" w:sz="0" w:space="0" w:color="auto"/>
        <w:right w:val="none" w:sz="0" w:space="0" w:color="auto"/>
      </w:divBdr>
    </w:div>
    <w:div w:id="1089498489">
      <w:bodyDiv w:val="1"/>
      <w:marLeft w:val="0"/>
      <w:marRight w:val="0"/>
      <w:marTop w:val="0"/>
      <w:marBottom w:val="0"/>
      <w:divBdr>
        <w:top w:val="none" w:sz="0" w:space="0" w:color="auto"/>
        <w:left w:val="none" w:sz="0" w:space="0" w:color="auto"/>
        <w:bottom w:val="none" w:sz="0" w:space="0" w:color="auto"/>
        <w:right w:val="none" w:sz="0" w:space="0" w:color="auto"/>
      </w:divBdr>
    </w:div>
    <w:div w:id="1092117712">
      <w:bodyDiv w:val="1"/>
      <w:marLeft w:val="0"/>
      <w:marRight w:val="0"/>
      <w:marTop w:val="0"/>
      <w:marBottom w:val="0"/>
      <w:divBdr>
        <w:top w:val="none" w:sz="0" w:space="0" w:color="auto"/>
        <w:left w:val="none" w:sz="0" w:space="0" w:color="auto"/>
        <w:bottom w:val="none" w:sz="0" w:space="0" w:color="auto"/>
        <w:right w:val="none" w:sz="0" w:space="0" w:color="auto"/>
      </w:divBdr>
    </w:div>
    <w:div w:id="1094863324">
      <w:bodyDiv w:val="1"/>
      <w:marLeft w:val="0"/>
      <w:marRight w:val="0"/>
      <w:marTop w:val="0"/>
      <w:marBottom w:val="0"/>
      <w:divBdr>
        <w:top w:val="none" w:sz="0" w:space="0" w:color="auto"/>
        <w:left w:val="none" w:sz="0" w:space="0" w:color="auto"/>
        <w:bottom w:val="none" w:sz="0" w:space="0" w:color="auto"/>
        <w:right w:val="none" w:sz="0" w:space="0" w:color="auto"/>
      </w:divBdr>
    </w:div>
    <w:div w:id="1119254656">
      <w:bodyDiv w:val="1"/>
      <w:marLeft w:val="0"/>
      <w:marRight w:val="0"/>
      <w:marTop w:val="0"/>
      <w:marBottom w:val="0"/>
      <w:divBdr>
        <w:top w:val="none" w:sz="0" w:space="0" w:color="auto"/>
        <w:left w:val="none" w:sz="0" w:space="0" w:color="auto"/>
        <w:bottom w:val="none" w:sz="0" w:space="0" w:color="auto"/>
        <w:right w:val="none" w:sz="0" w:space="0" w:color="auto"/>
      </w:divBdr>
    </w:div>
    <w:div w:id="1151870218">
      <w:bodyDiv w:val="1"/>
      <w:marLeft w:val="0"/>
      <w:marRight w:val="0"/>
      <w:marTop w:val="0"/>
      <w:marBottom w:val="0"/>
      <w:divBdr>
        <w:top w:val="none" w:sz="0" w:space="0" w:color="auto"/>
        <w:left w:val="none" w:sz="0" w:space="0" w:color="auto"/>
        <w:bottom w:val="none" w:sz="0" w:space="0" w:color="auto"/>
        <w:right w:val="none" w:sz="0" w:space="0" w:color="auto"/>
      </w:divBdr>
    </w:div>
    <w:div w:id="1162696076">
      <w:bodyDiv w:val="1"/>
      <w:marLeft w:val="0"/>
      <w:marRight w:val="0"/>
      <w:marTop w:val="0"/>
      <w:marBottom w:val="0"/>
      <w:divBdr>
        <w:top w:val="none" w:sz="0" w:space="0" w:color="auto"/>
        <w:left w:val="none" w:sz="0" w:space="0" w:color="auto"/>
        <w:bottom w:val="none" w:sz="0" w:space="0" w:color="auto"/>
        <w:right w:val="none" w:sz="0" w:space="0" w:color="auto"/>
      </w:divBdr>
    </w:div>
    <w:div w:id="1186404545">
      <w:bodyDiv w:val="1"/>
      <w:marLeft w:val="0"/>
      <w:marRight w:val="0"/>
      <w:marTop w:val="0"/>
      <w:marBottom w:val="0"/>
      <w:divBdr>
        <w:top w:val="none" w:sz="0" w:space="0" w:color="auto"/>
        <w:left w:val="none" w:sz="0" w:space="0" w:color="auto"/>
        <w:bottom w:val="none" w:sz="0" w:space="0" w:color="auto"/>
        <w:right w:val="none" w:sz="0" w:space="0" w:color="auto"/>
      </w:divBdr>
    </w:div>
    <w:div w:id="1209800347">
      <w:bodyDiv w:val="1"/>
      <w:marLeft w:val="0"/>
      <w:marRight w:val="0"/>
      <w:marTop w:val="0"/>
      <w:marBottom w:val="0"/>
      <w:divBdr>
        <w:top w:val="none" w:sz="0" w:space="0" w:color="auto"/>
        <w:left w:val="none" w:sz="0" w:space="0" w:color="auto"/>
        <w:bottom w:val="none" w:sz="0" w:space="0" w:color="auto"/>
        <w:right w:val="none" w:sz="0" w:space="0" w:color="auto"/>
      </w:divBdr>
    </w:div>
    <w:div w:id="1225725416">
      <w:bodyDiv w:val="1"/>
      <w:marLeft w:val="0"/>
      <w:marRight w:val="0"/>
      <w:marTop w:val="0"/>
      <w:marBottom w:val="0"/>
      <w:divBdr>
        <w:top w:val="none" w:sz="0" w:space="0" w:color="auto"/>
        <w:left w:val="none" w:sz="0" w:space="0" w:color="auto"/>
        <w:bottom w:val="none" w:sz="0" w:space="0" w:color="auto"/>
        <w:right w:val="none" w:sz="0" w:space="0" w:color="auto"/>
      </w:divBdr>
    </w:div>
    <w:div w:id="1255360116">
      <w:bodyDiv w:val="1"/>
      <w:marLeft w:val="0"/>
      <w:marRight w:val="0"/>
      <w:marTop w:val="0"/>
      <w:marBottom w:val="0"/>
      <w:divBdr>
        <w:top w:val="none" w:sz="0" w:space="0" w:color="auto"/>
        <w:left w:val="none" w:sz="0" w:space="0" w:color="auto"/>
        <w:bottom w:val="none" w:sz="0" w:space="0" w:color="auto"/>
        <w:right w:val="none" w:sz="0" w:space="0" w:color="auto"/>
      </w:divBdr>
    </w:div>
    <w:div w:id="1289892513">
      <w:bodyDiv w:val="1"/>
      <w:marLeft w:val="0"/>
      <w:marRight w:val="0"/>
      <w:marTop w:val="0"/>
      <w:marBottom w:val="0"/>
      <w:divBdr>
        <w:top w:val="none" w:sz="0" w:space="0" w:color="auto"/>
        <w:left w:val="none" w:sz="0" w:space="0" w:color="auto"/>
        <w:bottom w:val="none" w:sz="0" w:space="0" w:color="auto"/>
        <w:right w:val="none" w:sz="0" w:space="0" w:color="auto"/>
      </w:divBdr>
    </w:div>
    <w:div w:id="1294017662">
      <w:bodyDiv w:val="1"/>
      <w:marLeft w:val="0"/>
      <w:marRight w:val="0"/>
      <w:marTop w:val="0"/>
      <w:marBottom w:val="0"/>
      <w:divBdr>
        <w:top w:val="none" w:sz="0" w:space="0" w:color="auto"/>
        <w:left w:val="none" w:sz="0" w:space="0" w:color="auto"/>
        <w:bottom w:val="none" w:sz="0" w:space="0" w:color="auto"/>
        <w:right w:val="none" w:sz="0" w:space="0" w:color="auto"/>
      </w:divBdr>
    </w:div>
    <w:div w:id="1294024547">
      <w:bodyDiv w:val="1"/>
      <w:marLeft w:val="0"/>
      <w:marRight w:val="0"/>
      <w:marTop w:val="0"/>
      <w:marBottom w:val="0"/>
      <w:divBdr>
        <w:top w:val="none" w:sz="0" w:space="0" w:color="auto"/>
        <w:left w:val="none" w:sz="0" w:space="0" w:color="auto"/>
        <w:bottom w:val="none" w:sz="0" w:space="0" w:color="auto"/>
        <w:right w:val="none" w:sz="0" w:space="0" w:color="auto"/>
      </w:divBdr>
    </w:div>
    <w:div w:id="1307468557">
      <w:bodyDiv w:val="1"/>
      <w:marLeft w:val="0"/>
      <w:marRight w:val="0"/>
      <w:marTop w:val="0"/>
      <w:marBottom w:val="0"/>
      <w:divBdr>
        <w:top w:val="none" w:sz="0" w:space="0" w:color="auto"/>
        <w:left w:val="none" w:sz="0" w:space="0" w:color="auto"/>
        <w:bottom w:val="none" w:sz="0" w:space="0" w:color="auto"/>
        <w:right w:val="none" w:sz="0" w:space="0" w:color="auto"/>
      </w:divBdr>
    </w:div>
    <w:div w:id="1319267241">
      <w:bodyDiv w:val="1"/>
      <w:marLeft w:val="0"/>
      <w:marRight w:val="0"/>
      <w:marTop w:val="0"/>
      <w:marBottom w:val="0"/>
      <w:divBdr>
        <w:top w:val="none" w:sz="0" w:space="0" w:color="auto"/>
        <w:left w:val="none" w:sz="0" w:space="0" w:color="auto"/>
        <w:bottom w:val="none" w:sz="0" w:space="0" w:color="auto"/>
        <w:right w:val="none" w:sz="0" w:space="0" w:color="auto"/>
      </w:divBdr>
    </w:div>
    <w:div w:id="1322079898">
      <w:bodyDiv w:val="1"/>
      <w:marLeft w:val="0"/>
      <w:marRight w:val="0"/>
      <w:marTop w:val="0"/>
      <w:marBottom w:val="0"/>
      <w:divBdr>
        <w:top w:val="none" w:sz="0" w:space="0" w:color="auto"/>
        <w:left w:val="none" w:sz="0" w:space="0" w:color="auto"/>
        <w:bottom w:val="none" w:sz="0" w:space="0" w:color="auto"/>
        <w:right w:val="none" w:sz="0" w:space="0" w:color="auto"/>
      </w:divBdr>
    </w:div>
    <w:div w:id="1324042040">
      <w:bodyDiv w:val="1"/>
      <w:marLeft w:val="0"/>
      <w:marRight w:val="0"/>
      <w:marTop w:val="0"/>
      <w:marBottom w:val="0"/>
      <w:divBdr>
        <w:top w:val="none" w:sz="0" w:space="0" w:color="auto"/>
        <w:left w:val="none" w:sz="0" w:space="0" w:color="auto"/>
        <w:bottom w:val="none" w:sz="0" w:space="0" w:color="auto"/>
        <w:right w:val="none" w:sz="0" w:space="0" w:color="auto"/>
      </w:divBdr>
    </w:div>
    <w:div w:id="1328435583">
      <w:bodyDiv w:val="1"/>
      <w:marLeft w:val="0"/>
      <w:marRight w:val="0"/>
      <w:marTop w:val="0"/>
      <w:marBottom w:val="0"/>
      <w:divBdr>
        <w:top w:val="none" w:sz="0" w:space="0" w:color="auto"/>
        <w:left w:val="none" w:sz="0" w:space="0" w:color="auto"/>
        <w:bottom w:val="none" w:sz="0" w:space="0" w:color="auto"/>
        <w:right w:val="none" w:sz="0" w:space="0" w:color="auto"/>
      </w:divBdr>
    </w:div>
    <w:div w:id="1368334038">
      <w:bodyDiv w:val="1"/>
      <w:marLeft w:val="0"/>
      <w:marRight w:val="0"/>
      <w:marTop w:val="0"/>
      <w:marBottom w:val="0"/>
      <w:divBdr>
        <w:top w:val="none" w:sz="0" w:space="0" w:color="auto"/>
        <w:left w:val="none" w:sz="0" w:space="0" w:color="auto"/>
        <w:bottom w:val="none" w:sz="0" w:space="0" w:color="auto"/>
        <w:right w:val="none" w:sz="0" w:space="0" w:color="auto"/>
      </w:divBdr>
    </w:div>
    <w:div w:id="1377972451">
      <w:bodyDiv w:val="1"/>
      <w:marLeft w:val="0"/>
      <w:marRight w:val="0"/>
      <w:marTop w:val="0"/>
      <w:marBottom w:val="0"/>
      <w:divBdr>
        <w:top w:val="none" w:sz="0" w:space="0" w:color="auto"/>
        <w:left w:val="none" w:sz="0" w:space="0" w:color="auto"/>
        <w:bottom w:val="none" w:sz="0" w:space="0" w:color="auto"/>
        <w:right w:val="none" w:sz="0" w:space="0" w:color="auto"/>
      </w:divBdr>
    </w:div>
    <w:div w:id="1438480233">
      <w:bodyDiv w:val="1"/>
      <w:marLeft w:val="0"/>
      <w:marRight w:val="0"/>
      <w:marTop w:val="0"/>
      <w:marBottom w:val="0"/>
      <w:divBdr>
        <w:top w:val="none" w:sz="0" w:space="0" w:color="auto"/>
        <w:left w:val="none" w:sz="0" w:space="0" w:color="auto"/>
        <w:bottom w:val="none" w:sz="0" w:space="0" w:color="auto"/>
        <w:right w:val="none" w:sz="0" w:space="0" w:color="auto"/>
      </w:divBdr>
    </w:div>
    <w:div w:id="1441990809">
      <w:bodyDiv w:val="1"/>
      <w:marLeft w:val="0"/>
      <w:marRight w:val="0"/>
      <w:marTop w:val="0"/>
      <w:marBottom w:val="0"/>
      <w:divBdr>
        <w:top w:val="none" w:sz="0" w:space="0" w:color="auto"/>
        <w:left w:val="none" w:sz="0" w:space="0" w:color="auto"/>
        <w:bottom w:val="none" w:sz="0" w:space="0" w:color="auto"/>
        <w:right w:val="none" w:sz="0" w:space="0" w:color="auto"/>
      </w:divBdr>
    </w:div>
    <w:div w:id="1448506792">
      <w:bodyDiv w:val="1"/>
      <w:marLeft w:val="0"/>
      <w:marRight w:val="0"/>
      <w:marTop w:val="0"/>
      <w:marBottom w:val="0"/>
      <w:divBdr>
        <w:top w:val="none" w:sz="0" w:space="0" w:color="auto"/>
        <w:left w:val="none" w:sz="0" w:space="0" w:color="auto"/>
        <w:bottom w:val="none" w:sz="0" w:space="0" w:color="auto"/>
        <w:right w:val="none" w:sz="0" w:space="0" w:color="auto"/>
      </w:divBdr>
    </w:div>
    <w:div w:id="1455294279">
      <w:bodyDiv w:val="1"/>
      <w:marLeft w:val="0"/>
      <w:marRight w:val="0"/>
      <w:marTop w:val="0"/>
      <w:marBottom w:val="0"/>
      <w:divBdr>
        <w:top w:val="none" w:sz="0" w:space="0" w:color="auto"/>
        <w:left w:val="none" w:sz="0" w:space="0" w:color="auto"/>
        <w:bottom w:val="none" w:sz="0" w:space="0" w:color="auto"/>
        <w:right w:val="none" w:sz="0" w:space="0" w:color="auto"/>
      </w:divBdr>
    </w:div>
    <w:div w:id="1504197803">
      <w:bodyDiv w:val="1"/>
      <w:marLeft w:val="0"/>
      <w:marRight w:val="0"/>
      <w:marTop w:val="0"/>
      <w:marBottom w:val="0"/>
      <w:divBdr>
        <w:top w:val="none" w:sz="0" w:space="0" w:color="auto"/>
        <w:left w:val="none" w:sz="0" w:space="0" w:color="auto"/>
        <w:bottom w:val="none" w:sz="0" w:space="0" w:color="auto"/>
        <w:right w:val="none" w:sz="0" w:space="0" w:color="auto"/>
      </w:divBdr>
    </w:div>
    <w:div w:id="1521627118">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4052398">
      <w:bodyDiv w:val="1"/>
      <w:marLeft w:val="0"/>
      <w:marRight w:val="0"/>
      <w:marTop w:val="0"/>
      <w:marBottom w:val="0"/>
      <w:divBdr>
        <w:top w:val="none" w:sz="0" w:space="0" w:color="auto"/>
        <w:left w:val="none" w:sz="0" w:space="0" w:color="auto"/>
        <w:bottom w:val="none" w:sz="0" w:space="0" w:color="auto"/>
        <w:right w:val="none" w:sz="0" w:space="0" w:color="auto"/>
      </w:divBdr>
    </w:div>
    <w:div w:id="1597596933">
      <w:bodyDiv w:val="1"/>
      <w:marLeft w:val="0"/>
      <w:marRight w:val="0"/>
      <w:marTop w:val="0"/>
      <w:marBottom w:val="0"/>
      <w:divBdr>
        <w:top w:val="none" w:sz="0" w:space="0" w:color="auto"/>
        <w:left w:val="none" w:sz="0" w:space="0" w:color="auto"/>
        <w:bottom w:val="none" w:sz="0" w:space="0" w:color="auto"/>
        <w:right w:val="none" w:sz="0" w:space="0" w:color="auto"/>
      </w:divBdr>
    </w:div>
    <w:div w:id="1610312743">
      <w:bodyDiv w:val="1"/>
      <w:marLeft w:val="0"/>
      <w:marRight w:val="0"/>
      <w:marTop w:val="0"/>
      <w:marBottom w:val="0"/>
      <w:divBdr>
        <w:top w:val="none" w:sz="0" w:space="0" w:color="auto"/>
        <w:left w:val="none" w:sz="0" w:space="0" w:color="auto"/>
        <w:bottom w:val="none" w:sz="0" w:space="0" w:color="auto"/>
        <w:right w:val="none" w:sz="0" w:space="0" w:color="auto"/>
      </w:divBdr>
    </w:div>
    <w:div w:id="1616214817">
      <w:bodyDiv w:val="1"/>
      <w:marLeft w:val="0"/>
      <w:marRight w:val="0"/>
      <w:marTop w:val="0"/>
      <w:marBottom w:val="0"/>
      <w:divBdr>
        <w:top w:val="none" w:sz="0" w:space="0" w:color="auto"/>
        <w:left w:val="none" w:sz="0" w:space="0" w:color="auto"/>
        <w:bottom w:val="none" w:sz="0" w:space="0" w:color="auto"/>
        <w:right w:val="none" w:sz="0" w:space="0" w:color="auto"/>
      </w:divBdr>
    </w:div>
    <w:div w:id="1639333518">
      <w:bodyDiv w:val="1"/>
      <w:marLeft w:val="0"/>
      <w:marRight w:val="0"/>
      <w:marTop w:val="0"/>
      <w:marBottom w:val="0"/>
      <w:divBdr>
        <w:top w:val="none" w:sz="0" w:space="0" w:color="auto"/>
        <w:left w:val="none" w:sz="0" w:space="0" w:color="auto"/>
        <w:bottom w:val="none" w:sz="0" w:space="0" w:color="auto"/>
        <w:right w:val="none" w:sz="0" w:space="0" w:color="auto"/>
      </w:divBdr>
    </w:div>
    <w:div w:id="1657949747">
      <w:bodyDiv w:val="1"/>
      <w:marLeft w:val="0"/>
      <w:marRight w:val="0"/>
      <w:marTop w:val="0"/>
      <w:marBottom w:val="0"/>
      <w:divBdr>
        <w:top w:val="none" w:sz="0" w:space="0" w:color="auto"/>
        <w:left w:val="none" w:sz="0" w:space="0" w:color="auto"/>
        <w:bottom w:val="none" w:sz="0" w:space="0" w:color="auto"/>
        <w:right w:val="none" w:sz="0" w:space="0" w:color="auto"/>
      </w:divBdr>
    </w:div>
    <w:div w:id="1660378819">
      <w:bodyDiv w:val="1"/>
      <w:marLeft w:val="0"/>
      <w:marRight w:val="0"/>
      <w:marTop w:val="0"/>
      <w:marBottom w:val="0"/>
      <w:divBdr>
        <w:top w:val="none" w:sz="0" w:space="0" w:color="auto"/>
        <w:left w:val="none" w:sz="0" w:space="0" w:color="auto"/>
        <w:bottom w:val="none" w:sz="0" w:space="0" w:color="auto"/>
        <w:right w:val="none" w:sz="0" w:space="0" w:color="auto"/>
      </w:divBdr>
    </w:div>
    <w:div w:id="1669093435">
      <w:bodyDiv w:val="1"/>
      <w:marLeft w:val="0"/>
      <w:marRight w:val="0"/>
      <w:marTop w:val="0"/>
      <w:marBottom w:val="0"/>
      <w:divBdr>
        <w:top w:val="none" w:sz="0" w:space="0" w:color="auto"/>
        <w:left w:val="none" w:sz="0" w:space="0" w:color="auto"/>
        <w:bottom w:val="none" w:sz="0" w:space="0" w:color="auto"/>
        <w:right w:val="none" w:sz="0" w:space="0" w:color="auto"/>
      </w:divBdr>
    </w:div>
    <w:div w:id="1674607879">
      <w:bodyDiv w:val="1"/>
      <w:marLeft w:val="0"/>
      <w:marRight w:val="0"/>
      <w:marTop w:val="0"/>
      <w:marBottom w:val="0"/>
      <w:divBdr>
        <w:top w:val="none" w:sz="0" w:space="0" w:color="auto"/>
        <w:left w:val="none" w:sz="0" w:space="0" w:color="auto"/>
        <w:bottom w:val="none" w:sz="0" w:space="0" w:color="auto"/>
        <w:right w:val="none" w:sz="0" w:space="0" w:color="auto"/>
      </w:divBdr>
    </w:div>
    <w:div w:id="1695880242">
      <w:bodyDiv w:val="1"/>
      <w:marLeft w:val="0"/>
      <w:marRight w:val="0"/>
      <w:marTop w:val="0"/>
      <w:marBottom w:val="0"/>
      <w:divBdr>
        <w:top w:val="none" w:sz="0" w:space="0" w:color="auto"/>
        <w:left w:val="none" w:sz="0" w:space="0" w:color="auto"/>
        <w:bottom w:val="none" w:sz="0" w:space="0" w:color="auto"/>
        <w:right w:val="none" w:sz="0" w:space="0" w:color="auto"/>
      </w:divBdr>
    </w:div>
    <w:div w:id="1726827571">
      <w:bodyDiv w:val="1"/>
      <w:marLeft w:val="0"/>
      <w:marRight w:val="0"/>
      <w:marTop w:val="0"/>
      <w:marBottom w:val="0"/>
      <w:divBdr>
        <w:top w:val="none" w:sz="0" w:space="0" w:color="auto"/>
        <w:left w:val="none" w:sz="0" w:space="0" w:color="auto"/>
        <w:bottom w:val="none" w:sz="0" w:space="0" w:color="auto"/>
        <w:right w:val="none" w:sz="0" w:space="0" w:color="auto"/>
      </w:divBdr>
    </w:div>
    <w:div w:id="1740905308">
      <w:bodyDiv w:val="1"/>
      <w:marLeft w:val="0"/>
      <w:marRight w:val="0"/>
      <w:marTop w:val="0"/>
      <w:marBottom w:val="0"/>
      <w:divBdr>
        <w:top w:val="none" w:sz="0" w:space="0" w:color="auto"/>
        <w:left w:val="none" w:sz="0" w:space="0" w:color="auto"/>
        <w:bottom w:val="none" w:sz="0" w:space="0" w:color="auto"/>
        <w:right w:val="none" w:sz="0" w:space="0" w:color="auto"/>
      </w:divBdr>
    </w:div>
    <w:div w:id="1749305706">
      <w:bodyDiv w:val="1"/>
      <w:marLeft w:val="0"/>
      <w:marRight w:val="0"/>
      <w:marTop w:val="0"/>
      <w:marBottom w:val="0"/>
      <w:divBdr>
        <w:top w:val="none" w:sz="0" w:space="0" w:color="auto"/>
        <w:left w:val="none" w:sz="0" w:space="0" w:color="auto"/>
        <w:bottom w:val="none" w:sz="0" w:space="0" w:color="auto"/>
        <w:right w:val="none" w:sz="0" w:space="0" w:color="auto"/>
      </w:divBdr>
    </w:div>
    <w:div w:id="1761413937">
      <w:bodyDiv w:val="1"/>
      <w:marLeft w:val="0"/>
      <w:marRight w:val="0"/>
      <w:marTop w:val="0"/>
      <w:marBottom w:val="0"/>
      <w:divBdr>
        <w:top w:val="none" w:sz="0" w:space="0" w:color="auto"/>
        <w:left w:val="none" w:sz="0" w:space="0" w:color="auto"/>
        <w:bottom w:val="none" w:sz="0" w:space="0" w:color="auto"/>
        <w:right w:val="none" w:sz="0" w:space="0" w:color="auto"/>
      </w:divBdr>
    </w:div>
    <w:div w:id="1791899022">
      <w:bodyDiv w:val="1"/>
      <w:marLeft w:val="0"/>
      <w:marRight w:val="0"/>
      <w:marTop w:val="0"/>
      <w:marBottom w:val="0"/>
      <w:divBdr>
        <w:top w:val="none" w:sz="0" w:space="0" w:color="auto"/>
        <w:left w:val="none" w:sz="0" w:space="0" w:color="auto"/>
        <w:bottom w:val="none" w:sz="0" w:space="0" w:color="auto"/>
        <w:right w:val="none" w:sz="0" w:space="0" w:color="auto"/>
      </w:divBdr>
    </w:div>
    <w:div w:id="1796407988">
      <w:bodyDiv w:val="1"/>
      <w:marLeft w:val="0"/>
      <w:marRight w:val="0"/>
      <w:marTop w:val="0"/>
      <w:marBottom w:val="0"/>
      <w:divBdr>
        <w:top w:val="none" w:sz="0" w:space="0" w:color="auto"/>
        <w:left w:val="none" w:sz="0" w:space="0" w:color="auto"/>
        <w:bottom w:val="none" w:sz="0" w:space="0" w:color="auto"/>
        <w:right w:val="none" w:sz="0" w:space="0" w:color="auto"/>
      </w:divBdr>
    </w:div>
    <w:div w:id="1815944940">
      <w:bodyDiv w:val="1"/>
      <w:marLeft w:val="0"/>
      <w:marRight w:val="0"/>
      <w:marTop w:val="0"/>
      <w:marBottom w:val="0"/>
      <w:divBdr>
        <w:top w:val="none" w:sz="0" w:space="0" w:color="auto"/>
        <w:left w:val="none" w:sz="0" w:space="0" w:color="auto"/>
        <w:bottom w:val="none" w:sz="0" w:space="0" w:color="auto"/>
        <w:right w:val="none" w:sz="0" w:space="0" w:color="auto"/>
      </w:divBdr>
    </w:div>
    <w:div w:id="1819764478">
      <w:bodyDiv w:val="1"/>
      <w:marLeft w:val="0"/>
      <w:marRight w:val="0"/>
      <w:marTop w:val="0"/>
      <w:marBottom w:val="0"/>
      <w:divBdr>
        <w:top w:val="none" w:sz="0" w:space="0" w:color="auto"/>
        <w:left w:val="none" w:sz="0" w:space="0" w:color="auto"/>
        <w:bottom w:val="none" w:sz="0" w:space="0" w:color="auto"/>
        <w:right w:val="none" w:sz="0" w:space="0" w:color="auto"/>
      </w:divBdr>
    </w:div>
    <w:div w:id="1835366946">
      <w:bodyDiv w:val="1"/>
      <w:marLeft w:val="0"/>
      <w:marRight w:val="0"/>
      <w:marTop w:val="0"/>
      <w:marBottom w:val="0"/>
      <w:divBdr>
        <w:top w:val="none" w:sz="0" w:space="0" w:color="auto"/>
        <w:left w:val="none" w:sz="0" w:space="0" w:color="auto"/>
        <w:bottom w:val="none" w:sz="0" w:space="0" w:color="auto"/>
        <w:right w:val="none" w:sz="0" w:space="0" w:color="auto"/>
      </w:divBdr>
    </w:div>
    <w:div w:id="1857305929">
      <w:bodyDiv w:val="1"/>
      <w:marLeft w:val="0"/>
      <w:marRight w:val="0"/>
      <w:marTop w:val="0"/>
      <w:marBottom w:val="0"/>
      <w:divBdr>
        <w:top w:val="none" w:sz="0" w:space="0" w:color="auto"/>
        <w:left w:val="none" w:sz="0" w:space="0" w:color="auto"/>
        <w:bottom w:val="none" w:sz="0" w:space="0" w:color="auto"/>
        <w:right w:val="none" w:sz="0" w:space="0" w:color="auto"/>
      </w:divBdr>
    </w:div>
    <w:div w:id="1894074535">
      <w:bodyDiv w:val="1"/>
      <w:marLeft w:val="0"/>
      <w:marRight w:val="0"/>
      <w:marTop w:val="0"/>
      <w:marBottom w:val="0"/>
      <w:divBdr>
        <w:top w:val="none" w:sz="0" w:space="0" w:color="auto"/>
        <w:left w:val="none" w:sz="0" w:space="0" w:color="auto"/>
        <w:bottom w:val="none" w:sz="0" w:space="0" w:color="auto"/>
        <w:right w:val="none" w:sz="0" w:space="0" w:color="auto"/>
      </w:divBdr>
    </w:div>
    <w:div w:id="1931350000">
      <w:bodyDiv w:val="1"/>
      <w:marLeft w:val="0"/>
      <w:marRight w:val="0"/>
      <w:marTop w:val="0"/>
      <w:marBottom w:val="0"/>
      <w:divBdr>
        <w:top w:val="none" w:sz="0" w:space="0" w:color="auto"/>
        <w:left w:val="none" w:sz="0" w:space="0" w:color="auto"/>
        <w:bottom w:val="none" w:sz="0" w:space="0" w:color="auto"/>
        <w:right w:val="none" w:sz="0" w:space="0" w:color="auto"/>
      </w:divBdr>
    </w:div>
    <w:div w:id="1938443975">
      <w:bodyDiv w:val="1"/>
      <w:marLeft w:val="0"/>
      <w:marRight w:val="0"/>
      <w:marTop w:val="0"/>
      <w:marBottom w:val="0"/>
      <w:divBdr>
        <w:top w:val="none" w:sz="0" w:space="0" w:color="auto"/>
        <w:left w:val="none" w:sz="0" w:space="0" w:color="auto"/>
        <w:bottom w:val="none" w:sz="0" w:space="0" w:color="auto"/>
        <w:right w:val="none" w:sz="0" w:space="0" w:color="auto"/>
      </w:divBdr>
    </w:div>
    <w:div w:id="2048720917">
      <w:bodyDiv w:val="1"/>
      <w:marLeft w:val="0"/>
      <w:marRight w:val="0"/>
      <w:marTop w:val="0"/>
      <w:marBottom w:val="0"/>
      <w:divBdr>
        <w:top w:val="none" w:sz="0" w:space="0" w:color="auto"/>
        <w:left w:val="none" w:sz="0" w:space="0" w:color="auto"/>
        <w:bottom w:val="none" w:sz="0" w:space="0" w:color="auto"/>
        <w:right w:val="none" w:sz="0" w:space="0" w:color="auto"/>
      </w:divBdr>
    </w:div>
    <w:div w:id="2073045409">
      <w:bodyDiv w:val="1"/>
      <w:marLeft w:val="0"/>
      <w:marRight w:val="0"/>
      <w:marTop w:val="0"/>
      <w:marBottom w:val="0"/>
      <w:divBdr>
        <w:top w:val="none" w:sz="0" w:space="0" w:color="auto"/>
        <w:left w:val="none" w:sz="0" w:space="0" w:color="auto"/>
        <w:bottom w:val="none" w:sz="0" w:space="0" w:color="auto"/>
        <w:right w:val="none" w:sz="0" w:space="0" w:color="auto"/>
      </w:divBdr>
    </w:div>
    <w:div w:id="2097285896">
      <w:bodyDiv w:val="1"/>
      <w:marLeft w:val="0"/>
      <w:marRight w:val="0"/>
      <w:marTop w:val="0"/>
      <w:marBottom w:val="0"/>
      <w:divBdr>
        <w:top w:val="none" w:sz="0" w:space="0" w:color="auto"/>
        <w:left w:val="none" w:sz="0" w:space="0" w:color="auto"/>
        <w:bottom w:val="none" w:sz="0" w:space="0" w:color="auto"/>
        <w:right w:val="none" w:sz="0" w:space="0" w:color="auto"/>
      </w:divBdr>
    </w:div>
    <w:div w:id="2108189743">
      <w:bodyDiv w:val="1"/>
      <w:marLeft w:val="0"/>
      <w:marRight w:val="0"/>
      <w:marTop w:val="0"/>
      <w:marBottom w:val="0"/>
      <w:divBdr>
        <w:top w:val="none" w:sz="0" w:space="0" w:color="auto"/>
        <w:left w:val="none" w:sz="0" w:space="0" w:color="auto"/>
        <w:bottom w:val="none" w:sz="0" w:space="0" w:color="auto"/>
        <w:right w:val="none" w:sz="0" w:space="0" w:color="auto"/>
      </w:divBdr>
    </w:div>
    <w:div w:id="2132363147">
      <w:bodyDiv w:val="1"/>
      <w:marLeft w:val="0"/>
      <w:marRight w:val="0"/>
      <w:marTop w:val="0"/>
      <w:marBottom w:val="0"/>
      <w:divBdr>
        <w:top w:val="none" w:sz="0" w:space="0" w:color="auto"/>
        <w:left w:val="none" w:sz="0" w:space="0" w:color="auto"/>
        <w:bottom w:val="none" w:sz="0" w:space="0" w:color="auto"/>
        <w:right w:val="none" w:sz="0" w:space="0" w:color="auto"/>
      </w:divBdr>
    </w:div>
    <w:div w:id="213878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chart" Target="charts/chart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4.xml"/><Relationship Id="rId37"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chart" Target="charts/chart3.xml"/><Relationship Id="rId36" Type="http://schemas.openxmlformats.org/officeDocument/2006/relationships/header" Target="header6.xml"/><Relationship Id="rId10" Type="http://schemas.openxmlformats.org/officeDocument/2006/relationships/image" Target="media/image1.emf"/><Relationship Id="rId19" Type="http://schemas.openxmlformats.org/officeDocument/2006/relationships/diagramLayout" Target="diagrams/layout1.xml"/><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Financial%20corrections%20and%20recoveries\Communication%20on%20Recoveries\2014\Leaflet\Charts.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et1.cec.eu.int\BUDG\C\C02\Communication%20on%20Recoveries\2014\Working%20files\COMMUNICATION%20SUPPORTING%20FILE_2014_DD.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et1.cec.eu.int\BUDG\C\C02\Communication%20on%20Recoveries\2014\Working%20files\COMMUNICATION%20SUPPORTING%20FILE_2014%20FINAL%209%207%202015.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et1.cec.eu.int\BUDG\C\C02\Communication%20on%20Recoveries\2014\Working%20files\COMMUNICATION%20SUPPORTING%20FILE_2014%20FINAL%209%207%202015.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net1.cec.eu.int\BUDG\C\C02\Communication%20on%20Recoveries\2014\Working%20files\COMMUNICATION%20SUPPORTING%20FILE_201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et1.cec.eu.int\BUDG\C\C02\Communication%20on%20Recoveries\2014\Working%20files\COMMUNICATION%20SUPPORTING%20FILE_2014%20FINAL.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'Bar chart'!$A$2</c:f>
              <c:strCache>
                <c:ptCount val="1"/>
                <c:pt idx="0">
                  <c:v>Agriculture</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chart'!$B$2:$G$2</c:f>
              <c:numCache>
                <c:formatCode>#\ ##0</c:formatCode>
                <c:ptCount val="6"/>
                <c:pt idx="0">
                  <c:v>697</c:v>
                </c:pt>
                <c:pt idx="1">
                  <c:v>1420</c:v>
                </c:pt>
                <c:pt idx="2">
                  <c:v>1067</c:v>
                </c:pt>
                <c:pt idx="3">
                  <c:v>859</c:v>
                </c:pt>
                <c:pt idx="4">
                  <c:v>1456</c:v>
                </c:pt>
                <c:pt idx="5">
                  <c:v>2247</c:v>
                </c:pt>
              </c:numCache>
            </c:numRef>
          </c:val>
        </c:ser>
        <c:ser>
          <c:idx val="1"/>
          <c:order val="1"/>
          <c:tx>
            <c:strRef>
              <c:f>'Bar chart'!$A$3</c:f>
              <c:strCache>
                <c:ptCount val="1"/>
                <c:pt idx="0">
                  <c:v>EAGF</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chart'!$B$3:$G$3</c:f>
            </c:numRef>
          </c:val>
        </c:ser>
        <c:ser>
          <c:idx val="2"/>
          <c:order val="2"/>
          <c:tx>
            <c:strRef>
              <c:f>'Bar chart'!$A$4</c:f>
              <c:strCache>
                <c:ptCount val="1"/>
                <c:pt idx="0">
                  <c:v>Rural Development</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chart'!$B$4:$G$4</c:f>
            </c:numRef>
          </c:val>
        </c:ser>
        <c:ser>
          <c:idx val="3"/>
          <c:order val="3"/>
          <c:tx>
            <c:strRef>
              <c:f>'Bar chart'!$A$5</c:f>
              <c:strCache>
                <c:ptCount val="1"/>
                <c:pt idx="0">
                  <c:v>Cohesion Policy</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chart'!$B$5:$G$5</c:f>
              <c:numCache>
                <c:formatCode>#\ ##0</c:formatCode>
                <c:ptCount val="6"/>
                <c:pt idx="0">
                  <c:v>2488</c:v>
                </c:pt>
                <c:pt idx="1">
                  <c:v>949</c:v>
                </c:pt>
                <c:pt idx="2">
                  <c:v>722</c:v>
                </c:pt>
                <c:pt idx="3">
                  <c:v>1641</c:v>
                </c:pt>
                <c:pt idx="4">
                  <c:v>1485</c:v>
                </c:pt>
                <c:pt idx="5">
                  <c:v>2050</c:v>
                </c:pt>
              </c:numCache>
            </c:numRef>
          </c:val>
        </c:ser>
        <c:ser>
          <c:idx val="4"/>
          <c:order val="4"/>
          <c:tx>
            <c:strRef>
              <c:f>'Bar chart'!$A$6</c:f>
              <c:strCache>
                <c:ptCount val="1"/>
                <c:pt idx="0">
                  <c:v>ERDF</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chart'!$B$6:$G$6</c:f>
            </c:numRef>
          </c:val>
        </c:ser>
        <c:ser>
          <c:idx val="5"/>
          <c:order val="5"/>
          <c:tx>
            <c:strRef>
              <c:f>'Bar chart'!$A$7</c:f>
              <c:strCache>
                <c:ptCount val="1"/>
                <c:pt idx="0">
                  <c:v>Cohesion Fund</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chart'!$B$7:$G$7</c:f>
            </c:numRef>
          </c:val>
        </c:ser>
        <c:ser>
          <c:idx val="6"/>
          <c:order val="6"/>
          <c:tx>
            <c:strRef>
              <c:f>'Bar chart'!$A$8</c:f>
              <c:strCache>
                <c:ptCount val="1"/>
                <c:pt idx="0">
                  <c:v>ESF</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chart'!$B$8:$G$8</c:f>
            </c:numRef>
          </c:val>
        </c:ser>
        <c:ser>
          <c:idx val="7"/>
          <c:order val="7"/>
          <c:tx>
            <c:strRef>
              <c:f>'Bar chart'!$A$9</c:f>
              <c:strCache>
                <c:ptCount val="1"/>
                <c:pt idx="0">
                  <c:v>FIFG/EFF</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chart'!$B$9:$G$9</c:f>
            </c:numRef>
          </c:val>
        </c:ser>
        <c:ser>
          <c:idx val="8"/>
          <c:order val="8"/>
          <c:tx>
            <c:strRef>
              <c:f>'Bar chart'!$A$10</c:f>
              <c:strCache>
                <c:ptCount val="1"/>
                <c:pt idx="0">
                  <c:v>EAGGF Guidance</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chart'!$B$10:$G$10</c:f>
            </c:numRef>
          </c:val>
        </c:ser>
        <c:ser>
          <c:idx val="9"/>
          <c:order val="9"/>
          <c:tx>
            <c:strRef>
              <c:f>'Bar chart'!$A$11</c:f>
              <c:strCache>
                <c:ptCount val="1"/>
                <c:pt idx="0">
                  <c:v>Other</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chart'!$B$11:$G$11</c:f>
            </c:numRef>
          </c:val>
        </c:ser>
        <c:ser>
          <c:idx val="10"/>
          <c:order val="10"/>
          <c:tx>
            <c:strRef>
              <c:f>'Bar chart'!$A$12</c:f>
              <c:strCache>
                <c:ptCount val="1"/>
                <c:pt idx="0">
                  <c:v>Internal policy areas</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chart'!$B$12:$G$12</c:f>
              <c:numCache>
                <c:formatCode>#\ ##0</c:formatCode>
                <c:ptCount val="6"/>
                <c:pt idx="0">
                  <c:v>100</c:v>
                </c:pt>
                <c:pt idx="1">
                  <c:v>188</c:v>
                </c:pt>
                <c:pt idx="2">
                  <c:v>270</c:v>
                </c:pt>
                <c:pt idx="3">
                  <c:v>253</c:v>
                </c:pt>
                <c:pt idx="4">
                  <c:v>396</c:v>
                </c:pt>
                <c:pt idx="5">
                  <c:v>297</c:v>
                </c:pt>
              </c:numCache>
            </c:numRef>
          </c:val>
        </c:ser>
        <c:ser>
          <c:idx val="11"/>
          <c:order val="11"/>
          <c:tx>
            <c:strRef>
              <c:f>'Bar chart'!$A$13</c:f>
              <c:strCache>
                <c:ptCount val="1"/>
                <c:pt idx="0">
                  <c:v>External policy areas</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chart'!$B$13:$G$13</c:f>
              <c:numCache>
                <c:formatCode>#\ ##0</c:formatCode>
                <c:ptCount val="6"/>
                <c:pt idx="0">
                  <c:v>81</c:v>
                </c:pt>
                <c:pt idx="1">
                  <c:v>137</c:v>
                </c:pt>
                <c:pt idx="2">
                  <c:v>107</c:v>
                </c:pt>
                <c:pt idx="3">
                  <c:v>107</c:v>
                </c:pt>
                <c:pt idx="4">
                  <c:v>93</c:v>
                </c:pt>
                <c:pt idx="5">
                  <c:v>127</c:v>
                </c:pt>
              </c:numCache>
            </c:numRef>
          </c:val>
        </c:ser>
        <c:ser>
          <c:idx val="12"/>
          <c:order val="12"/>
          <c:tx>
            <c:strRef>
              <c:f>'Bar chart'!$A$14</c:f>
              <c:strCache>
                <c:ptCount val="1"/>
                <c:pt idx="0">
                  <c:v>Administration</c:v>
                </c:pt>
              </c:strCache>
            </c:strRef>
          </c:tx>
          <c:invertIfNegative val="0"/>
          <c:cat>
            <c:numRef>
              <c:f>'Bar chart'!$B$1:$G$1</c:f>
              <c:numCache>
                <c:formatCode>General</c:formatCode>
                <c:ptCount val="6"/>
                <c:pt idx="0">
                  <c:v>2009</c:v>
                </c:pt>
                <c:pt idx="1">
                  <c:v>2010</c:v>
                </c:pt>
                <c:pt idx="2">
                  <c:v>2011</c:v>
                </c:pt>
                <c:pt idx="3">
                  <c:v>2012</c:v>
                </c:pt>
                <c:pt idx="4">
                  <c:v>2013</c:v>
                </c:pt>
                <c:pt idx="5">
                  <c:v>2014</c:v>
                </c:pt>
              </c:numCache>
            </c:numRef>
          </c:cat>
          <c:val>
            <c:numRef>
              <c:f>'Bar chart'!$B$14:$G$14</c:f>
              <c:numCache>
                <c:formatCode>#\ ##0</c:formatCode>
                <c:ptCount val="6"/>
                <c:pt idx="0">
                  <c:v>9</c:v>
                </c:pt>
                <c:pt idx="1">
                  <c:v>5</c:v>
                </c:pt>
                <c:pt idx="2">
                  <c:v>8</c:v>
                </c:pt>
                <c:pt idx="3">
                  <c:v>7</c:v>
                </c:pt>
                <c:pt idx="4">
                  <c:v>6</c:v>
                </c:pt>
                <c:pt idx="5">
                  <c:v>5</c:v>
                </c:pt>
              </c:numCache>
            </c:numRef>
          </c:val>
        </c:ser>
        <c:dLbls>
          <c:showLegendKey val="0"/>
          <c:showVal val="0"/>
          <c:showCatName val="0"/>
          <c:showSerName val="0"/>
          <c:showPercent val="0"/>
          <c:showBubbleSize val="0"/>
        </c:dLbls>
        <c:gapWidth val="150"/>
        <c:overlap val="100"/>
        <c:axId val="34164736"/>
        <c:axId val="34166272"/>
      </c:barChart>
      <c:catAx>
        <c:axId val="34164736"/>
        <c:scaling>
          <c:orientation val="minMax"/>
        </c:scaling>
        <c:delete val="0"/>
        <c:axPos val="b"/>
        <c:numFmt formatCode="General" sourceLinked="1"/>
        <c:majorTickMark val="out"/>
        <c:minorTickMark val="none"/>
        <c:tickLblPos val="nextTo"/>
        <c:crossAx val="34166272"/>
        <c:crosses val="autoZero"/>
        <c:auto val="1"/>
        <c:lblAlgn val="ctr"/>
        <c:lblOffset val="100"/>
        <c:noMultiLvlLbl val="0"/>
      </c:catAx>
      <c:valAx>
        <c:axId val="34166272"/>
        <c:scaling>
          <c:orientation val="minMax"/>
        </c:scaling>
        <c:delete val="0"/>
        <c:axPos val="l"/>
        <c:majorGridlines/>
        <c:numFmt formatCode="#\ ##0" sourceLinked="1"/>
        <c:majorTickMark val="out"/>
        <c:minorTickMark val="none"/>
        <c:tickLblPos val="nextTo"/>
        <c:crossAx val="34164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01052420628349"/>
          <c:y val="9.2612947877192583E-2"/>
          <c:w val="0.79944881889763775"/>
          <c:h val="0.64838613588718974"/>
        </c:manualLayout>
      </c:layout>
      <c:lineChart>
        <c:grouping val="standard"/>
        <c:varyColors val="0"/>
        <c:ser>
          <c:idx val="1"/>
          <c:order val="0"/>
          <c:tx>
            <c:strRef>
              <c:f>'Graphs 4.1'!$B$28</c:f>
              <c:strCache>
                <c:ptCount val="1"/>
                <c:pt idx="0">
                  <c:v>Cohesion Policy</c:v>
                </c:pt>
              </c:strCache>
            </c:strRef>
          </c:tx>
          <c:cat>
            <c:numRef>
              <c:f>'Graphs 4.1'!$C$23:$H$23</c:f>
              <c:numCache>
                <c:formatCode>General</c:formatCode>
                <c:ptCount val="6"/>
                <c:pt idx="0">
                  <c:v>2009</c:v>
                </c:pt>
                <c:pt idx="1">
                  <c:v>2010</c:v>
                </c:pt>
                <c:pt idx="2">
                  <c:v>2011</c:v>
                </c:pt>
                <c:pt idx="3">
                  <c:v>2012</c:v>
                </c:pt>
                <c:pt idx="4">
                  <c:v>2013</c:v>
                </c:pt>
                <c:pt idx="5">
                  <c:v>2014</c:v>
                </c:pt>
              </c:numCache>
            </c:numRef>
          </c:cat>
          <c:val>
            <c:numRef>
              <c:f>'Graphs 4.1'!$C$28:$H$28</c:f>
              <c:numCache>
                <c:formatCode>0.000</c:formatCode>
                <c:ptCount val="6"/>
                <c:pt idx="0">
                  <c:v>2.4879999999999995</c:v>
                </c:pt>
                <c:pt idx="1">
                  <c:v>0.94900000000000007</c:v>
                </c:pt>
                <c:pt idx="2">
                  <c:v>0.72200000000000009</c:v>
                </c:pt>
                <c:pt idx="3">
                  <c:v>1.641</c:v>
                </c:pt>
                <c:pt idx="4">
                  <c:v>1.4849999999999999</c:v>
                </c:pt>
                <c:pt idx="5">
                  <c:v>2.0499999999999998</c:v>
                </c:pt>
              </c:numCache>
            </c:numRef>
          </c:val>
          <c:smooth val="0"/>
        </c:ser>
        <c:ser>
          <c:idx val="2"/>
          <c:order val="1"/>
          <c:tx>
            <c:strRef>
              <c:f>'Graphs 4.1'!$B$35</c:f>
              <c:strCache>
                <c:ptCount val="1"/>
                <c:pt idx="0">
                  <c:v>Internal policy areas</c:v>
                </c:pt>
              </c:strCache>
            </c:strRef>
          </c:tx>
          <c:cat>
            <c:numRef>
              <c:f>'Graphs 4.1'!$C$23:$H$23</c:f>
              <c:numCache>
                <c:formatCode>General</c:formatCode>
                <c:ptCount val="6"/>
                <c:pt idx="0">
                  <c:v>2009</c:v>
                </c:pt>
                <c:pt idx="1">
                  <c:v>2010</c:v>
                </c:pt>
                <c:pt idx="2">
                  <c:v>2011</c:v>
                </c:pt>
                <c:pt idx="3">
                  <c:v>2012</c:v>
                </c:pt>
                <c:pt idx="4">
                  <c:v>2013</c:v>
                </c:pt>
                <c:pt idx="5">
                  <c:v>2014</c:v>
                </c:pt>
              </c:numCache>
            </c:numRef>
          </c:cat>
          <c:val>
            <c:numRef>
              <c:f>'Graphs 4.1'!$C$35:$H$35</c:f>
              <c:numCache>
                <c:formatCode>0.000</c:formatCode>
                <c:ptCount val="6"/>
                <c:pt idx="0">
                  <c:v>0.1</c:v>
                </c:pt>
                <c:pt idx="1">
                  <c:v>0.188</c:v>
                </c:pt>
                <c:pt idx="2">
                  <c:v>0.27</c:v>
                </c:pt>
                <c:pt idx="3">
                  <c:v>0.253</c:v>
                </c:pt>
                <c:pt idx="4">
                  <c:v>0.39600000000000002</c:v>
                </c:pt>
                <c:pt idx="5">
                  <c:v>0.29799999999999999</c:v>
                </c:pt>
              </c:numCache>
            </c:numRef>
          </c:val>
          <c:smooth val="0"/>
        </c:ser>
        <c:ser>
          <c:idx val="0"/>
          <c:order val="2"/>
          <c:tx>
            <c:strRef>
              <c:f>'Graphs 4.1'!$B$25</c:f>
              <c:strCache>
                <c:ptCount val="1"/>
                <c:pt idx="0">
                  <c:v>Agriculture</c:v>
                </c:pt>
              </c:strCache>
            </c:strRef>
          </c:tx>
          <c:cat>
            <c:numRef>
              <c:f>'Graphs 4.1'!$C$23:$H$23</c:f>
              <c:numCache>
                <c:formatCode>General</c:formatCode>
                <c:ptCount val="6"/>
                <c:pt idx="0">
                  <c:v>2009</c:v>
                </c:pt>
                <c:pt idx="1">
                  <c:v>2010</c:v>
                </c:pt>
                <c:pt idx="2">
                  <c:v>2011</c:v>
                </c:pt>
                <c:pt idx="3">
                  <c:v>2012</c:v>
                </c:pt>
                <c:pt idx="4">
                  <c:v>2013</c:v>
                </c:pt>
                <c:pt idx="5">
                  <c:v>2014</c:v>
                </c:pt>
              </c:numCache>
            </c:numRef>
          </c:cat>
          <c:val>
            <c:numRef>
              <c:f>'Graphs 4.1'!$C$25:$H$25</c:f>
              <c:numCache>
                <c:formatCode>0.000</c:formatCode>
                <c:ptCount val="6"/>
                <c:pt idx="0">
                  <c:v>0.69699999999999995</c:v>
                </c:pt>
                <c:pt idx="1">
                  <c:v>1.4200000000000002</c:v>
                </c:pt>
                <c:pt idx="2">
                  <c:v>1.0669999999999999</c:v>
                </c:pt>
                <c:pt idx="3">
                  <c:v>0.85899999999999999</c:v>
                </c:pt>
                <c:pt idx="4">
                  <c:v>1.456</c:v>
                </c:pt>
                <c:pt idx="5">
                  <c:v>2.2469999999999999</c:v>
                </c:pt>
              </c:numCache>
            </c:numRef>
          </c:val>
          <c:smooth val="0"/>
        </c:ser>
        <c:ser>
          <c:idx val="3"/>
          <c:order val="3"/>
          <c:tx>
            <c:strRef>
              <c:f>'Graphs 4.1'!$B$36</c:f>
              <c:strCache>
                <c:ptCount val="1"/>
                <c:pt idx="0">
                  <c:v>External policy areas</c:v>
                </c:pt>
              </c:strCache>
            </c:strRef>
          </c:tx>
          <c:cat>
            <c:numRef>
              <c:f>'Graphs 4.1'!$C$23:$H$23</c:f>
              <c:numCache>
                <c:formatCode>General</c:formatCode>
                <c:ptCount val="6"/>
                <c:pt idx="0">
                  <c:v>2009</c:v>
                </c:pt>
                <c:pt idx="1">
                  <c:v>2010</c:v>
                </c:pt>
                <c:pt idx="2">
                  <c:v>2011</c:v>
                </c:pt>
                <c:pt idx="3">
                  <c:v>2012</c:v>
                </c:pt>
                <c:pt idx="4">
                  <c:v>2013</c:v>
                </c:pt>
                <c:pt idx="5">
                  <c:v>2014</c:v>
                </c:pt>
              </c:numCache>
            </c:numRef>
          </c:cat>
          <c:val>
            <c:numRef>
              <c:f>'Graphs 4.1'!$C$36:$H$36</c:f>
              <c:numCache>
                <c:formatCode>0.000</c:formatCode>
                <c:ptCount val="6"/>
                <c:pt idx="0">
                  <c:v>8.1000000000000003E-2</c:v>
                </c:pt>
                <c:pt idx="1">
                  <c:v>0.13700000000000001</c:v>
                </c:pt>
                <c:pt idx="2">
                  <c:v>0.107</c:v>
                </c:pt>
                <c:pt idx="3">
                  <c:v>0.107</c:v>
                </c:pt>
                <c:pt idx="4">
                  <c:v>9.2999999999999999E-2</c:v>
                </c:pt>
                <c:pt idx="5">
                  <c:v>0.127</c:v>
                </c:pt>
              </c:numCache>
            </c:numRef>
          </c:val>
          <c:smooth val="0"/>
        </c:ser>
        <c:ser>
          <c:idx val="4"/>
          <c:order val="4"/>
          <c:tx>
            <c:strRef>
              <c:f>'Graphs 4.1'!$B$37</c:f>
              <c:strCache>
                <c:ptCount val="1"/>
                <c:pt idx="0">
                  <c:v>Administration</c:v>
                </c:pt>
              </c:strCache>
            </c:strRef>
          </c:tx>
          <c:cat>
            <c:numRef>
              <c:f>'Graphs 4.1'!$C$23:$H$23</c:f>
              <c:numCache>
                <c:formatCode>General</c:formatCode>
                <c:ptCount val="6"/>
                <c:pt idx="0">
                  <c:v>2009</c:v>
                </c:pt>
                <c:pt idx="1">
                  <c:v>2010</c:v>
                </c:pt>
                <c:pt idx="2">
                  <c:v>2011</c:v>
                </c:pt>
                <c:pt idx="3">
                  <c:v>2012</c:v>
                </c:pt>
                <c:pt idx="4">
                  <c:v>2013</c:v>
                </c:pt>
                <c:pt idx="5">
                  <c:v>2014</c:v>
                </c:pt>
              </c:numCache>
            </c:numRef>
          </c:cat>
          <c:val>
            <c:numRef>
              <c:f>'Graphs 4.1'!$C$37:$H$37</c:f>
              <c:numCache>
                <c:formatCode>0.000</c:formatCode>
                <c:ptCount val="6"/>
                <c:pt idx="0">
                  <c:v>8.9999999999999993E-3</c:v>
                </c:pt>
                <c:pt idx="1">
                  <c:v>5.0000000000000001E-3</c:v>
                </c:pt>
                <c:pt idx="2">
                  <c:v>8.0000000000000002E-3</c:v>
                </c:pt>
                <c:pt idx="3">
                  <c:v>7.0000000000000001E-3</c:v>
                </c:pt>
                <c:pt idx="4">
                  <c:v>6.0000000000000001E-3</c:v>
                </c:pt>
                <c:pt idx="5">
                  <c:v>5.0000000000000001E-3</c:v>
                </c:pt>
              </c:numCache>
            </c:numRef>
          </c:val>
          <c:smooth val="0"/>
        </c:ser>
        <c:ser>
          <c:idx val="5"/>
          <c:order val="5"/>
          <c:tx>
            <c:strRef>
              <c:f>'Graphs 4.1'!$B$38</c:f>
              <c:strCache>
                <c:ptCount val="1"/>
                <c:pt idx="0">
                  <c:v>Total decided</c:v>
                </c:pt>
              </c:strCache>
            </c:strRef>
          </c:tx>
          <c:trendline>
            <c:spPr>
              <a:ln w="25400" cmpd="sng">
                <a:solidFill>
                  <a:schemeClr val="tx1"/>
                </a:solidFill>
              </a:ln>
            </c:spPr>
            <c:trendlineType val="linear"/>
            <c:dispRSqr val="0"/>
            <c:dispEq val="0"/>
          </c:trendline>
          <c:cat>
            <c:numRef>
              <c:f>'Graphs 4.1'!$C$23:$H$23</c:f>
              <c:numCache>
                <c:formatCode>General</c:formatCode>
                <c:ptCount val="6"/>
                <c:pt idx="0">
                  <c:v>2009</c:v>
                </c:pt>
                <c:pt idx="1">
                  <c:v>2010</c:v>
                </c:pt>
                <c:pt idx="2">
                  <c:v>2011</c:v>
                </c:pt>
                <c:pt idx="3">
                  <c:v>2012</c:v>
                </c:pt>
                <c:pt idx="4">
                  <c:v>2013</c:v>
                </c:pt>
                <c:pt idx="5">
                  <c:v>2014</c:v>
                </c:pt>
              </c:numCache>
            </c:numRef>
          </c:cat>
          <c:val>
            <c:numRef>
              <c:f>'Graphs 4.1'!$C$38:$H$38</c:f>
              <c:numCache>
                <c:formatCode>0.000</c:formatCode>
                <c:ptCount val="6"/>
                <c:pt idx="0">
                  <c:v>3.3749999999999996</c:v>
                </c:pt>
                <c:pt idx="1">
                  <c:v>2.6990000000000003</c:v>
                </c:pt>
                <c:pt idx="2">
                  <c:v>2.1740000000000004</c:v>
                </c:pt>
                <c:pt idx="3">
                  <c:v>2.8670000000000004</c:v>
                </c:pt>
                <c:pt idx="4">
                  <c:v>3.4359999999999995</c:v>
                </c:pt>
                <c:pt idx="5">
                  <c:v>4.7269999999999994</c:v>
                </c:pt>
              </c:numCache>
            </c:numRef>
          </c:val>
          <c:smooth val="0"/>
        </c:ser>
        <c:dLbls>
          <c:showLegendKey val="0"/>
          <c:showVal val="0"/>
          <c:showCatName val="0"/>
          <c:showSerName val="0"/>
          <c:showPercent val="0"/>
          <c:showBubbleSize val="0"/>
        </c:dLbls>
        <c:marker val="1"/>
        <c:smooth val="0"/>
        <c:axId val="175379200"/>
        <c:axId val="175380736"/>
      </c:lineChart>
      <c:catAx>
        <c:axId val="175379200"/>
        <c:scaling>
          <c:orientation val="minMax"/>
        </c:scaling>
        <c:delete val="0"/>
        <c:axPos val="b"/>
        <c:numFmt formatCode="General" sourceLinked="1"/>
        <c:majorTickMark val="out"/>
        <c:minorTickMark val="none"/>
        <c:tickLblPos val="nextTo"/>
        <c:crossAx val="175380736"/>
        <c:crosses val="autoZero"/>
        <c:auto val="1"/>
        <c:lblAlgn val="ctr"/>
        <c:lblOffset val="100"/>
        <c:noMultiLvlLbl val="0"/>
      </c:catAx>
      <c:valAx>
        <c:axId val="175380736"/>
        <c:scaling>
          <c:orientation val="minMax"/>
          <c:max val="5"/>
          <c:min val="0"/>
        </c:scaling>
        <c:delete val="0"/>
        <c:axPos val="l"/>
        <c:majorGridlines/>
        <c:numFmt formatCode="0.0" sourceLinked="0"/>
        <c:majorTickMark val="out"/>
        <c:minorTickMark val="none"/>
        <c:tickLblPos val="nextTo"/>
        <c:crossAx val="175379200"/>
        <c:crosses val="autoZero"/>
        <c:crossBetween val="between"/>
      </c:valAx>
    </c:plotArea>
    <c:legend>
      <c:legendPos val="b"/>
      <c:layout>
        <c:manualLayout>
          <c:xMode val="edge"/>
          <c:yMode val="edge"/>
          <c:x val="1.512875647494953E-2"/>
          <c:y val="0.83360092912610229"/>
          <c:w val="0.94848645487117655"/>
          <c:h val="0.11614559595484093"/>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05549780844191"/>
          <c:y val="0.10177318068718655"/>
          <c:w val="0.77599690774474928"/>
          <c:h val="0.63221004561159955"/>
        </c:manualLayout>
      </c:layout>
      <c:lineChart>
        <c:grouping val="standard"/>
        <c:varyColors val="0"/>
        <c:ser>
          <c:idx val="1"/>
          <c:order val="0"/>
          <c:tx>
            <c:strRef>
              <c:f>'Graphs 4.1'!$B$78</c:f>
              <c:strCache>
                <c:ptCount val="1"/>
                <c:pt idx="0">
                  <c:v>Cohesion Policy:</c:v>
                </c:pt>
              </c:strCache>
            </c:strRef>
          </c:tx>
          <c:cat>
            <c:numRef>
              <c:f>'Graphs 4.1'!$C$73:$H$73</c:f>
              <c:numCache>
                <c:formatCode>General</c:formatCode>
                <c:ptCount val="6"/>
                <c:pt idx="0">
                  <c:v>2009</c:v>
                </c:pt>
                <c:pt idx="1">
                  <c:v>2010</c:v>
                </c:pt>
                <c:pt idx="2">
                  <c:v>2011</c:v>
                </c:pt>
                <c:pt idx="3">
                  <c:v>2012</c:v>
                </c:pt>
                <c:pt idx="4">
                  <c:v>2013</c:v>
                </c:pt>
                <c:pt idx="5">
                  <c:v>2014</c:v>
                </c:pt>
              </c:numCache>
            </c:numRef>
          </c:cat>
          <c:val>
            <c:numRef>
              <c:f>'Graphs 4.1'!$C$78:$H$78</c:f>
              <c:numCache>
                <c:formatCode>0,000</c:formatCode>
                <c:ptCount val="6"/>
                <c:pt idx="0">
                  <c:v>0.68400000000000005</c:v>
                </c:pt>
                <c:pt idx="1">
                  <c:v>0.76100000000000012</c:v>
                </c:pt>
                <c:pt idx="2">
                  <c:v>0.67100000000000004</c:v>
                </c:pt>
                <c:pt idx="3">
                  <c:v>3.085</c:v>
                </c:pt>
                <c:pt idx="4">
                  <c:v>1.8399224663625844</c:v>
                </c:pt>
                <c:pt idx="5">
                  <c:v>1.6942791882565313</c:v>
                </c:pt>
              </c:numCache>
            </c:numRef>
          </c:val>
          <c:smooth val="0"/>
        </c:ser>
        <c:ser>
          <c:idx val="2"/>
          <c:order val="1"/>
          <c:tx>
            <c:strRef>
              <c:f>'Graphs 4.1'!$B$85</c:f>
              <c:strCache>
                <c:ptCount val="1"/>
                <c:pt idx="0">
                  <c:v>Internal policy areas</c:v>
                </c:pt>
              </c:strCache>
            </c:strRef>
          </c:tx>
          <c:cat>
            <c:numRef>
              <c:f>'Graphs 4.1'!$C$73:$H$73</c:f>
              <c:numCache>
                <c:formatCode>General</c:formatCode>
                <c:ptCount val="6"/>
                <c:pt idx="0">
                  <c:v>2009</c:v>
                </c:pt>
                <c:pt idx="1">
                  <c:v>2010</c:v>
                </c:pt>
                <c:pt idx="2">
                  <c:v>2011</c:v>
                </c:pt>
                <c:pt idx="3">
                  <c:v>2012</c:v>
                </c:pt>
                <c:pt idx="4">
                  <c:v>2013</c:v>
                </c:pt>
                <c:pt idx="5">
                  <c:v>2014</c:v>
                </c:pt>
              </c:numCache>
            </c:numRef>
          </c:cat>
          <c:val>
            <c:numRef>
              <c:f>'Graphs 4.1'!$C$85:$H$85</c:f>
              <c:numCache>
                <c:formatCode>0,000</c:formatCode>
                <c:ptCount val="6"/>
                <c:pt idx="0">
                  <c:v>0.20200000000000001</c:v>
                </c:pt>
                <c:pt idx="1">
                  <c:v>0.13800000000000001</c:v>
                </c:pt>
                <c:pt idx="2">
                  <c:v>0.26800000000000002</c:v>
                </c:pt>
                <c:pt idx="3">
                  <c:v>0.23</c:v>
                </c:pt>
                <c:pt idx="4">
                  <c:v>0.40100000000000002</c:v>
                </c:pt>
                <c:pt idx="5">
                  <c:v>0.27910668693112678</c:v>
                </c:pt>
              </c:numCache>
            </c:numRef>
          </c:val>
          <c:smooth val="0"/>
        </c:ser>
        <c:ser>
          <c:idx val="0"/>
          <c:order val="2"/>
          <c:tx>
            <c:strRef>
              <c:f>'Graphs 4.1'!$B$75</c:f>
              <c:strCache>
                <c:ptCount val="1"/>
                <c:pt idx="0">
                  <c:v>Agriculture:</c:v>
                </c:pt>
              </c:strCache>
            </c:strRef>
          </c:tx>
          <c:cat>
            <c:numRef>
              <c:f>'Graphs 4.1'!$C$73:$H$73</c:f>
              <c:numCache>
                <c:formatCode>General</c:formatCode>
                <c:ptCount val="6"/>
                <c:pt idx="0">
                  <c:v>2009</c:v>
                </c:pt>
                <c:pt idx="1">
                  <c:v>2010</c:v>
                </c:pt>
                <c:pt idx="2">
                  <c:v>2011</c:v>
                </c:pt>
                <c:pt idx="3">
                  <c:v>2012</c:v>
                </c:pt>
                <c:pt idx="4">
                  <c:v>2013</c:v>
                </c:pt>
                <c:pt idx="5">
                  <c:v>2014</c:v>
                </c:pt>
              </c:numCache>
            </c:numRef>
          </c:cat>
          <c:val>
            <c:numRef>
              <c:f>'Graphs 4.1'!$C$75:$H$75</c:f>
              <c:numCache>
                <c:formatCode>0,000</c:formatCode>
                <c:ptCount val="6"/>
                <c:pt idx="0">
                  <c:v>0.92299999999999993</c:v>
                </c:pt>
                <c:pt idx="1">
                  <c:v>1.0980000000000001</c:v>
                </c:pt>
                <c:pt idx="2">
                  <c:v>0.82200000000000006</c:v>
                </c:pt>
                <c:pt idx="3">
                  <c:v>0.996</c:v>
                </c:pt>
                <c:pt idx="4">
                  <c:v>0.99501625809000005</c:v>
                </c:pt>
                <c:pt idx="5">
                  <c:v>1.19855215522</c:v>
                </c:pt>
              </c:numCache>
            </c:numRef>
          </c:val>
          <c:smooth val="0"/>
        </c:ser>
        <c:ser>
          <c:idx val="3"/>
          <c:order val="3"/>
          <c:tx>
            <c:strRef>
              <c:f>'Graphs 4.1'!$B$86</c:f>
              <c:strCache>
                <c:ptCount val="1"/>
                <c:pt idx="0">
                  <c:v>External policy areas</c:v>
                </c:pt>
              </c:strCache>
            </c:strRef>
          </c:tx>
          <c:cat>
            <c:numRef>
              <c:f>'Graphs 4.1'!$C$73:$H$73</c:f>
              <c:numCache>
                <c:formatCode>General</c:formatCode>
                <c:ptCount val="6"/>
                <c:pt idx="0">
                  <c:v>2009</c:v>
                </c:pt>
                <c:pt idx="1">
                  <c:v>2010</c:v>
                </c:pt>
                <c:pt idx="2">
                  <c:v>2011</c:v>
                </c:pt>
                <c:pt idx="3">
                  <c:v>2012</c:v>
                </c:pt>
                <c:pt idx="4">
                  <c:v>2013</c:v>
                </c:pt>
                <c:pt idx="5">
                  <c:v>2014</c:v>
                </c:pt>
              </c:numCache>
            </c:numRef>
          </c:cat>
          <c:val>
            <c:numRef>
              <c:f>'Graphs 4.1'!$C$86:$H$86</c:f>
              <c:numCache>
                <c:formatCode>0,000</c:formatCode>
                <c:ptCount val="6"/>
                <c:pt idx="0">
                  <c:v>8.1000000000000003E-2</c:v>
                </c:pt>
                <c:pt idx="1">
                  <c:v>0.13600000000000001</c:v>
                </c:pt>
                <c:pt idx="2">
                  <c:v>7.6999999999999999E-2</c:v>
                </c:pt>
                <c:pt idx="3">
                  <c:v>9.9000000000000005E-2</c:v>
                </c:pt>
                <c:pt idx="4">
                  <c:v>9.2999999999999999E-2</c:v>
                </c:pt>
                <c:pt idx="5">
                  <c:v>0.10812785099806048</c:v>
                </c:pt>
              </c:numCache>
            </c:numRef>
          </c:val>
          <c:smooth val="0"/>
        </c:ser>
        <c:ser>
          <c:idx val="4"/>
          <c:order val="4"/>
          <c:tx>
            <c:strRef>
              <c:f>'Graphs 4.1'!$B$87</c:f>
              <c:strCache>
                <c:ptCount val="1"/>
                <c:pt idx="0">
                  <c:v>Administration</c:v>
                </c:pt>
              </c:strCache>
            </c:strRef>
          </c:tx>
          <c:cat>
            <c:numRef>
              <c:f>'Graphs 4.1'!$C$73:$H$73</c:f>
              <c:numCache>
                <c:formatCode>General</c:formatCode>
                <c:ptCount val="6"/>
                <c:pt idx="0">
                  <c:v>2009</c:v>
                </c:pt>
                <c:pt idx="1">
                  <c:v>2010</c:v>
                </c:pt>
                <c:pt idx="2">
                  <c:v>2011</c:v>
                </c:pt>
                <c:pt idx="3">
                  <c:v>2012</c:v>
                </c:pt>
                <c:pt idx="4">
                  <c:v>2013</c:v>
                </c:pt>
                <c:pt idx="5">
                  <c:v>2014</c:v>
                </c:pt>
              </c:numCache>
            </c:numRef>
          </c:cat>
          <c:val>
            <c:numRef>
              <c:f>'Graphs 4.1'!$C$87:$H$87</c:f>
              <c:numCache>
                <c:formatCode>0,000</c:formatCode>
                <c:ptCount val="6"/>
                <c:pt idx="0">
                  <c:v>0</c:v>
                </c:pt>
                <c:pt idx="1">
                  <c:v>2E-3</c:v>
                </c:pt>
                <c:pt idx="2">
                  <c:v>2E-3</c:v>
                </c:pt>
                <c:pt idx="3">
                  <c:v>8.9999999999999993E-3</c:v>
                </c:pt>
                <c:pt idx="4">
                  <c:v>6.0000000000000001E-3</c:v>
                </c:pt>
                <c:pt idx="5">
                  <c:v>5.1061282000000041E-3</c:v>
                </c:pt>
              </c:numCache>
            </c:numRef>
          </c:val>
          <c:smooth val="0"/>
        </c:ser>
        <c:ser>
          <c:idx val="5"/>
          <c:order val="5"/>
          <c:tx>
            <c:strRef>
              <c:f>'Graphs 4.1'!$B$88</c:f>
              <c:strCache>
                <c:ptCount val="1"/>
                <c:pt idx="0">
                  <c:v>Total implemented</c:v>
                </c:pt>
              </c:strCache>
            </c:strRef>
          </c:tx>
          <c:trendline>
            <c:spPr>
              <a:ln w="22225" cmpd="sng"/>
            </c:spPr>
            <c:trendlineType val="linear"/>
            <c:dispRSqr val="0"/>
            <c:dispEq val="0"/>
          </c:trendline>
          <c:cat>
            <c:numRef>
              <c:f>'Graphs 4.1'!$C$73:$H$73</c:f>
              <c:numCache>
                <c:formatCode>General</c:formatCode>
                <c:ptCount val="6"/>
                <c:pt idx="0">
                  <c:v>2009</c:v>
                </c:pt>
                <c:pt idx="1">
                  <c:v>2010</c:v>
                </c:pt>
                <c:pt idx="2">
                  <c:v>2011</c:v>
                </c:pt>
                <c:pt idx="3">
                  <c:v>2012</c:v>
                </c:pt>
                <c:pt idx="4">
                  <c:v>2013</c:v>
                </c:pt>
                <c:pt idx="5">
                  <c:v>2014</c:v>
                </c:pt>
              </c:numCache>
            </c:numRef>
          </c:cat>
          <c:val>
            <c:numRef>
              <c:f>'Graphs 4.1'!$C$88:$H$88</c:f>
              <c:numCache>
                <c:formatCode>0,000</c:formatCode>
                <c:ptCount val="6"/>
                <c:pt idx="0">
                  <c:v>1.89</c:v>
                </c:pt>
                <c:pt idx="1">
                  <c:v>2.1350000000000002</c:v>
                </c:pt>
                <c:pt idx="2">
                  <c:v>1.84</c:v>
                </c:pt>
                <c:pt idx="3">
                  <c:v>4.4190000000000005</c:v>
                </c:pt>
                <c:pt idx="4">
                  <c:v>3.3349387244525839</c:v>
                </c:pt>
                <c:pt idx="5">
                  <c:v>3.2851720096057186</c:v>
                </c:pt>
              </c:numCache>
            </c:numRef>
          </c:val>
          <c:smooth val="0"/>
        </c:ser>
        <c:dLbls>
          <c:showLegendKey val="0"/>
          <c:showVal val="0"/>
          <c:showCatName val="0"/>
          <c:showSerName val="0"/>
          <c:showPercent val="0"/>
          <c:showBubbleSize val="0"/>
        </c:dLbls>
        <c:marker val="1"/>
        <c:smooth val="0"/>
        <c:axId val="175434752"/>
        <c:axId val="175436544"/>
      </c:lineChart>
      <c:catAx>
        <c:axId val="175434752"/>
        <c:scaling>
          <c:orientation val="minMax"/>
        </c:scaling>
        <c:delete val="0"/>
        <c:axPos val="b"/>
        <c:numFmt formatCode="General" sourceLinked="1"/>
        <c:majorTickMark val="out"/>
        <c:minorTickMark val="none"/>
        <c:tickLblPos val="nextTo"/>
        <c:crossAx val="175436544"/>
        <c:crosses val="autoZero"/>
        <c:auto val="1"/>
        <c:lblAlgn val="ctr"/>
        <c:lblOffset val="100"/>
        <c:noMultiLvlLbl val="0"/>
      </c:catAx>
      <c:valAx>
        <c:axId val="175436544"/>
        <c:scaling>
          <c:orientation val="minMax"/>
        </c:scaling>
        <c:delete val="0"/>
        <c:axPos val="l"/>
        <c:majorGridlines/>
        <c:numFmt formatCode="0.0" sourceLinked="0"/>
        <c:majorTickMark val="out"/>
        <c:minorTickMark val="none"/>
        <c:tickLblPos val="nextTo"/>
        <c:crossAx val="175434752"/>
        <c:crosses val="autoZero"/>
        <c:crossBetween val="between"/>
      </c:valAx>
    </c:plotArea>
    <c:legend>
      <c:legendPos val="b"/>
      <c:legendEntry>
        <c:idx val="6"/>
        <c:delete val="1"/>
      </c:legendEntry>
      <c:layout>
        <c:manualLayout>
          <c:xMode val="edge"/>
          <c:yMode val="edge"/>
          <c:x val="9.4432770115876648E-3"/>
          <c:y val="0.83181555131707663"/>
          <c:w val="0.97776242700319693"/>
          <c:h val="0.1315432184993012"/>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Cumulative EAGF clearance decisions 1999 - 2014</a:t>
            </a:r>
          </a:p>
        </c:rich>
      </c:tx>
      <c:layout/>
      <c:overlay val="0"/>
    </c:title>
    <c:autoTitleDeleted val="0"/>
    <c:plotArea>
      <c:layout>
        <c:manualLayout>
          <c:layoutTarget val="inner"/>
          <c:xMode val="edge"/>
          <c:yMode val="edge"/>
          <c:x val="0.11607559753476419"/>
          <c:y val="0.1339419672893053"/>
          <c:w val="0.74344454498199952"/>
          <c:h val="0.57400289329901588"/>
        </c:manualLayout>
      </c:layout>
      <c:barChart>
        <c:barDir val="col"/>
        <c:grouping val="clustered"/>
        <c:varyColors val="0"/>
        <c:ser>
          <c:idx val="0"/>
          <c:order val="0"/>
          <c:tx>
            <c:strRef>
              <c:f>'Graph 4.2.2'!$A$2</c:f>
              <c:strCache>
                <c:ptCount val="1"/>
                <c:pt idx="0">
                  <c:v>Total amount of financial corrections</c:v>
                </c:pt>
              </c:strCache>
            </c:strRef>
          </c:tx>
          <c:spPr>
            <a:solidFill>
              <a:schemeClr val="accent2"/>
            </a:solidFill>
          </c:spPr>
          <c:invertIfNegative val="0"/>
          <c:cat>
            <c:strRef>
              <c:f>'Graph 4.2.2'!$C$3:$C$30</c:f>
              <c:strCache>
                <c:ptCount val="28"/>
                <c:pt idx="0">
                  <c:v>Greece</c:v>
                </c:pt>
                <c:pt idx="1">
                  <c:v>Romania</c:v>
                </c:pt>
                <c:pt idx="2">
                  <c:v>Bulgaria</c:v>
                </c:pt>
                <c:pt idx="3">
                  <c:v>Slovenia</c:v>
                </c:pt>
                <c:pt idx="4">
                  <c:v>Italy</c:v>
                </c:pt>
                <c:pt idx="5">
                  <c:v>Cyprus</c:v>
                </c:pt>
                <c:pt idx="6">
                  <c:v>Portugal</c:v>
                </c:pt>
                <c:pt idx="7">
                  <c:v>France</c:v>
                </c:pt>
                <c:pt idx="8">
                  <c:v>United Kingdom</c:v>
                </c:pt>
                <c:pt idx="9">
                  <c:v>Spain</c:v>
                </c:pt>
                <c:pt idx="10">
                  <c:v>Denmark</c:v>
                </c:pt>
                <c:pt idx="11">
                  <c:v>Luxembourg</c:v>
                </c:pt>
                <c:pt idx="12">
                  <c:v>Netherlands</c:v>
                </c:pt>
                <c:pt idx="13">
                  <c:v>Sweden</c:v>
                </c:pt>
                <c:pt idx="14">
                  <c:v>Malta</c:v>
                </c:pt>
                <c:pt idx="15">
                  <c:v>Lithuania</c:v>
                </c:pt>
                <c:pt idx="16">
                  <c:v>Hungary</c:v>
                </c:pt>
                <c:pt idx="17">
                  <c:v>Poland</c:v>
                </c:pt>
                <c:pt idx="18">
                  <c:v>Finland</c:v>
                </c:pt>
                <c:pt idx="19">
                  <c:v>Belgium</c:v>
                </c:pt>
                <c:pt idx="20">
                  <c:v>Ireland</c:v>
                </c:pt>
                <c:pt idx="21">
                  <c:v>Germany</c:v>
                </c:pt>
                <c:pt idx="22">
                  <c:v>Czech Republic</c:v>
                </c:pt>
                <c:pt idx="23">
                  <c:v>Austria</c:v>
                </c:pt>
                <c:pt idx="24">
                  <c:v>Estonia</c:v>
                </c:pt>
                <c:pt idx="25">
                  <c:v>Slovakia</c:v>
                </c:pt>
                <c:pt idx="26">
                  <c:v>Latvia</c:v>
                </c:pt>
                <c:pt idx="27">
                  <c:v>Croatia</c:v>
                </c:pt>
              </c:strCache>
            </c:strRef>
          </c:cat>
          <c:val>
            <c:numRef>
              <c:f>'Graph 4.2.2'!$A$3:$A$30</c:f>
              <c:numCache>
                <c:formatCode>#\ ##0</c:formatCode>
                <c:ptCount val="28"/>
                <c:pt idx="0">
                  <c:v>2389.0028644318631</c:v>
                </c:pt>
                <c:pt idx="1">
                  <c:v>196.2968366399999</c:v>
                </c:pt>
                <c:pt idx="2">
                  <c:v>69.283549180000009</c:v>
                </c:pt>
                <c:pt idx="3">
                  <c:v>19.897646043735588</c:v>
                </c:pt>
                <c:pt idx="4">
                  <c:v>1873.8782617496956</c:v>
                </c:pt>
                <c:pt idx="5">
                  <c:v>9.6518567841540879</c:v>
                </c:pt>
                <c:pt idx="6">
                  <c:v>206.87668210471085</c:v>
                </c:pt>
                <c:pt idx="7">
                  <c:v>2519.4713860914608</c:v>
                </c:pt>
                <c:pt idx="8">
                  <c:v>1017.5079747010576</c:v>
                </c:pt>
                <c:pt idx="9">
                  <c:v>1496.4966852686032</c:v>
                </c:pt>
                <c:pt idx="10">
                  <c:v>191.78349965709049</c:v>
                </c:pt>
                <c:pt idx="11">
                  <c:v>5.0376176011130909</c:v>
                </c:pt>
                <c:pt idx="12">
                  <c:v>182.62001167101144</c:v>
                </c:pt>
                <c:pt idx="13">
                  <c:v>117.11866422917765</c:v>
                </c:pt>
                <c:pt idx="14">
                  <c:v>0.30057153612159343</c:v>
                </c:pt>
                <c:pt idx="15">
                  <c:v>18.160125973924927</c:v>
                </c:pt>
                <c:pt idx="16">
                  <c:v>57.154852955060072</c:v>
                </c:pt>
                <c:pt idx="17">
                  <c:v>92.31916719553999</c:v>
                </c:pt>
                <c:pt idx="18">
                  <c:v>31.179682983102072</c:v>
                </c:pt>
                <c:pt idx="19">
                  <c:v>43.419584324393639</c:v>
                </c:pt>
                <c:pt idx="20">
                  <c:v>49.016218849968517</c:v>
                </c:pt>
                <c:pt idx="21">
                  <c:v>198.22062473367143</c:v>
                </c:pt>
                <c:pt idx="22">
                  <c:v>8.3780225665977763</c:v>
                </c:pt>
                <c:pt idx="23">
                  <c:v>12.009831863406747</c:v>
                </c:pt>
                <c:pt idx="24">
                  <c:v>0.55444445999999992</c:v>
                </c:pt>
                <c:pt idx="25">
                  <c:v>1.5709457199999999</c:v>
                </c:pt>
                <c:pt idx="26">
                  <c:v>0.48546380294791053</c:v>
                </c:pt>
                <c:pt idx="27">
                  <c:v>0</c:v>
                </c:pt>
              </c:numCache>
            </c:numRef>
          </c:val>
        </c:ser>
        <c:dLbls>
          <c:showLegendKey val="0"/>
          <c:showVal val="0"/>
          <c:showCatName val="0"/>
          <c:showSerName val="0"/>
          <c:showPercent val="0"/>
          <c:showBubbleSize val="0"/>
        </c:dLbls>
        <c:gapWidth val="150"/>
        <c:axId val="175755648"/>
        <c:axId val="175757184"/>
      </c:barChart>
      <c:lineChart>
        <c:grouping val="standard"/>
        <c:varyColors val="0"/>
        <c:ser>
          <c:idx val="1"/>
          <c:order val="1"/>
          <c:tx>
            <c:strRef>
              <c:f>'Graph 4.2.2'!$B$2</c:f>
              <c:strCache>
                <c:ptCount val="1"/>
                <c:pt idx="0">
                  <c:v>% Financial corrections as compared to payments received from EU budget</c:v>
                </c:pt>
              </c:strCache>
            </c:strRef>
          </c:tx>
          <c:spPr>
            <a:ln w="22225">
              <a:solidFill>
                <a:schemeClr val="accent1"/>
              </a:solidFill>
            </a:ln>
          </c:spPr>
          <c:marker>
            <c:spPr>
              <a:solidFill>
                <a:schemeClr val="accent1"/>
              </a:solidFill>
              <a:ln>
                <a:solidFill>
                  <a:schemeClr val="accent1"/>
                </a:solidFill>
              </a:ln>
            </c:spPr>
          </c:marker>
          <c:dPt>
            <c:idx val="7"/>
            <c:bubble3D val="0"/>
            <c:spPr>
              <a:ln w="12700">
                <a:solidFill>
                  <a:schemeClr val="accent1"/>
                </a:solidFill>
              </a:ln>
            </c:spPr>
          </c:dPt>
          <c:val>
            <c:numRef>
              <c:f>'Graph 4.2.2'!$B$3:$B$30</c:f>
              <c:numCache>
                <c:formatCode>#,#00%</c:formatCode>
                <c:ptCount val="28"/>
                <c:pt idx="0">
                  <c:v>6.0678067361849233E-2</c:v>
                </c:pt>
                <c:pt idx="1">
                  <c:v>3.2092646877163358E-2</c:v>
                </c:pt>
                <c:pt idx="2">
                  <c:v>2.6826208422995816E-2</c:v>
                </c:pt>
                <c:pt idx="3">
                  <c:v>2.5972502881545494E-2</c:v>
                </c:pt>
                <c:pt idx="4">
                  <c:v>2.5614457424971711E-2</c:v>
                </c:pt>
                <c:pt idx="5">
                  <c:v>2.4455040970304487E-2</c:v>
                </c:pt>
                <c:pt idx="6">
                  <c:v>1.8784682777804717E-2</c:v>
                </c:pt>
                <c:pt idx="7">
                  <c:v>1.8184017825785329E-2</c:v>
                </c:pt>
                <c:pt idx="8">
                  <c:v>1.7461338396647895E-2</c:v>
                </c:pt>
                <c:pt idx="9">
                  <c:v>1.7079095793275378E-2</c:v>
                </c:pt>
                <c:pt idx="10">
                  <c:v>1.1097362194592895E-2</c:v>
                </c:pt>
                <c:pt idx="11">
                  <c:v>1.0690967937375968E-2</c:v>
                </c:pt>
                <c:pt idx="12">
                  <c:v>1.0608669155342296E-2</c:v>
                </c:pt>
                <c:pt idx="13">
                  <c:v>1.0424764401496365E-2</c:v>
                </c:pt>
                <c:pt idx="14">
                  <c:v>9.3107650385597616E-3</c:v>
                </c:pt>
                <c:pt idx="15">
                  <c:v>7.3415484952809376E-3</c:v>
                </c:pt>
                <c:pt idx="16">
                  <c:v>6.6353742292781957E-3</c:v>
                </c:pt>
                <c:pt idx="17">
                  <c:v>4.6224719930433424E-3</c:v>
                </c:pt>
                <c:pt idx="18">
                  <c:v>3.6943059101085681E-3</c:v>
                </c:pt>
                <c:pt idx="19">
                  <c:v>3.5464093868286168E-3</c:v>
                </c:pt>
                <c:pt idx="20">
                  <c:v>2.5046278252357575E-3</c:v>
                </c:pt>
                <c:pt idx="21">
                  <c:v>2.2647803377806044E-3</c:v>
                </c:pt>
                <c:pt idx="22">
                  <c:v>1.4866168574399882E-3</c:v>
                </c:pt>
                <c:pt idx="23">
                  <c:v>1.0749155810540504E-3</c:v>
                </c:pt>
                <c:pt idx="24">
                  <c:v>8.8903288879510142E-4</c:v>
                </c:pt>
                <c:pt idx="25">
                  <c:v>6.3908669955341408E-4</c:v>
                </c:pt>
                <c:pt idx="26">
                  <c:v>5.4110145998089896E-4</c:v>
                </c:pt>
                <c:pt idx="27">
                  <c:v>0</c:v>
                </c:pt>
              </c:numCache>
            </c:numRef>
          </c:val>
          <c:smooth val="0"/>
        </c:ser>
        <c:dLbls>
          <c:showLegendKey val="0"/>
          <c:showVal val="0"/>
          <c:showCatName val="0"/>
          <c:showSerName val="0"/>
          <c:showPercent val="0"/>
          <c:showBubbleSize val="0"/>
        </c:dLbls>
        <c:marker val="1"/>
        <c:smooth val="0"/>
        <c:axId val="175761280"/>
        <c:axId val="175759360"/>
      </c:lineChart>
      <c:catAx>
        <c:axId val="175755648"/>
        <c:scaling>
          <c:orientation val="minMax"/>
        </c:scaling>
        <c:delete val="0"/>
        <c:axPos val="b"/>
        <c:numFmt formatCode="mmm\-yy" sourceLinked="1"/>
        <c:majorTickMark val="none"/>
        <c:minorTickMark val="none"/>
        <c:tickLblPos val="nextTo"/>
        <c:txPr>
          <a:bodyPr/>
          <a:lstStyle/>
          <a:p>
            <a:pPr>
              <a:defRPr sz="700"/>
            </a:pPr>
            <a:endParaRPr lang="en-US"/>
          </a:p>
        </c:txPr>
        <c:crossAx val="175757184"/>
        <c:crosses val="autoZero"/>
        <c:auto val="1"/>
        <c:lblAlgn val="ctr"/>
        <c:lblOffset val="100"/>
        <c:noMultiLvlLbl val="0"/>
      </c:catAx>
      <c:valAx>
        <c:axId val="175757184"/>
        <c:scaling>
          <c:orientation val="minMax"/>
        </c:scaling>
        <c:delete val="0"/>
        <c:axPos val="l"/>
        <c:title>
          <c:tx>
            <c:rich>
              <a:bodyPr/>
              <a:lstStyle/>
              <a:p>
                <a:pPr>
                  <a:defRPr sz="800">
                    <a:solidFill>
                      <a:srgbClr val="CC3300"/>
                    </a:solidFill>
                  </a:defRPr>
                </a:pPr>
                <a:r>
                  <a:rPr lang="en-GB" sz="800">
                    <a:solidFill>
                      <a:srgbClr val="CC3300"/>
                    </a:solidFill>
                  </a:rPr>
                  <a:t>Financial corrections in EUR millions</a:t>
                </a:r>
              </a:p>
            </c:rich>
          </c:tx>
          <c:layout>
            <c:manualLayout>
              <c:xMode val="edge"/>
              <c:yMode val="edge"/>
              <c:x val="3.3893358750003579E-2"/>
              <c:y val="0.2150657521050551"/>
            </c:manualLayout>
          </c:layout>
          <c:overlay val="0"/>
          <c:spPr>
            <a:solidFill>
              <a:sysClr val="window" lastClr="FFFFFF"/>
            </a:solidFill>
          </c:spPr>
        </c:title>
        <c:numFmt formatCode="#\ ##0" sourceLinked="1"/>
        <c:majorTickMark val="out"/>
        <c:minorTickMark val="none"/>
        <c:tickLblPos val="nextTo"/>
        <c:txPr>
          <a:bodyPr/>
          <a:lstStyle/>
          <a:p>
            <a:pPr>
              <a:defRPr sz="700"/>
            </a:pPr>
            <a:endParaRPr lang="en-US"/>
          </a:p>
        </c:txPr>
        <c:crossAx val="175755648"/>
        <c:crosses val="autoZero"/>
        <c:crossBetween val="between"/>
      </c:valAx>
      <c:valAx>
        <c:axId val="175759360"/>
        <c:scaling>
          <c:orientation val="minMax"/>
        </c:scaling>
        <c:delete val="0"/>
        <c:axPos val="r"/>
        <c:title>
          <c:tx>
            <c:rich>
              <a:bodyPr rot="-5400000" vert="horz"/>
              <a:lstStyle/>
              <a:p>
                <a:pPr>
                  <a:defRPr sz="700">
                    <a:solidFill>
                      <a:schemeClr val="tx2">
                        <a:lumMod val="60000"/>
                        <a:lumOff val="40000"/>
                      </a:schemeClr>
                    </a:solidFill>
                  </a:defRPr>
                </a:pPr>
                <a:r>
                  <a:rPr lang="en-GB" sz="700">
                    <a:solidFill>
                      <a:schemeClr val="tx2">
                        <a:lumMod val="60000"/>
                        <a:lumOff val="40000"/>
                      </a:schemeClr>
                    </a:solidFill>
                  </a:rPr>
                  <a:t>% of financial corrections to payments received</a:t>
                </a:r>
              </a:p>
            </c:rich>
          </c:tx>
          <c:layout>
            <c:manualLayout>
              <c:xMode val="edge"/>
              <c:yMode val="edge"/>
              <c:x val="0.94067687692668445"/>
              <c:y val="0.21786002150188893"/>
            </c:manualLayout>
          </c:layout>
          <c:overlay val="0"/>
        </c:title>
        <c:numFmt formatCode="0.0%" sourceLinked="0"/>
        <c:majorTickMark val="out"/>
        <c:minorTickMark val="none"/>
        <c:tickLblPos val="nextTo"/>
        <c:txPr>
          <a:bodyPr/>
          <a:lstStyle/>
          <a:p>
            <a:pPr>
              <a:defRPr sz="700"/>
            </a:pPr>
            <a:endParaRPr lang="en-US"/>
          </a:p>
        </c:txPr>
        <c:crossAx val="175761280"/>
        <c:crosses val="max"/>
        <c:crossBetween val="between"/>
      </c:valAx>
      <c:catAx>
        <c:axId val="175761280"/>
        <c:scaling>
          <c:orientation val="minMax"/>
        </c:scaling>
        <c:delete val="1"/>
        <c:axPos val="b"/>
        <c:majorTickMark val="out"/>
        <c:minorTickMark val="none"/>
        <c:tickLblPos val="nextTo"/>
        <c:crossAx val="175759360"/>
        <c:crosses val="autoZero"/>
        <c:auto val="1"/>
        <c:lblAlgn val="ctr"/>
        <c:lblOffset val="100"/>
        <c:noMultiLvlLbl val="0"/>
      </c:catAx>
    </c:plotArea>
    <c:legend>
      <c:legendPos val="b"/>
      <c:layout>
        <c:manualLayout>
          <c:xMode val="edge"/>
          <c:yMode val="edge"/>
          <c:x val="7.509537039327753E-2"/>
          <c:y val="0.88373988720517482"/>
          <c:w val="0.8999996426503466"/>
          <c:h val="4.83661958720049E-2"/>
        </c:manualLayout>
      </c:layout>
      <c:overlay val="0"/>
      <c:txPr>
        <a:bodyPr/>
        <a:lstStyle/>
        <a:p>
          <a:pPr>
            <a:defRPr sz="700"/>
          </a:pPr>
          <a:endParaRPr lang="en-US"/>
        </a:p>
      </c:txPr>
    </c:legend>
    <c:plotVisOnly val="1"/>
    <c:dispBlanksAs val="gap"/>
    <c:showDLblsOverMax val="0"/>
  </c:chart>
  <c:txPr>
    <a:bodyPr/>
    <a:lstStyle/>
    <a:p>
      <a:pPr>
        <a:defRPr sz="900"/>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Programming period  2000-2006</a:t>
            </a:r>
          </a:p>
        </c:rich>
      </c:tx>
      <c:layout/>
      <c:overlay val="1"/>
    </c:title>
    <c:autoTitleDeleted val="0"/>
    <c:plotArea>
      <c:layout>
        <c:manualLayout>
          <c:layoutTarget val="inner"/>
          <c:xMode val="edge"/>
          <c:yMode val="edge"/>
          <c:x val="0.12398674480758398"/>
          <c:y val="0.1287064994786494"/>
          <c:w val="0.75383834407062755"/>
          <c:h val="0.63697194734173612"/>
        </c:manualLayout>
      </c:layout>
      <c:barChart>
        <c:barDir val="col"/>
        <c:grouping val="stacked"/>
        <c:varyColors val="0"/>
        <c:ser>
          <c:idx val="0"/>
          <c:order val="0"/>
          <c:tx>
            <c:strRef>
              <c:f>'Graph 4.2.3 &amp; 4.2.4'!$C$3</c:f>
              <c:strCache>
                <c:ptCount val="1"/>
                <c:pt idx="0">
                  <c:v>ERDF total FC</c:v>
                </c:pt>
              </c:strCache>
            </c:strRef>
          </c:tx>
          <c:invertIfNegative val="0"/>
          <c:cat>
            <c:strRef>
              <c:f>'Graph 4.2.3 &amp; 4.2.4'!$B$4:$B$29</c:f>
              <c:strCache>
                <c:ptCount val="26"/>
                <c:pt idx="0">
                  <c:v>Spain</c:v>
                </c:pt>
                <c:pt idx="1">
                  <c:v>Italy</c:v>
                </c:pt>
                <c:pt idx="2">
                  <c:v>Greece</c:v>
                </c:pt>
                <c:pt idx="3">
                  <c:v>Slovakia</c:v>
                </c:pt>
                <c:pt idx="4">
                  <c:v>France</c:v>
                </c:pt>
                <c:pt idx="5">
                  <c:v>Luxembourg</c:v>
                </c:pt>
                <c:pt idx="6">
                  <c:v>Poland</c:v>
                </c:pt>
                <c:pt idx="7">
                  <c:v>United Kingdom</c:v>
                </c:pt>
                <c:pt idx="8">
                  <c:v>Netherlands</c:v>
                </c:pt>
                <c:pt idx="9">
                  <c:v>Interreg</c:v>
                </c:pt>
                <c:pt idx="10">
                  <c:v>Ireland</c:v>
                </c:pt>
                <c:pt idx="11">
                  <c:v>Portugal</c:v>
                </c:pt>
                <c:pt idx="12">
                  <c:v>Belgium</c:v>
                </c:pt>
                <c:pt idx="13">
                  <c:v>Slovenia</c:v>
                </c:pt>
                <c:pt idx="14">
                  <c:v>Latvia</c:v>
                </c:pt>
                <c:pt idx="15">
                  <c:v>Hungary</c:v>
                </c:pt>
                <c:pt idx="16">
                  <c:v>Sweden</c:v>
                </c:pt>
                <c:pt idx="17">
                  <c:v>Estonia</c:v>
                </c:pt>
                <c:pt idx="18">
                  <c:v>Czech Republic</c:v>
                </c:pt>
                <c:pt idx="19">
                  <c:v>Lithuania</c:v>
                </c:pt>
                <c:pt idx="20">
                  <c:v>Austria</c:v>
                </c:pt>
                <c:pt idx="21">
                  <c:v>Germany</c:v>
                </c:pt>
                <c:pt idx="22">
                  <c:v>Denmark</c:v>
                </c:pt>
                <c:pt idx="23">
                  <c:v>Finland</c:v>
                </c:pt>
                <c:pt idx="24">
                  <c:v>Cyprus</c:v>
                </c:pt>
                <c:pt idx="25">
                  <c:v>Malta</c:v>
                </c:pt>
              </c:strCache>
            </c:strRef>
          </c:cat>
          <c:val>
            <c:numRef>
              <c:f>'Graph 4.2.3 &amp; 4.2.4'!$C$4:$C$29</c:f>
              <c:numCache>
                <c:formatCode>###\ ###\ ###\ ##0</c:formatCode>
                <c:ptCount val="26"/>
                <c:pt idx="0">
                  <c:v>2630.2920354540006</c:v>
                </c:pt>
                <c:pt idx="1">
                  <c:v>1191.1861849449999</c:v>
                </c:pt>
                <c:pt idx="2">
                  <c:v>1171.0887175099999</c:v>
                </c:pt>
                <c:pt idx="3">
                  <c:v>41.875960229999997</c:v>
                </c:pt>
                <c:pt idx="4">
                  <c:v>111.68808224398427</c:v>
                </c:pt>
                <c:pt idx="5">
                  <c:v>4.76298E-2</c:v>
                </c:pt>
                <c:pt idx="6">
                  <c:v>128.64288621749998</c:v>
                </c:pt>
                <c:pt idx="7">
                  <c:v>148.23463232999995</c:v>
                </c:pt>
                <c:pt idx="8">
                  <c:v>0.24595903999999999</c:v>
                </c:pt>
                <c:pt idx="9">
                  <c:v>69.113631459999993</c:v>
                </c:pt>
                <c:pt idx="10">
                  <c:v>32.87118383</c:v>
                </c:pt>
                <c:pt idx="11">
                  <c:v>184.09561970999997</c:v>
                </c:pt>
                <c:pt idx="12">
                  <c:v>8.907507589999998</c:v>
                </c:pt>
                <c:pt idx="13">
                  <c:v>0</c:v>
                </c:pt>
                <c:pt idx="14">
                  <c:v>0.86608147000000013</c:v>
                </c:pt>
                <c:pt idx="15">
                  <c:v>4.2311019999999999</c:v>
                </c:pt>
                <c:pt idx="16">
                  <c:v>9.6997209999999986E-2</c:v>
                </c:pt>
                <c:pt idx="17">
                  <c:v>0.81404241999999993</c:v>
                </c:pt>
                <c:pt idx="18">
                  <c:v>6.2780500000000004</c:v>
                </c:pt>
                <c:pt idx="19">
                  <c:v>2.6608354199999997</c:v>
                </c:pt>
                <c:pt idx="20">
                  <c:v>0.48785020000000001</c:v>
                </c:pt>
                <c:pt idx="21">
                  <c:v>26.618835879999999</c:v>
                </c:pt>
                <c:pt idx="22">
                  <c:v>0.52480905</c:v>
                </c:pt>
                <c:pt idx="23">
                  <c:v>3.811821E-2</c:v>
                </c:pt>
                <c:pt idx="24">
                  <c:v>0</c:v>
                </c:pt>
                <c:pt idx="25">
                  <c:v>0</c:v>
                </c:pt>
              </c:numCache>
            </c:numRef>
          </c:val>
        </c:ser>
        <c:ser>
          <c:idx val="1"/>
          <c:order val="1"/>
          <c:tx>
            <c:strRef>
              <c:f>'Graph 4.2.3 &amp; 4.2.4'!$D$3</c:f>
              <c:strCache>
                <c:ptCount val="1"/>
                <c:pt idx="0">
                  <c:v>ESF total FC</c:v>
                </c:pt>
              </c:strCache>
            </c:strRef>
          </c:tx>
          <c:invertIfNegative val="0"/>
          <c:cat>
            <c:strRef>
              <c:f>'Graph 4.2.3 &amp; 4.2.4'!$B$4:$B$29</c:f>
              <c:strCache>
                <c:ptCount val="26"/>
                <c:pt idx="0">
                  <c:v>Spain</c:v>
                </c:pt>
                <c:pt idx="1">
                  <c:v>Italy</c:v>
                </c:pt>
                <c:pt idx="2">
                  <c:v>Greece</c:v>
                </c:pt>
                <c:pt idx="3">
                  <c:v>Slovakia</c:v>
                </c:pt>
                <c:pt idx="4">
                  <c:v>France</c:v>
                </c:pt>
                <c:pt idx="5">
                  <c:v>Luxembourg</c:v>
                </c:pt>
                <c:pt idx="6">
                  <c:v>Poland</c:v>
                </c:pt>
                <c:pt idx="7">
                  <c:v>United Kingdom</c:v>
                </c:pt>
                <c:pt idx="8">
                  <c:v>Netherlands</c:v>
                </c:pt>
                <c:pt idx="9">
                  <c:v>Interreg</c:v>
                </c:pt>
                <c:pt idx="10">
                  <c:v>Ireland</c:v>
                </c:pt>
                <c:pt idx="11">
                  <c:v>Portugal</c:v>
                </c:pt>
                <c:pt idx="12">
                  <c:v>Belgium</c:v>
                </c:pt>
                <c:pt idx="13">
                  <c:v>Slovenia</c:v>
                </c:pt>
                <c:pt idx="14">
                  <c:v>Latvia</c:v>
                </c:pt>
                <c:pt idx="15">
                  <c:v>Hungary</c:v>
                </c:pt>
                <c:pt idx="16">
                  <c:v>Sweden</c:v>
                </c:pt>
                <c:pt idx="17">
                  <c:v>Estonia</c:v>
                </c:pt>
                <c:pt idx="18">
                  <c:v>Czech Republic</c:v>
                </c:pt>
                <c:pt idx="19">
                  <c:v>Lithuania</c:v>
                </c:pt>
                <c:pt idx="20">
                  <c:v>Austria</c:v>
                </c:pt>
                <c:pt idx="21">
                  <c:v>Germany</c:v>
                </c:pt>
                <c:pt idx="22">
                  <c:v>Denmark</c:v>
                </c:pt>
                <c:pt idx="23">
                  <c:v>Finland</c:v>
                </c:pt>
                <c:pt idx="24">
                  <c:v>Cyprus</c:v>
                </c:pt>
                <c:pt idx="25">
                  <c:v>Malta</c:v>
                </c:pt>
              </c:strCache>
            </c:strRef>
          </c:cat>
          <c:val>
            <c:numRef>
              <c:f>'Graph 4.2.3 &amp; 4.2.4'!$D$4:$D$29</c:f>
              <c:numCache>
                <c:formatCode>###\ ###\ ###\ ##0</c:formatCode>
                <c:ptCount val="26"/>
                <c:pt idx="0">
                  <c:v>891.86609208999994</c:v>
                </c:pt>
                <c:pt idx="1">
                  <c:v>767.34924900999999</c:v>
                </c:pt>
                <c:pt idx="2">
                  <c:v>20.251314810000004</c:v>
                </c:pt>
                <c:pt idx="3">
                  <c:v>2.9363807300000007</c:v>
                </c:pt>
                <c:pt idx="4">
                  <c:v>370.57645911000003</c:v>
                </c:pt>
                <c:pt idx="5">
                  <c:v>1.8059037</c:v>
                </c:pt>
                <c:pt idx="6">
                  <c:v>51.210577810000004</c:v>
                </c:pt>
                <c:pt idx="7">
                  <c:v>163.89934678000003</c:v>
                </c:pt>
                <c:pt idx="8">
                  <c:v>43.779565829999996</c:v>
                </c:pt>
                <c:pt idx="10">
                  <c:v>3.4308839999999998</c:v>
                </c:pt>
                <c:pt idx="11">
                  <c:v>6.2871587200000008</c:v>
                </c:pt>
                <c:pt idx="12">
                  <c:v>10.685499720000001</c:v>
                </c:pt>
                <c:pt idx="13">
                  <c:v>1.88987449</c:v>
                </c:pt>
                <c:pt idx="14">
                  <c:v>3.1571729999999998</c:v>
                </c:pt>
                <c:pt idx="15">
                  <c:v>8.2445798099999994</c:v>
                </c:pt>
                <c:pt idx="16">
                  <c:v>11.499054920000003</c:v>
                </c:pt>
                <c:pt idx="17">
                  <c:v>0.78003708000000005</c:v>
                </c:pt>
                <c:pt idx="18">
                  <c:v>0</c:v>
                </c:pt>
                <c:pt idx="19">
                  <c:v>3.6700000000000001E-3</c:v>
                </c:pt>
                <c:pt idx="20">
                  <c:v>3.4074670600000001</c:v>
                </c:pt>
                <c:pt idx="21">
                  <c:v>27.632054699999998</c:v>
                </c:pt>
                <c:pt idx="22">
                  <c:v>2.2547229999999998E-2</c:v>
                </c:pt>
                <c:pt idx="23">
                  <c:v>0</c:v>
                </c:pt>
                <c:pt idx="24">
                  <c:v>0</c:v>
                </c:pt>
                <c:pt idx="25">
                  <c:v>0</c:v>
                </c:pt>
              </c:numCache>
            </c:numRef>
          </c:val>
        </c:ser>
        <c:dLbls>
          <c:showLegendKey val="0"/>
          <c:showVal val="0"/>
          <c:showCatName val="0"/>
          <c:showSerName val="0"/>
          <c:showPercent val="0"/>
          <c:showBubbleSize val="0"/>
        </c:dLbls>
        <c:gapWidth val="150"/>
        <c:overlap val="100"/>
        <c:axId val="177375488"/>
        <c:axId val="177381376"/>
      </c:barChart>
      <c:lineChart>
        <c:grouping val="stacked"/>
        <c:varyColors val="0"/>
        <c:ser>
          <c:idx val="2"/>
          <c:order val="2"/>
          <c:tx>
            <c:strRef>
              <c:f>'Graph 4.2.3 &amp; 4.2.4'!$F$3</c:f>
              <c:strCache>
                <c:ptCount val="1"/>
                <c:pt idx="0">
                  <c:v>Financial corrections to contributions %</c:v>
                </c:pt>
              </c:strCache>
            </c:strRef>
          </c:tx>
          <c:cat>
            <c:strRef>
              <c:f>'Graph 4.2.3 &amp; 4.2.4'!$B$4:$B$29</c:f>
              <c:strCache>
                <c:ptCount val="26"/>
                <c:pt idx="0">
                  <c:v>Spain</c:v>
                </c:pt>
                <c:pt idx="1">
                  <c:v>Italy</c:v>
                </c:pt>
                <c:pt idx="2">
                  <c:v>Greece</c:v>
                </c:pt>
                <c:pt idx="3">
                  <c:v>Slovakia</c:v>
                </c:pt>
                <c:pt idx="4">
                  <c:v>France</c:v>
                </c:pt>
                <c:pt idx="5">
                  <c:v>Luxembourg</c:v>
                </c:pt>
                <c:pt idx="6">
                  <c:v>Poland</c:v>
                </c:pt>
                <c:pt idx="7">
                  <c:v>United Kingdom</c:v>
                </c:pt>
                <c:pt idx="8">
                  <c:v>Netherlands</c:v>
                </c:pt>
                <c:pt idx="9">
                  <c:v>Interreg</c:v>
                </c:pt>
                <c:pt idx="10">
                  <c:v>Ireland</c:v>
                </c:pt>
                <c:pt idx="11">
                  <c:v>Portugal</c:v>
                </c:pt>
                <c:pt idx="12">
                  <c:v>Belgium</c:v>
                </c:pt>
                <c:pt idx="13">
                  <c:v>Slovenia</c:v>
                </c:pt>
                <c:pt idx="14">
                  <c:v>Latvia</c:v>
                </c:pt>
                <c:pt idx="15">
                  <c:v>Hungary</c:v>
                </c:pt>
                <c:pt idx="16">
                  <c:v>Sweden</c:v>
                </c:pt>
                <c:pt idx="17">
                  <c:v>Estonia</c:v>
                </c:pt>
                <c:pt idx="18">
                  <c:v>Czech Republic</c:v>
                </c:pt>
                <c:pt idx="19">
                  <c:v>Lithuania</c:v>
                </c:pt>
                <c:pt idx="20">
                  <c:v>Austria</c:v>
                </c:pt>
                <c:pt idx="21">
                  <c:v>Germany</c:v>
                </c:pt>
                <c:pt idx="22">
                  <c:v>Denmark</c:v>
                </c:pt>
                <c:pt idx="23">
                  <c:v>Finland</c:v>
                </c:pt>
                <c:pt idx="24">
                  <c:v>Cyprus</c:v>
                </c:pt>
                <c:pt idx="25">
                  <c:v>Malta</c:v>
                </c:pt>
              </c:strCache>
            </c:strRef>
          </c:cat>
          <c:val>
            <c:numRef>
              <c:f>'Graph 4.2.3 &amp; 4.2.4'!$F$4:$F$29</c:f>
              <c:numCache>
                <c:formatCode>#,#00%</c:formatCode>
                <c:ptCount val="26"/>
                <c:pt idx="0">
                  <c:v>8.6568859169703818E-2</c:v>
                </c:pt>
                <c:pt idx="1">
                  <c:v>7.1215646585540082E-2</c:v>
                </c:pt>
                <c:pt idx="2">
                  <c:v>5.8945207884590844E-2</c:v>
                </c:pt>
                <c:pt idx="3">
                  <c:v>3.5980100394901113E-2</c:v>
                </c:pt>
                <c:pt idx="4">
                  <c:v>3.2530048892577365E-2</c:v>
                </c:pt>
                <c:pt idx="5">
                  <c:v>2.612691992422889E-2</c:v>
                </c:pt>
                <c:pt idx="6">
                  <c:v>2.5576151832690075E-2</c:v>
                </c:pt>
                <c:pt idx="7">
                  <c:v>1.9351887071661782E-2</c:v>
                </c:pt>
                <c:pt idx="8">
                  <c:v>1.6291756099678163E-2</c:v>
                </c:pt>
                <c:pt idx="9">
                  <c:v>1.2243013829295128E-2</c:v>
                </c:pt>
                <c:pt idx="10">
                  <c:v>1.1837183769234028E-2</c:v>
                </c:pt>
                <c:pt idx="11">
                  <c:v>1.0473423938282139E-2</c:v>
                </c:pt>
                <c:pt idx="12">
                  <c:v>1.0073751546513561E-2</c:v>
                </c:pt>
                <c:pt idx="13">
                  <c:v>8.7713390397562811E-3</c:v>
                </c:pt>
                <c:pt idx="14">
                  <c:v>7.7694298375207121E-3</c:v>
                </c:pt>
                <c:pt idx="15">
                  <c:v>7.36186621475865E-3</c:v>
                </c:pt>
                <c:pt idx="16">
                  <c:v>7.0968977417706358E-3</c:v>
                </c:pt>
                <c:pt idx="17">
                  <c:v>5.2197705332409222E-3</c:v>
                </c:pt>
                <c:pt idx="18">
                  <c:v>4.3129097464012093E-3</c:v>
                </c:pt>
                <c:pt idx="19">
                  <c:v>3.4475844707451049E-3</c:v>
                </c:pt>
                <c:pt idx="20">
                  <c:v>2.3651243534596848E-3</c:v>
                </c:pt>
                <c:pt idx="21">
                  <c:v>2.0122735721215001E-3</c:v>
                </c:pt>
                <c:pt idx="22">
                  <c:v>9.6068944511435404E-4</c:v>
                </c:pt>
                <c:pt idx="23">
                  <c:v>2.1301566711615083E-5</c:v>
                </c:pt>
                <c:pt idx="24">
                  <c:v>0</c:v>
                </c:pt>
                <c:pt idx="25">
                  <c:v>0</c:v>
                </c:pt>
              </c:numCache>
            </c:numRef>
          </c:val>
          <c:smooth val="0"/>
        </c:ser>
        <c:dLbls>
          <c:showLegendKey val="0"/>
          <c:showVal val="0"/>
          <c:showCatName val="0"/>
          <c:showSerName val="0"/>
          <c:showPercent val="0"/>
          <c:showBubbleSize val="0"/>
        </c:dLbls>
        <c:marker val="1"/>
        <c:smooth val="0"/>
        <c:axId val="177385472"/>
        <c:axId val="177383296"/>
      </c:lineChart>
      <c:catAx>
        <c:axId val="177375488"/>
        <c:scaling>
          <c:orientation val="minMax"/>
        </c:scaling>
        <c:delete val="0"/>
        <c:axPos val="b"/>
        <c:majorTickMark val="out"/>
        <c:minorTickMark val="none"/>
        <c:tickLblPos val="nextTo"/>
        <c:txPr>
          <a:bodyPr/>
          <a:lstStyle/>
          <a:p>
            <a:pPr>
              <a:defRPr sz="700"/>
            </a:pPr>
            <a:endParaRPr lang="en-US"/>
          </a:p>
        </c:txPr>
        <c:crossAx val="177381376"/>
        <c:crosses val="autoZero"/>
        <c:auto val="1"/>
        <c:lblAlgn val="ctr"/>
        <c:lblOffset val="100"/>
        <c:noMultiLvlLbl val="0"/>
      </c:catAx>
      <c:valAx>
        <c:axId val="177381376"/>
        <c:scaling>
          <c:orientation val="minMax"/>
        </c:scaling>
        <c:delete val="0"/>
        <c:axPos val="l"/>
        <c:majorGridlines/>
        <c:title>
          <c:tx>
            <c:rich>
              <a:bodyPr rot="-5400000" vert="horz"/>
              <a:lstStyle/>
              <a:p>
                <a:pPr>
                  <a:defRPr/>
                </a:pPr>
                <a:r>
                  <a:rPr lang="en-GB"/>
                  <a:t>ERDF + ESF total financial corrections in EUR millions</a:t>
                </a:r>
              </a:p>
            </c:rich>
          </c:tx>
          <c:layout>
            <c:manualLayout>
              <c:xMode val="edge"/>
              <c:yMode val="edge"/>
              <c:x val="2.6962061560486757E-2"/>
              <c:y val="0.1905334832239661"/>
            </c:manualLayout>
          </c:layout>
          <c:overlay val="0"/>
        </c:title>
        <c:numFmt formatCode="###\ ###\ ###\ ##0" sourceLinked="1"/>
        <c:majorTickMark val="out"/>
        <c:minorTickMark val="none"/>
        <c:tickLblPos val="nextTo"/>
        <c:crossAx val="177375488"/>
        <c:crosses val="autoZero"/>
        <c:crossBetween val="between"/>
      </c:valAx>
      <c:valAx>
        <c:axId val="177383296"/>
        <c:scaling>
          <c:orientation val="minMax"/>
        </c:scaling>
        <c:delete val="0"/>
        <c:axPos val="r"/>
        <c:title>
          <c:tx>
            <c:rich>
              <a:bodyPr rot="-5400000" vert="horz"/>
              <a:lstStyle/>
              <a:p>
                <a:pPr>
                  <a:defRPr sz="700"/>
                </a:pPr>
                <a:r>
                  <a:rPr lang="en-GB" sz="700"/>
                  <a:t>% of financial correctiosn to contributions received</a:t>
                </a:r>
              </a:p>
            </c:rich>
          </c:tx>
          <c:layout>
            <c:manualLayout>
              <c:xMode val="edge"/>
              <c:yMode val="edge"/>
              <c:x val="0.95757575757575752"/>
              <c:y val="0.18539044188039314"/>
            </c:manualLayout>
          </c:layout>
          <c:overlay val="0"/>
        </c:title>
        <c:numFmt formatCode="0.0%" sourceLinked="0"/>
        <c:majorTickMark val="out"/>
        <c:minorTickMark val="none"/>
        <c:tickLblPos val="nextTo"/>
        <c:crossAx val="177385472"/>
        <c:crosses val="max"/>
        <c:crossBetween val="between"/>
      </c:valAx>
      <c:catAx>
        <c:axId val="177385472"/>
        <c:scaling>
          <c:orientation val="minMax"/>
        </c:scaling>
        <c:delete val="1"/>
        <c:axPos val="b"/>
        <c:majorTickMark val="out"/>
        <c:minorTickMark val="none"/>
        <c:tickLblPos val="nextTo"/>
        <c:crossAx val="177383296"/>
        <c:crosses val="autoZero"/>
        <c:auto val="1"/>
        <c:lblAlgn val="ctr"/>
        <c:lblOffset val="100"/>
        <c:noMultiLvlLbl val="0"/>
      </c:catAx>
    </c:plotArea>
    <c:legend>
      <c:legendPos val="b"/>
      <c:layout>
        <c:manualLayout>
          <c:xMode val="edge"/>
          <c:yMode val="edge"/>
          <c:x val="0.12201717967072298"/>
          <c:y val="0.93035572837614344"/>
          <c:w val="0.76051097590073968"/>
          <c:h val="4.6500585577778177E-2"/>
        </c:manualLayout>
      </c:layout>
      <c:overlay val="0"/>
    </c:legend>
    <c:plotVisOnly val="1"/>
    <c:dispBlanksAs val="gap"/>
    <c:showDLblsOverMax val="0"/>
  </c:chart>
  <c:txPr>
    <a:bodyPr/>
    <a:lstStyle/>
    <a:p>
      <a:pPr>
        <a:defRPr sz="800"/>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Programming</a:t>
            </a:r>
            <a:r>
              <a:rPr lang="en-GB" sz="1200" baseline="0"/>
              <a:t> period  2007-2013</a:t>
            </a:r>
            <a:endParaRPr lang="en-GB" sz="1200"/>
          </a:p>
        </c:rich>
      </c:tx>
      <c:layout/>
      <c:overlay val="1"/>
    </c:title>
    <c:autoTitleDeleted val="0"/>
    <c:plotArea>
      <c:layout>
        <c:manualLayout>
          <c:layoutTarget val="inner"/>
          <c:xMode val="edge"/>
          <c:yMode val="edge"/>
          <c:x val="0.12550882844189931"/>
          <c:y val="0.1262681444068818"/>
          <c:w val="0.75383834407062755"/>
          <c:h val="0.63697194734173612"/>
        </c:manualLayout>
      </c:layout>
      <c:barChart>
        <c:barDir val="col"/>
        <c:grouping val="stacked"/>
        <c:varyColors val="0"/>
        <c:ser>
          <c:idx val="0"/>
          <c:order val="0"/>
          <c:tx>
            <c:strRef>
              <c:f>'Graph 4.2.3 &amp; 4.2.4'!$C$38</c:f>
              <c:strCache>
                <c:ptCount val="1"/>
                <c:pt idx="0">
                  <c:v>ERDF total FC</c:v>
                </c:pt>
              </c:strCache>
            </c:strRef>
          </c:tx>
          <c:invertIfNegative val="0"/>
          <c:cat>
            <c:strRef>
              <c:f>'Graph 4.2.3 &amp; 4.2.4'!$B$39:$B$67</c:f>
              <c:strCache>
                <c:ptCount val="29"/>
                <c:pt idx="0">
                  <c:v>Czech Republic</c:v>
                </c:pt>
                <c:pt idx="1">
                  <c:v>Ireland</c:v>
                </c:pt>
                <c:pt idx="2">
                  <c:v>Romania</c:v>
                </c:pt>
                <c:pt idx="3">
                  <c:v>Greece</c:v>
                </c:pt>
                <c:pt idx="4">
                  <c:v>Austria</c:v>
                </c:pt>
                <c:pt idx="5">
                  <c:v>Slovakia</c:v>
                </c:pt>
                <c:pt idx="6">
                  <c:v>Hungary</c:v>
                </c:pt>
                <c:pt idx="7">
                  <c:v>Bulgaria</c:v>
                </c:pt>
                <c:pt idx="8">
                  <c:v>Spain</c:v>
                </c:pt>
                <c:pt idx="9">
                  <c:v>Belgium</c:v>
                </c:pt>
                <c:pt idx="10">
                  <c:v>Luxembourg</c:v>
                </c:pt>
                <c:pt idx="11">
                  <c:v>United Kingdom</c:v>
                </c:pt>
                <c:pt idx="12">
                  <c:v>Latvia</c:v>
                </c:pt>
                <c:pt idx="13">
                  <c:v>Slovenia</c:v>
                </c:pt>
                <c:pt idx="14">
                  <c:v>Italy</c:v>
                </c:pt>
                <c:pt idx="15">
                  <c:v>France</c:v>
                </c:pt>
                <c:pt idx="16">
                  <c:v>Poland</c:v>
                </c:pt>
                <c:pt idx="17">
                  <c:v>Estonia</c:v>
                </c:pt>
                <c:pt idx="18">
                  <c:v>Germany</c:v>
                </c:pt>
                <c:pt idx="19">
                  <c:v>Portugal</c:v>
                </c:pt>
                <c:pt idx="20">
                  <c:v>Sweden</c:v>
                </c:pt>
                <c:pt idx="21">
                  <c:v>Cross-border</c:v>
                </c:pt>
                <c:pt idx="22">
                  <c:v>Denmark</c:v>
                </c:pt>
                <c:pt idx="23">
                  <c:v>Lithuania</c:v>
                </c:pt>
                <c:pt idx="24">
                  <c:v>Finland</c:v>
                </c:pt>
                <c:pt idx="25">
                  <c:v>Croatia</c:v>
                </c:pt>
                <c:pt idx="26">
                  <c:v>Cyprus</c:v>
                </c:pt>
                <c:pt idx="27">
                  <c:v>Malta</c:v>
                </c:pt>
                <c:pt idx="28">
                  <c:v>Netherlands</c:v>
                </c:pt>
              </c:strCache>
            </c:strRef>
          </c:cat>
          <c:val>
            <c:numRef>
              <c:f>'Graph 4.2.3 &amp; 4.2.4'!$C$39:$C$65</c:f>
              <c:numCache>
                <c:formatCode>###\ ###\ ###\ ##0</c:formatCode>
                <c:ptCount val="27"/>
                <c:pt idx="0">
                  <c:v>719.48924799449992</c:v>
                </c:pt>
                <c:pt idx="1">
                  <c:v>0</c:v>
                </c:pt>
                <c:pt idx="2">
                  <c:v>145.82399592452435</c:v>
                </c:pt>
                <c:pt idx="3">
                  <c:v>257.28226334300001</c:v>
                </c:pt>
                <c:pt idx="4">
                  <c:v>17.951993210000001</c:v>
                </c:pt>
                <c:pt idx="5">
                  <c:v>152.17335210149997</c:v>
                </c:pt>
                <c:pt idx="6">
                  <c:v>297.90726549549998</c:v>
                </c:pt>
                <c:pt idx="7">
                  <c:v>84.29109176</c:v>
                </c:pt>
                <c:pt idx="8">
                  <c:v>236.82094968000001</c:v>
                </c:pt>
                <c:pt idx="9">
                  <c:v>0.71808016000000008</c:v>
                </c:pt>
                <c:pt idx="10">
                  <c:v>0.41871091999999999</c:v>
                </c:pt>
                <c:pt idx="11">
                  <c:v>28.306128152530508</c:v>
                </c:pt>
                <c:pt idx="12">
                  <c:v>18.862671550000002</c:v>
                </c:pt>
                <c:pt idx="13">
                  <c:v>18.406542999999999</c:v>
                </c:pt>
                <c:pt idx="14">
                  <c:v>104.85932263638399</c:v>
                </c:pt>
                <c:pt idx="15">
                  <c:v>9.4437968147740019</c:v>
                </c:pt>
                <c:pt idx="16">
                  <c:v>85.848172433000002</c:v>
                </c:pt>
                <c:pt idx="17">
                  <c:v>9.5839092999999966</c:v>
                </c:pt>
                <c:pt idx="18">
                  <c:v>12.654822469999999</c:v>
                </c:pt>
                <c:pt idx="19">
                  <c:v>22.003115079999997</c:v>
                </c:pt>
                <c:pt idx="20">
                  <c:v>0.72573756956745028</c:v>
                </c:pt>
                <c:pt idx="21">
                  <c:v>2.762001105</c:v>
                </c:pt>
                <c:pt idx="22">
                  <c:v>0</c:v>
                </c:pt>
                <c:pt idx="23">
                  <c:v>2.0422490000000001E-2</c:v>
                </c:pt>
                <c:pt idx="24">
                  <c:v>0</c:v>
                </c:pt>
                <c:pt idx="25">
                  <c:v>0</c:v>
                </c:pt>
                <c:pt idx="26">
                  <c:v>0</c:v>
                </c:pt>
              </c:numCache>
            </c:numRef>
          </c:val>
        </c:ser>
        <c:ser>
          <c:idx val="1"/>
          <c:order val="1"/>
          <c:tx>
            <c:strRef>
              <c:f>'Graph 4.2.3 &amp; 4.2.4'!$D$38</c:f>
              <c:strCache>
                <c:ptCount val="1"/>
                <c:pt idx="0">
                  <c:v>ESF total FC</c:v>
                </c:pt>
              </c:strCache>
            </c:strRef>
          </c:tx>
          <c:invertIfNegative val="0"/>
          <c:cat>
            <c:strRef>
              <c:f>'Graph 4.2.3 &amp; 4.2.4'!$B$39:$B$67</c:f>
              <c:strCache>
                <c:ptCount val="29"/>
                <c:pt idx="0">
                  <c:v>Czech Republic</c:v>
                </c:pt>
                <c:pt idx="1">
                  <c:v>Ireland</c:v>
                </c:pt>
                <c:pt idx="2">
                  <c:v>Romania</c:v>
                </c:pt>
                <c:pt idx="3">
                  <c:v>Greece</c:v>
                </c:pt>
                <c:pt idx="4">
                  <c:v>Austria</c:v>
                </c:pt>
                <c:pt idx="5">
                  <c:v>Slovakia</c:v>
                </c:pt>
                <c:pt idx="6">
                  <c:v>Hungary</c:v>
                </c:pt>
                <c:pt idx="7">
                  <c:v>Bulgaria</c:v>
                </c:pt>
                <c:pt idx="8">
                  <c:v>Spain</c:v>
                </c:pt>
                <c:pt idx="9">
                  <c:v>Belgium</c:v>
                </c:pt>
                <c:pt idx="10">
                  <c:v>Luxembourg</c:v>
                </c:pt>
                <c:pt idx="11">
                  <c:v>United Kingdom</c:v>
                </c:pt>
                <c:pt idx="12">
                  <c:v>Latvia</c:v>
                </c:pt>
                <c:pt idx="13">
                  <c:v>Slovenia</c:v>
                </c:pt>
                <c:pt idx="14">
                  <c:v>Italy</c:v>
                </c:pt>
                <c:pt idx="15">
                  <c:v>France</c:v>
                </c:pt>
                <c:pt idx="16">
                  <c:v>Poland</c:v>
                </c:pt>
                <c:pt idx="17">
                  <c:v>Estonia</c:v>
                </c:pt>
                <c:pt idx="18">
                  <c:v>Germany</c:v>
                </c:pt>
                <c:pt idx="19">
                  <c:v>Portugal</c:v>
                </c:pt>
                <c:pt idx="20">
                  <c:v>Sweden</c:v>
                </c:pt>
                <c:pt idx="21">
                  <c:v>Cross-border</c:v>
                </c:pt>
                <c:pt idx="22">
                  <c:v>Denmark</c:v>
                </c:pt>
                <c:pt idx="23">
                  <c:v>Lithuania</c:v>
                </c:pt>
                <c:pt idx="24">
                  <c:v>Finland</c:v>
                </c:pt>
                <c:pt idx="25">
                  <c:v>Croatia</c:v>
                </c:pt>
                <c:pt idx="26">
                  <c:v>Cyprus</c:v>
                </c:pt>
                <c:pt idx="27">
                  <c:v>Malta</c:v>
                </c:pt>
                <c:pt idx="28">
                  <c:v>Netherlands</c:v>
                </c:pt>
              </c:strCache>
            </c:strRef>
          </c:cat>
          <c:val>
            <c:numRef>
              <c:f>'Graph 4.2.3 &amp; 4.2.4'!$D$39:$D$67</c:f>
              <c:numCache>
                <c:formatCode>###\ ###\ ###\ ##0</c:formatCode>
                <c:ptCount val="29"/>
                <c:pt idx="0">
                  <c:v>56.508663900000002</c:v>
                </c:pt>
                <c:pt idx="1">
                  <c:v>21.333537019999998</c:v>
                </c:pt>
                <c:pt idx="2">
                  <c:v>354.97774691000001</c:v>
                </c:pt>
                <c:pt idx="3">
                  <c:v>48.964189210000008</c:v>
                </c:pt>
                <c:pt idx="4">
                  <c:v>1.5787810000000003E-2</c:v>
                </c:pt>
                <c:pt idx="5">
                  <c:v>16.909969929999999</c:v>
                </c:pt>
                <c:pt idx="6">
                  <c:v>41.914969695000003</c:v>
                </c:pt>
                <c:pt idx="7">
                  <c:v>2.9026675200000001</c:v>
                </c:pt>
                <c:pt idx="8">
                  <c:v>212.80913026844399</c:v>
                </c:pt>
                <c:pt idx="9">
                  <c:v>22.435694818411999</c:v>
                </c:pt>
                <c:pt idx="10">
                  <c:v>1.5224399999999999E-2</c:v>
                </c:pt>
                <c:pt idx="11">
                  <c:v>42.921513939999997</c:v>
                </c:pt>
                <c:pt idx="12">
                  <c:v>4.4569955800000001</c:v>
                </c:pt>
                <c:pt idx="13">
                  <c:v>9.6893401000000018E-2</c:v>
                </c:pt>
                <c:pt idx="14">
                  <c:v>19.458914485000001</c:v>
                </c:pt>
                <c:pt idx="15">
                  <c:v>40.354687442474919</c:v>
                </c:pt>
                <c:pt idx="16">
                  <c:v>152.16789471850001</c:v>
                </c:pt>
                <c:pt idx="17">
                  <c:v>3.9652200000000002E-3</c:v>
                </c:pt>
                <c:pt idx="18">
                  <c:v>22.060738210670003</c:v>
                </c:pt>
                <c:pt idx="19">
                  <c:v>0.19149663</c:v>
                </c:pt>
                <c:pt idx="20">
                  <c:v>0.41278300000000001</c:v>
                </c:pt>
                <c:pt idx="21">
                  <c:v>0</c:v>
                </c:pt>
                <c:pt idx="22">
                  <c:v>1.5504298907115938E-2</c:v>
                </c:pt>
                <c:pt idx="23">
                  <c:v>1.78725E-3</c:v>
                </c:pt>
                <c:pt idx="24">
                  <c:v>3.4208900000000002E-3</c:v>
                </c:pt>
                <c:pt idx="25">
                  <c:v>0</c:v>
                </c:pt>
                <c:pt idx="26">
                  <c:v>0</c:v>
                </c:pt>
                <c:pt idx="27">
                  <c:v>0</c:v>
                </c:pt>
                <c:pt idx="28">
                  <c:v>0</c:v>
                </c:pt>
              </c:numCache>
            </c:numRef>
          </c:val>
        </c:ser>
        <c:dLbls>
          <c:showLegendKey val="0"/>
          <c:showVal val="0"/>
          <c:showCatName val="0"/>
          <c:showSerName val="0"/>
          <c:showPercent val="0"/>
          <c:showBubbleSize val="0"/>
        </c:dLbls>
        <c:gapWidth val="150"/>
        <c:overlap val="100"/>
        <c:axId val="194413312"/>
        <c:axId val="194414848"/>
      </c:barChart>
      <c:lineChart>
        <c:grouping val="stacked"/>
        <c:varyColors val="0"/>
        <c:ser>
          <c:idx val="2"/>
          <c:order val="2"/>
          <c:tx>
            <c:strRef>
              <c:f>'Graph 4.2.3 &amp; 4.2.4'!$F$3</c:f>
              <c:strCache>
                <c:ptCount val="1"/>
                <c:pt idx="0">
                  <c:v>Financial corrections to contributions %</c:v>
                </c:pt>
              </c:strCache>
            </c:strRef>
          </c:tx>
          <c:cat>
            <c:strRef>
              <c:f>'Graph 4.2.3 &amp; 4.2.4'!$B$39:$B$67</c:f>
              <c:strCache>
                <c:ptCount val="29"/>
                <c:pt idx="0">
                  <c:v>Czech Republic</c:v>
                </c:pt>
                <c:pt idx="1">
                  <c:v>Ireland</c:v>
                </c:pt>
                <c:pt idx="2">
                  <c:v>Romania</c:v>
                </c:pt>
                <c:pt idx="3">
                  <c:v>Greece</c:v>
                </c:pt>
                <c:pt idx="4">
                  <c:v>Austria</c:v>
                </c:pt>
                <c:pt idx="5">
                  <c:v>Slovakia</c:v>
                </c:pt>
                <c:pt idx="6">
                  <c:v>Hungary</c:v>
                </c:pt>
                <c:pt idx="7">
                  <c:v>Bulgaria</c:v>
                </c:pt>
                <c:pt idx="8">
                  <c:v>Spain</c:v>
                </c:pt>
                <c:pt idx="9">
                  <c:v>Belgium</c:v>
                </c:pt>
                <c:pt idx="10">
                  <c:v>Luxembourg</c:v>
                </c:pt>
                <c:pt idx="11">
                  <c:v>United Kingdom</c:v>
                </c:pt>
                <c:pt idx="12">
                  <c:v>Latvia</c:v>
                </c:pt>
                <c:pt idx="13">
                  <c:v>Slovenia</c:v>
                </c:pt>
                <c:pt idx="14">
                  <c:v>Italy</c:v>
                </c:pt>
                <c:pt idx="15">
                  <c:v>France</c:v>
                </c:pt>
                <c:pt idx="16">
                  <c:v>Poland</c:v>
                </c:pt>
                <c:pt idx="17">
                  <c:v>Estonia</c:v>
                </c:pt>
                <c:pt idx="18">
                  <c:v>Germany</c:v>
                </c:pt>
                <c:pt idx="19">
                  <c:v>Portugal</c:v>
                </c:pt>
                <c:pt idx="20">
                  <c:v>Sweden</c:v>
                </c:pt>
                <c:pt idx="21">
                  <c:v>Cross-border</c:v>
                </c:pt>
                <c:pt idx="22">
                  <c:v>Denmark</c:v>
                </c:pt>
                <c:pt idx="23">
                  <c:v>Lithuania</c:v>
                </c:pt>
                <c:pt idx="24">
                  <c:v>Finland</c:v>
                </c:pt>
                <c:pt idx="25">
                  <c:v>Croatia</c:v>
                </c:pt>
                <c:pt idx="26">
                  <c:v>Cyprus</c:v>
                </c:pt>
                <c:pt idx="27">
                  <c:v>Malta</c:v>
                </c:pt>
                <c:pt idx="28">
                  <c:v>Netherlands</c:v>
                </c:pt>
              </c:strCache>
            </c:strRef>
          </c:cat>
          <c:val>
            <c:numRef>
              <c:f>'Graph 4.2.3 &amp; 4.2.4'!$F$39:$F$67</c:f>
              <c:numCache>
                <c:formatCode>#,#00%</c:formatCode>
                <c:ptCount val="29"/>
                <c:pt idx="0">
                  <c:v>2.9239191306642341E-2</c:v>
                </c:pt>
                <c:pt idx="1">
                  <c:v>2.8417255788273994E-2</c:v>
                </c:pt>
                <c:pt idx="2">
                  <c:v>2.6278241488502541E-2</c:v>
                </c:pt>
                <c:pt idx="3">
                  <c:v>1.515301785612304E-2</c:v>
                </c:pt>
                <c:pt idx="4">
                  <c:v>1.4917476577360573E-2</c:v>
                </c:pt>
                <c:pt idx="5">
                  <c:v>1.4707414960692942E-2</c:v>
                </c:pt>
                <c:pt idx="6">
                  <c:v>1.3643247047773772E-2</c:v>
                </c:pt>
                <c:pt idx="7">
                  <c:v>1.3065420501717715E-2</c:v>
                </c:pt>
                <c:pt idx="8">
                  <c:v>1.2976746476968205E-2</c:v>
                </c:pt>
                <c:pt idx="9">
                  <c:v>1.1224231551003733E-2</c:v>
                </c:pt>
                <c:pt idx="10">
                  <c:v>8.5949346659871043E-3</c:v>
                </c:pt>
                <c:pt idx="11">
                  <c:v>7.2013034516676235E-3</c:v>
                </c:pt>
                <c:pt idx="12">
                  <c:v>5.1473207536913345E-3</c:v>
                </c:pt>
                <c:pt idx="13">
                  <c:v>4.5118792882806475E-3</c:v>
                </c:pt>
                <c:pt idx="14">
                  <c:v>4.4522421740014039E-3</c:v>
                </c:pt>
                <c:pt idx="15">
                  <c:v>3.7027039758221695E-3</c:v>
                </c:pt>
                <c:pt idx="16">
                  <c:v>3.5426675800042822E-3</c:v>
                </c:pt>
                <c:pt idx="17">
                  <c:v>2.8170963828675721E-3</c:v>
                </c:pt>
                <c:pt idx="18">
                  <c:v>1.3620371793418198E-3</c:v>
                </c:pt>
                <c:pt idx="19">
                  <c:v>1.0365714211984288E-3</c:v>
                </c:pt>
                <c:pt idx="20">
                  <c:v>7.0015758517051922E-4</c:v>
                </c:pt>
                <c:pt idx="21">
                  <c:v>3.4582224271129016E-4</c:v>
                </c:pt>
                <c:pt idx="22">
                  <c:v>3.0425807356587872E-5</c:v>
                </c:pt>
                <c:pt idx="23">
                  <c:v>3.2779519630818743E-6</c:v>
                </c:pt>
                <c:pt idx="24">
                  <c:v>2.1434603905645504E-6</c:v>
                </c:pt>
                <c:pt idx="25">
                  <c:v>0</c:v>
                </c:pt>
                <c:pt idx="26">
                  <c:v>0</c:v>
                </c:pt>
                <c:pt idx="27">
                  <c:v>0</c:v>
                </c:pt>
                <c:pt idx="28">
                  <c:v>0</c:v>
                </c:pt>
              </c:numCache>
            </c:numRef>
          </c:val>
          <c:smooth val="0"/>
        </c:ser>
        <c:dLbls>
          <c:showLegendKey val="0"/>
          <c:showVal val="0"/>
          <c:showCatName val="0"/>
          <c:showSerName val="0"/>
          <c:showPercent val="0"/>
          <c:showBubbleSize val="0"/>
        </c:dLbls>
        <c:marker val="1"/>
        <c:smooth val="0"/>
        <c:axId val="194423040"/>
        <c:axId val="194421120"/>
      </c:lineChart>
      <c:catAx>
        <c:axId val="194413312"/>
        <c:scaling>
          <c:orientation val="minMax"/>
        </c:scaling>
        <c:delete val="0"/>
        <c:axPos val="b"/>
        <c:majorTickMark val="out"/>
        <c:minorTickMark val="none"/>
        <c:tickLblPos val="nextTo"/>
        <c:txPr>
          <a:bodyPr/>
          <a:lstStyle/>
          <a:p>
            <a:pPr>
              <a:defRPr sz="700"/>
            </a:pPr>
            <a:endParaRPr lang="en-US"/>
          </a:p>
        </c:txPr>
        <c:crossAx val="194414848"/>
        <c:crosses val="autoZero"/>
        <c:auto val="1"/>
        <c:lblAlgn val="ctr"/>
        <c:lblOffset val="100"/>
        <c:noMultiLvlLbl val="0"/>
      </c:catAx>
      <c:valAx>
        <c:axId val="194414848"/>
        <c:scaling>
          <c:orientation val="minMax"/>
        </c:scaling>
        <c:delete val="0"/>
        <c:axPos val="l"/>
        <c:majorGridlines/>
        <c:title>
          <c:tx>
            <c:rich>
              <a:bodyPr rot="-5400000" vert="horz"/>
              <a:lstStyle/>
              <a:p>
                <a:pPr>
                  <a:defRPr sz="800"/>
                </a:pPr>
                <a:r>
                  <a:rPr lang="en-GB" sz="800">
                    <a:solidFill>
                      <a:srgbClr val="0070C0"/>
                    </a:solidFill>
                  </a:rPr>
                  <a:t>ERDF</a:t>
                </a:r>
                <a:r>
                  <a:rPr lang="en-GB" sz="800" baseline="0"/>
                  <a:t> + </a:t>
                </a:r>
                <a:r>
                  <a:rPr lang="en-GB" sz="800" baseline="0">
                    <a:solidFill>
                      <a:srgbClr val="C00000"/>
                    </a:solidFill>
                  </a:rPr>
                  <a:t>ESF</a:t>
                </a:r>
                <a:r>
                  <a:rPr lang="en-GB" sz="800" baseline="0"/>
                  <a:t> total financial corrections in EUR millions</a:t>
                </a:r>
                <a:endParaRPr lang="en-GB" sz="800"/>
              </a:p>
            </c:rich>
          </c:tx>
          <c:layout>
            <c:manualLayout>
              <c:xMode val="edge"/>
              <c:yMode val="edge"/>
              <c:x val="2.6962061560486757E-2"/>
              <c:y val="0.1905334832239661"/>
            </c:manualLayout>
          </c:layout>
          <c:overlay val="0"/>
        </c:title>
        <c:numFmt formatCode="###\ ###\ ###\ ##0" sourceLinked="1"/>
        <c:majorTickMark val="out"/>
        <c:minorTickMark val="none"/>
        <c:tickLblPos val="nextTo"/>
        <c:txPr>
          <a:bodyPr/>
          <a:lstStyle/>
          <a:p>
            <a:pPr>
              <a:defRPr sz="800"/>
            </a:pPr>
            <a:endParaRPr lang="en-US"/>
          </a:p>
        </c:txPr>
        <c:crossAx val="194413312"/>
        <c:crosses val="autoZero"/>
        <c:crossBetween val="between"/>
      </c:valAx>
      <c:valAx>
        <c:axId val="194421120"/>
        <c:scaling>
          <c:orientation val="minMax"/>
        </c:scaling>
        <c:delete val="0"/>
        <c:axPos val="r"/>
        <c:title>
          <c:tx>
            <c:rich>
              <a:bodyPr rot="-5400000" vert="horz"/>
              <a:lstStyle/>
              <a:p>
                <a:pPr>
                  <a:defRPr sz="700"/>
                </a:pPr>
                <a:r>
                  <a:rPr lang="en-GB" sz="700">
                    <a:solidFill>
                      <a:srgbClr val="92D050"/>
                    </a:solidFill>
                  </a:rPr>
                  <a:t>% of financial corrections to contributions</a:t>
                </a:r>
                <a:r>
                  <a:rPr lang="en-GB" sz="700" baseline="0">
                    <a:solidFill>
                      <a:srgbClr val="92D050"/>
                    </a:solidFill>
                  </a:rPr>
                  <a:t> received</a:t>
                </a:r>
                <a:endParaRPr lang="en-GB" sz="700">
                  <a:solidFill>
                    <a:srgbClr val="92D050"/>
                  </a:solidFill>
                </a:endParaRPr>
              </a:p>
            </c:rich>
          </c:tx>
          <c:layout>
            <c:manualLayout>
              <c:xMode val="edge"/>
              <c:yMode val="edge"/>
              <c:x val="0.95757575757575752"/>
              <c:y val="0.18539044188039314"/>
            </c:manualLayout>
          </c:layout>
          <c:overlay val="0"/>
        </c:title>
        <c:numFmt formatCode="0.0%" sourceLinked="0"/>
        <c:majorTickMark val="out"/>
        <c:minorTickMark val="none"/>
        <c:tickLblPos val="nextTo"/>
        <c:txPr>
          <a:bodyPr/>
          <a:lstStyle/>
          <a:p>
            <a:pPr>
              <a:defRPr sz="800"/>
            </a:pPr>
            <a:endParaRPr lang="en-US"/>
          </a:p>
        </c:txPr>
        <c:crossAx val="194423040"/>
        <c:crosses val="max"/>
        <c:crossBetween val="between"/>
      </c:valAx>
      <c:catAx>
        <c:axId val="194423040"/>
        <c:scaling>
          <c:orientation val="minMax"/>
        </c:scaling>
        <c:delete val="1"/>
        <c:axPos val="b"/>
        <c:majorTickMark val="out"/>
        <c:minorTickMark val="none"/>
        <c:tickLblPos val="nextTo"/>
        <c:crossAx val="194421120"/>
        <c:crosses val="autoZero"/>
        <c:auto val="1"/>
        <c:lblAlgn val="ctr"/>
        <c:lblOffset val="100"/>
        <c:noMultiLvlLbl val="0"/>
      </c:catAx>
    </c:plotArea>
    <c:legend>
      <c:legendPos val="b"/>
      <c:layout>
        <c:manualLayout>
          <c:xMode val="edge"/>
          <c:yMode val="edge"/>
          <c:x val="0.12959293724648055"/>
          <c:y val="0.93035572837614344"/>
          <c:w val="0.74838976377952759"/>
          <c:h val="4.6500585577778177E-2"/>
        </c:manualLayout>
      </c:layout>
      <c:overlay val="0"/>
      <c:txPr>
        <a:bodyPr/>
        <a:lstStyle/>
        <a:p>
          <a:pPr>
            <a:defRPr sz="800"/>
          </a:pPr>
          <a:endParaRPr lang="en-US"/>
        </a:p>
      </c:txPr>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en-GB"/>
            <a:t>Audit / Control</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en-GB"/>
            <a:t>In progress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en-GB"/>
            <a:t>Confirmed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en-GB" b="0" i="0"/>
            <a:t>Implemented</a:t>
          </a:r>
          <a:r>
            <a:rPr lang="en-GB"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5F919596-BE94-49A2-9090-52ED213B1AA2}">
      <dgm:prSet phldrT="[Text]"/>
      <dgm:spPr>
        <a:solidFill>
          <a:schemeClr val="accent4"/>
        </a:solidFill>
      </dgm:spPr>
      <dgm:t>
        <a:bodyPr/>
        <a:lstStyle/>
        <a:p>
          <a:r>
            <a:rPr lang="en-GB" i="0"/>
            <a:t>Reported</a:t>
          </a:r>
        </a:p>
      </dgm:t>
    </dgm:pt>
    <dgm:pt modelId="{CBAC4791-9D2B-4658-829B-BBAE4EA4BB58}" type="parTrans" cxnId="{E221F5C0-DA00-41BB-8BCD-DFFD93CC41AC}">
      <dgm:prSet/>
      <dgm:spPr/>
      <dgm:t>
        <a:bodyPr/>
        <a:lstStyle/>
        <a:p>
          <a:endParaRPr lang="en-GB"/>
        </a:p>
      </dgm:t>
    </dgm:pt>
    <dgm:pt modelId="{858D410B-32C6-43A1-9E67-F9C830D845EB}" type="sibTrans" cxnId="{E221F5C0-DA00-41BB-8BCD-DFFD93CC41AC}">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5">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5">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5">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5">
        <dgm:presLayoutVars>
          <dgm:chMax val="0"/>
          <dgm:chPref val="0"/>
          <dgm:bulletEnabled val="1"/>
        </dgm:presLayoutVars>
      </dgm:prSet>
      <dgm:spPr/>
      <dgm:t>
        <a:bodyPr/>
        <a:lstStyle/>
        <a:p>
          <a:endParaRPr lang="en-GB"/>
        </a:p>
      </dgm:t>
    </dgm:pt>
    <dgm:pt modelId="{B1F07681-1A9C-4C47-A304-6C94221189CD}" type="pres">
      <dgm:prSet presAssocID="{31F391CF-FED6-442B-A09C-83B797FF43F5}" presName="parTxOnlySpace" presStyleCnt="0"/>
      <dgm:spPr/>
    </dgm:pt>
    <dgm:pt modelId="{98202000-EE1A-4118-8441-536D3199620B}" type="pres">
      <dgm:prSet presAssocID="{5F919596-BE94-49A2-9090-52ED213B1AA2}" presName="parTxOnly" presStyleLbl="node1" presStyleIdx="4" presStyleCnt="5">
        <dgm:presLayoutVars>
          <dgm:chMax val="0"/>
          <dgm:chPref val="0"/>
          <dgm:bulletEnabled val="1"/>
        </dgm:presLayoutVars>
      </dgm:prSet>
      <dgm:spPr/>
      <dgm:t>
        <a:bodyPr/>
        <a:lstStyle/>
        <a:p>
          <a:endParaRPr lang="en-GB"/>
        </a:p>
      </dgm:t>
    </dgm:pt>
  </dgm:ptLst>
  <dgm:cxnLst>
    <dgm:cxn modelId="{A3FACC07-0DD9-4677-BF79-9E74A6C8A150}" srcId="{E1C25BA4-CD94-48AD-AE50-64AE48F13B24}" destId="{CE7D345B-4382-40B7-8AE5-3C560131C26B}" srcOrd="0" destOrd="0" parTransId="{D9262A82-C4DC-4FBF-8A9C-A5FD3941FB93}" sibTransId="{9D510870-6695-4296-A195-8C06AFE2296A}"/>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9D452078-81A4-42A7-9D41-B79A0203B578}" type="presOf" srcId="{20CC9278-1A5F-4B76-B2AA-59FA8426B074}" destId="{6E872551-BC66-474E-9080-DF01D418D413}" srcOrd="0" destOrd="0" presId="urn:microsoft.com/office/officeart/2005/8/layout/chevron1"/>
    <dgm:cxn modelId="{2CE7DD93-F957-481F-A732-F09D7BEA4578}" type="presOf" srcId="{E1C25BA4-CD94-48AD-AE50-64AE48F13B24}" destId="{28EF3502-A5CE-4BF1-80B1-CA7E0202B890}" srcOrd="0" destOrd="0" presId="urn:microsoft.com/office/officeart/2005/8/layout/chevron1"/>
    <dgm:cxn modelId="{4F99B76E-EC0E-4B84-B242-C5E50724B810}" type="presOf" srcId="{F6C9324B-55E1-4C53-A6B9-E90359BF7543}" destId="{2BA60F5D-2D40-4CE6-9D07-3515F01652FD}" srcOrd="0" destOrd="0" presId="urn:microsoft.com/office/officeart/2005/8/layout/chevron1"/>
    <dgm:cxn modelId="{E221F5C0-DA00-41BB-8BCD-DFFD93CC41AC}" srcId="{E1C25BA4-CD94-48AD-AE50-64AE48F13B24}" destId="{5F919596-BE94-49A2-9090-52ED213B1AA2}" srcOrd="4" destOrd="0" parTransId="{CBAC4791-9D2B-4658-829B-BBAE4EA4BB58}" sibTransId="{858D410B-32C6-43A1-9E67-F9C830D845EB}"/>
    <dgm:cxn modelId="{B26C8C91-ED6F-41B2-9F6E-B3584E17EC06}" type="presOf" srcId="{5E616404-2CD3-4779-9033-735D650D5CB5}" destId="{DF1B5E6B-E404-4038-8C22-E9AECF6B8108}" srcOrd="0" destOrd="0" presId="urn:microsoft.com/office/officeart/2005/8/layout/chevron1"/>
    <dgm:cxn modelId="{1D433288-3584-469E-BE4D-B6DC7894B971}" type="presOf" srcId="{CE7D345B-4382-40B7-8AE5-3C560131C26B}" destId="{191FECF2-A521-4F46-A93A-2BBD80BE276F}" srcOrd="0" destOrd="0" presId="urn:microsoft.com/office/officeart/2005/8/layout/chevron1"/>
    <dgm:cxn modelId="{35871926-E79A-4D8F-BE67-6F874051C36D}" type="presOf" srcId="{5F919596-BE94-49A2-9090-52ED213B1AA2}" destId="{98202000-EE1A-4118-8441-536D3199620B}" srcOrd="0" destOrd="0" presId="urn:microsoft.com/office/officeart/2005/8/layout/chevron1"/>
    <dgm:cxn modelId="{2555E901-5DD0-40D8-9D43-60C1959374B8}" type="presParOf" srcId="{28EF3502-A5CE-4BF1-80B1-CA7E0202B890}" destId="{191FECF2-A521-4F46-A93A-2BBD80BE276F}" srcOrd="0" destOrd="0" presId="urn:microsoft.com/office/officeart/2005/8/layout/chevron1"/>
    <dgm:cxn modelId="{E6F2365C-EEA4-4FC6-8EC8-27A8F2ADF8C4}" type="presParOf" srcId="{28EF3502-A5CE-4BF1-80B1-CA7E0202B890}" destId="{02AD3CC4-9DFF-43CD-981A-7C4AB4B49B41}" srcOrd="1" destOrd="0" presId="urn:microsoft.com/office/officeart/2005/8/layout/chevron1"/>
    <dgm:cxn modelId="{C26CF6F1-69DA-4428-AAB4-15B765328171}" type="presParOf" srcId="{28EF3502-A5CE-4BF1-80B1-CA7E0202B890}" destId="{6E872551-BC66-474E-9080-DF01D418D413}" srcOrd="2" destOrd="0" presId="urn:microsoft.com/office/officeart/2005/8/layout/chevron1"/>
    <dgm:cxn modelId="{1586386C-ECFC-4809-91DE-919D03482958}" type="presParOf" srcId="{28EF3502-A5CE-4BF1-80B1-CA7E0202B890}" destId="{12B97AD2-D582-40D7-B04F-958FF16B139F}" srcOrd="3" destOrd="0" presId="urn:microsoft.com/office/officeart/2005/8/layout/chevron1"/>
    <dgm:cxn modelId="{B96F9FA4-7401-481E-A639-5C3C439E4A7E}" type="presParOf" srcId="{28EF3502-A5CE-4BF1-80B1-CA7E0202B890}" destId="{2BA60F5D-2D40-4CE6-9D07-3515F01652FD}" srcOrd="4" destOrd="0" presId="urn:microsoft.com/office/officeart/2005/8/layout/chevron1"/>
    <dgm:cxn modelId="{A95F2BCA-BA2E-49C5-8971-9B243DE312FD}" type="presParOf" srcId="{28EF3502-A5CE-4BF1-80B1-CA7E0202B890}" destId="{50193686-C14E-4A4D-9A32-A08E74E3283C}" srcOrd="5" destOrd="0" presId="urn:microsoft.com/office/officeart/2005/8/layout/chevron1"/>
    <dgm:cxn modelId="{ACEF125A-091B-4F0A-9DD4-41ADEB571D2B}" type="presParOf" srcId="{28EF3502-A5CE-4BF1-80B1-CA7E0202B890}" destId="{DF1B5E6B-E404-4038-8C22-E9AECF6B8108}" srcOrd="6" destOrd="0" presId="urn:microsoft.com/office/officeart/2005/8/layout/chevron1"/>
    <dgm:cxn modelId="{9C023B29-6EC8-4349-A62E-4904D18BF3F8}" type="presParOf" srcId="{28EF3502-A5CE-4BF1-80B1-CA7E0202B890}" destId="{B1F07681-1A9C-4C47-A304-6C94221189CD}" srcOrd="7" destOrd="0" presId="urn:microsoft.com/office/officeart/2005/8/layout/chevron1"/>
    <dgm:cxn modelId="{2F5ED03F-3BA8-4457-8A1E-89B67C8F2C17}" type="presParOf" srcId="{28EF3502-A5CE-4BF1-80B1-CA7E0202B890}" destId="{98202000-EE1A-4118-8441-536D3199620B}"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1314" y="0"/>
          <a:ext cx="1169872" cy="29342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Audit / Control</a:t>
          </a:r>
        </a:p>
      </dsp:txBody>
      <dsp:txXfrm>
        <a:off x="148028" y="0"/>
        <a:ext cx="876445" cy="293427"/>
      </dsp:txXfrm>
    </dsp:sp>
    <dsp:sp modelId="{6E872551-BC66-474E-9080-DF01D418D413}">
      <dsp:nvSpPr>
        <dsp:cNvPr id="0" name=""/>
        <dsp:cNvSpPr/>
      </dsp:nvSpPr>
      <dsp:spPr>
        <a:xfrm>
          <a:off x="1054199" y="0"/>
          <a:ext cx="1169872" cy="29342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In progress </a:t>
          </a:r>
        </a:p>
      </dsp:txBody>
      <dsp:txXfrm>
        <a:off x="1200913" y="0"/>
        <a:ext cx="876445" cy="293427"/>
      </dsp:txXfrm>
    </dsp:sp>
    <dsp:sp modelId="{2BA60F5D-2D40-4CE6-9D07-3515F01652FD}">
      <dsp:nvSpPr>
        <dsp:cNvPr id="0" name=""/>
        <dsp:cNvSpPr/>
      </dsp:nvSpPr>
      <dsp:spPr>
        <a:xfrm>
          <a:off x="2107084" y="0"/>
          <a:ext cx="1169872" cy="29342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Confirmed</a:t>
          </a:r>
        </a:p>
      </dsp:txBody>
      <dsp:txXfrm>
        <a:off x="2253798" y="0"/>
        <a:ext cx="876445" cy="293427"/>
      </dsp:txXfrm>
    </dsp:sp>
    <dsp:sp modelId="{DF1B5E6B-E404-4038-8C22-E9AECF6B8108}">
      <dsp:nvSpPr>
        <dsp:cNvPr id="0" name=""/>
        <dsp:cNvSpPr/>
      </dsp:nvSpPr>
      <dsp:spPr>
        <a:xfrm>
          <a:off x="3159969" y="0"/>
          <a:ext cx="1169872" cy="29342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0" i="0" kern="1200"/>
            <a:t>Implemented</a:t>
          </a:r>
          <a:r>
            <a:rPr lang="en-GB" sz="1000" i="1" kern="1200"/>
            <a:t> </a:t>
          </a:r>
        </a:p>
      </dsp:txBody>
      <dsp:txXfrm>
        <a:off x="3306683" y="0"/>
        <a:ext cx="876445" cy="293427"/>
      </dsp:txXfrm>
    </dsp:sp>
    <dsp:sp modelId="{98202000-EE1A-4118-8441-536D3199620B}">
      <dsp:nvSpPr>
        <dsp:cNvPr id="0" name=""/>
        <dsp:cNvSpPr/>
      </dsp:nvSpPr>
      <dsp:spPr>
        <a:xfrm>
          <a:off x="4212855" y="0"/>
          <a:ext cx="1169872" cy="293427"/>
        </a:xfrm>
        <a:prstGeom prst="chevr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i="0" kern="1200"/>
            <a:t>Reported</a:t>
          </a:r>
        </a:p>
      </dsp:txBody>
      <dsp:txXfrm>
        <a:off x="4359569" y="0"/>
        <a:ext cx="876445" cy="29342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0.02659</cdr:x>
      <cdr:y>0.00865</cdr:y>
    </cdr:from>
    <cdr:to>
      <cdr:x>0.23108</cdr:x>
      <cdr:y>0.06916</cdr:y>
    </cdr:to>
    <cdr:sp macro="" textlink="">
      <cdr:nvSpPr>
        <cdr:cNvPr id="2" name="TextBox 1"/>
        <cdr:cNvSpPr txBox="1"/>
      </cdr:nvSpPr>
      <cdr:spPr>
        <a:xfrm xmlns:a="http://schemas.openxmlformats.org/drawingml/2006/main">
          <a:off x="123826" y="28575"/>
          <a:ext cx="952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0.02659</cdr:x>
      <cdr:y>0.00865</cdr:y>
    </cdr:from>
    <cdr:to>
      <cdr:x>0.23108</cdr:x>
      <cdr:y>0.06916</cdr:y>
    </cdr:to>
    <cdr:sp macro="" textlink="">
      <cdr:nvSpPr>
        <cdr:cNvPr id="2" name="TextBox 1"/>
        <cdr:cNvSpPr txBox="1"/>
      </cdr:nvSpPr>
      <cdr:spPr>
        <a:xfrm xmlns:a="http://schemas.openxmlformats.org/drawingml/2006/main">
          <a:off x="123826" y="28575"/>
          <a:ext cx="952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0.114</cdr:x>
      <cdr:y>0.56024</cdr:y>
    </cdr:from>
    <cdr:to>
      <cdr:x>0.85773</cdr:x>
      <cdr:y>0.56162</cdr:y>
    </cdr:to>
    <cdr:cxnSp macro="">
      <cdr:nvCxnSpPr>
        <cdr:cNvPr id="3" name="Straight Connector 2"/>
        <cdr:cNvCxnSpPr/>
      </cdr:nvCxnSpPr>
      <cdr:spPr>
        <a:xfrm xmlns:a="http://schemas.openxmlformats.org/drawingml/2006/main" flipH="1">
          <a:off x="892598" y="2350638"/>
          <a:ext cx="5823072" cy="579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0.84807</cdr:x>
      <cdr:y>0.53318</cdr:y>
    </cdr:from>
    <cdr:to>
      <cdr:x>0.93301</cdr:x>
      <cdr:y>0.58581</cdr:y>
    </cdr:to>
    <cdr:sp macro="" textlink="">
      <cdr:nvSpPr>
        <cdr:cNvPr id="4" name="TextBox 3"/>
        <cdr:cNvSpPr txBox="1"/>
      </cdr:nvSpPr>
      <cdr:spPr>
        <a:xfrm xmlns:a="http://schemas.openxmlformats.org/drawingml/2006/main">
          <a:off x="6753081" y="2219326"/>
          <a:ext cx="67642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600" b="1"/>
        </a:p>
        <a:p xmlns:a="http://schemas.openxmlformats.org/drawingml/2006/main">
          <a:endParaRPr lang="en-GB" sz="600" b="1"/>
        </a:p>
      </cdr:txBody>
    </cdr:sp>
  </cdr:relSizeAnchor>
  <cdr:relSizeAnchor xmlns:cdr="http://schemas.openxmlformats.org/drawingml/2006/chartDrawing">
    <cdr:from>
      <cdr:x>0.11502</cdr:x>
      <cdr:y>0.55933</cdr:y>
    </cdr:from>
    <cdr:to>
      <cdr:x>0.11517</cdr:x>
      <cdr:y>0.56064</cdr:y>
    </cdr:to>
    <cdr:cxnSp macro="">
      <cdr:nvCxnSpPr>
        <cdr:cNvPr id="5" name="Straight Connector 2"/>
        <cdr:cNvCxnSpPr/>
      </cdr:nvCxnSpPr>
      <cdr:spPr>
        <a:xfrm xmlns:a="http://schemas.openxmlformats.org/drawingml/2006/main" flipV="1">
          <a:off x="933451" y="2328176"/>
          <a:ext cx="1219" cy="5450"/>
        </a:xfrm>
        <a:prstGeom xmlns:a="http://schemas.openxmlformats.org/drawingml/2006/main" prst="line">
          <a:avLst/>
        </a:prstGeom>
        <a:ln xmlns:a="http://schemas.openxmlformats.org/drawingml/2006/main" w="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0.85042</cdr:x>
      <cdr:y>0.53547</cdr:y>
    </cdr:from>
    <cdr:to>
      <cdr:x>0.96132</cdr:x>
      <cdr:y>0.58736</cdr:y>
    </cdr:to>
    <cdr:sp macro="" textlink="">
      <cdr:nvSpPr>
        <cdr:cNvPr id="6" name="TextBox 3"/>
        <cdr:cNvSpPr txBox="1"/>
      </cdr:nvSpPr>
      <cdr:spPr>
        <a:xfrm xmlns:a="http://schemas.openxmlformats.org/drawingml/2006/main">
          <a:off x="6901393" y="2228851"/>
          <a:ext cx="900000" cy="216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b="1"/>
            <a:t>average 1.7%</a:t>
          </a:r>
        </a:p>
        <a:p xmlns:a="http://schemas.openxmlformats.org/drawingml/2006/main">
          <a:endParaRPr lang="en-GB" sz="500" b="1" baseline="0"/>
        </a:p>
      </cdr:txBody>
    </cdr:sp>
  </cdr:relSizeAnchor>
</c:userShapes>
</file>

<file path=word/drawings/drawing4.xml><?xml version="1.0" encoding="utf-8"?>
<c:userShapes xmlns:c="http://schemas.openxmlformats.org/drawingml/2006/chart">
  <cdr:relSizeAnchor xmlns:cdr="http://schemas.openxmlformats.org/drawingml/2006/chartDrawing">
    <cdr:from>
      <cdr:x>0.12481</cdr:x>
      <cdr:y>0.50174</cdr:y>
    </cdr:from>
    <cdr:to>
      <cdr:x>0.87822</cdr:x>
      <cdr:y>0.50174</cdr:y>
    </cdr:to>
    <cdr:cxnSp macro="">
      <cdr:nvCxnSpPr>
        <cdr:cNvPr id="3" name="Straight Connector 2"/>
        <cdr:cNvCxnSpPr/>
      </cdr:nvCxnSpPr>
      <cdr:spPr>
        <a:xfrm xmlns:a="http://schemas.openxmlformats.org/drawingml/2006/main" flipH="1">
          <a:off x="1041413" y="2613339"/>
          <a:ext cx="6286378"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0.87544</cdr:x>
      <cdr:y>0.46504</cdr:y>
    </cdr:from>
    <cdr:to>
      <cdr:x>0.98577</cdr:x>
      <cdr:y>0.51234</cdr:y>
    </cdr:to>
    <cdr:sp macro="" textlink="">
      <cdr:nvSpPr>
        <cdr:cNvPr id="4" name="TextBox 1"/>
        <cdr:cNvSpPr txBox="1"/>
      </cdr:nvSpPr>
      <cdr:spPr>
        <a:xfrm xmlns:a="http://schemas.openxmlformats.org/drawingml/2006/main">
          <a:off x="6837635" y="2270125"/>
          <a:ext cx="861741" cy="2309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b="1"/>
            <a:t>average 4,1%</a:t>
          </a:r>
        </a:p>
      </cdr:txBody>
    </cdr:sp>
  </cdr:relSizeAnchor>
</c:userShapes>
</file>

<file path=word/drawings/drawing5.xml><?xml version="1.0" encoding="utf-8"?>
<c:userShapes xmlns:c="http://schemas.openxmlformats.org/drawingml/2006/chart">
  <cdr:relSizeAnchor xmlns:cdr="http://schemas.openxmlformats.org/drawingml/2006/chartDrawing">
    <cdr:from>
      <cdr:x>0.12661</cdr:x>
      <cdr:y>0.58757</cdr:y>
    </cdr:from>
    <cdr:to>
      <cdr:x>0.87823</cdr:x>
      <cdr:y>0.5879</cdr:y>
    </cdr:to>
    <cdr:cxnSp macro="">
      <cdr:nvCxnSpPr>
        <cdr:cNvPr id="2" name="Straight Connector 1"/>
        <cdr:cNvCxnSpPr/>
      </cdr:nvCxnSpPr>
      <cdr:spPr>
        <a:xfrm xmlns:a="http://schemas.openxmlformats.org/drawingml/2006/main" flipH="1" flipV="1">
          <a:off x="980446" y="2913035"/>
          <a:ext cx="5820405" cy="1615"/>
        </a:xfrm>
        <a:prstGeom xmlns:a="http://schemas.openxmlformats.org/drawingml/2006/main" prst="line">
          <a:avLst/>
        </a:prstGeom>
        <a:ln xmlns:a="http://schemas.openxmlformats.org/drawingml/2006/main" w="9525"/>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0.87916</cdr:x>
      <cdr:y>0.57829</cdr:y>
    </cdr:from>
    <cdr:to>
      <cdr:x>0.99385</cdr:x>
      <cdr:y>0.61676</cdr:y>
    </cdr:to>
    <cdr:sp macro="" textlink="">
      <cdr:nvSpPr>
        <cdr:cNvPr id="3" name="TextBox 1"/>
        <cdr:cNvSpPr txBox="1"/>
      </cdr:nvSpPr>
      <cdr:spPr>
        <a:xfrm xmlns:a="http://schemas.openxmlformats.org/drawingml/2006/main">
          <a:off x="6808062" y="2867032"/>
          <a:ext cx="888140" cy="1907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b="1"/>
            <a:t>average 0,9</a:t>
          </a:r>
          <a:r>
            <a:rPr lang="en-GB" sz="600" b="1" baseline="0"/>
            <a:t> </a:t>
          </a:r>
          <a:r>
            <a:rPr lang="en-GB" sz="600" b="1"/>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3A4D6-0788-4AB0-B5E7-C75F2AF8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44</Pages>
  <Words>16380</Words>
  <Characters>91895</Characters>
  <Application>Microsoft Office Word</Application>
  <DocSecurity>0</DocSecurity>
  <Lines>1584</Lines>
  <Paragraphs>496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107779</CharactersWithSpaces>
  <SharedDoc>false</SharedDoc>
  <HLinks>
    <vt:vector size="198" baseType="variant">
      <vt:variant>
        <vt:i4>1114163</vt:i4>
      </vt:variant>
      <vt:variant>
        <vt:i4>197</vt:i4>
      </vt:variant>
      <vt:variant>
        <vt:i4>0</vt:i4>
      </vt:variant>
      <vt:variant>
        <vt:i4>5</vt:i4>
      </vt:variant>
      <vt:variant>
        <vt:lpwstr/>
      </vt:variant>
      <vt:variant>
        <vt:lpwstr>_Toc424121148</vt:lpwstr>
      </vt:variant>
      <vt:variant>
        <vt:i4>1114163</vt:i4>
      </vt:variant>
      <vt:variant>
        <vt:i4>191</vt:i4>
      </vt:variant>
      <vt:variant>
        <vt:i4>0</vt:i4>
      </vt:variant>
      <vt:variant>
        <vt:i4>5</vt:i4>
      </vt:variant>
      <vt:variant>
        <vt:lpwstr/>
      </vt:variant>
      <vt:variant>
        <vt:lpwstr>_Toc424121147</vt:lpwstr>
      </vt:variant>
      <vt:variant>
        <vt:i4>1114163</vt:i4>
      </vt:variant>
      <vt:variant>
        <vt:i4>185</vt:i4>
      </vt:variant>
      <vt:variant>
        <vt:i4>0</vt:i4>
      </vt:variant>
      <vt:variant>
        <vt:i4>5</vt:i4>
      </vt:variant>
      <vt:variant>
        <vt:lpwstr/>
      </vt:variant>
      <vt:variant>
        <vt:lpwstr>_Toc424121146</vt:lpwstr>
      </vt:variant>
      <vt:variant>
        <vt:i4>1114163</vt:i4>
      </vt:variant>
      <vt:variant>
        <vt:i4>179</vt:i4>
      </vt:variant>
      <vt:variant>
        <vt:i4>0</vt:i4>
      </vt:variant>
      <vt:variant>
        <vt:i4>5</vt:i4>
      </vt:variant>
      <vt:variant>
        <vt:lpwstr/>
      </vt:variant>
      <vt:variant>
        <vt:lpwstr>_Toc424121145</vt:lpwstr>
      </vt:variant>
      <vt:variant>
        <vt:i4>1114163</vt:i4>
      </vt:variant>
      <vt:variant>
        <vt:i4>173</vt:i4>
      </vt:variant>
      <vt:variant>
        <vt:i4>0</vt:i4>
      </vt:variant>
      <vt:variant>
        <vt:i4>5</vt:i4>
      </vt:variant>
      <vt:variant>
        <vt:lpwstr/>
      </vt:variant>
      <vt:variant>
        <vt:lpwstr>_Toc424121144</vt:lpwstr>
      </vt:variant>
      <vt:variant>
        <vt:i4>1114163</vt:i4>
      </vt:variant>
      <vt:variant>
        <vt:i4>167</vt:i4>
      </vt:variant>
      <vt:variant>
        <vt:i4>0</vt:i4>
      </vt:variant>
      <vt:variant>
        <vt:i4>5</vt:i4>
      </vt:variant>
      <vt:variant>
        <vt:lpwstr/>
      </vt:variant>
      <vt:variant>
        <vt:lpwstr>_Toc424121143</vt:lpwstr>
      </vt:variant>
      <vt:variant>
        <vt:i4>1114163</vt:i4>
      </vt:variant>
      <vt:variant>
        <vt:i4>161</vt:i4>
      </vt:variant>
      <vt:variant>
        <vt:i4>0</vt:i4>
      </vt:variant>
      <vt:variant>
        <vt:i4>5</vt:i4>
      </vt:variant>
      <vt:variant>
        <vt:lpwstr/>
      </vt:variant>
      <vt:variant>
        <vt:lpwstr>_Toc424121142</vt:lpwstr>
      </vt:variant>
      <vt:variant>
        <vt:i4>1114163</vt:i4>
      </vt:variant>
      <vt:variant>
        <vt:i4>155</vt:i4>
      </vt:variant>
      <vt:variant>
        <vt:i4>0</vt:i4>
      </vt:variant>
      <vt:variant>
        <vt:i4>5</vt:i4>
      </vt:variant>
      <vt:variant>
        <vt:lpwstr/>
      </vt:variant>
      <vt:variant>
        <vt:lpwstr>_Toc424121141</vt:lpwstr>
      </vt:variant>
      <vt:variant>
        <vt:i4>1114163</vt:i4>
      </vt:variant>
      <vt:variant>
        <vt:i4>149</vt:i4>
      </vt:variant>
      <vt:variant>
        <vt:i4>0</vt:i4>
      </vt:variant>
      <vt:variant>
        <vt:i4>5</vt:i4>
      </vt:variant>
      <vt:variant>
        <vt:lpwstr/>
      </vt:variant>
      <vt:variant>
        <vt:lpwstr>_Toc424121140</vt:lpwstr>
      </vt:variant>
      <vt:variant>
        <vt:i4>1441843</vt:i4>
      </vt:variant>
      <vt:variant>
        <vt:i4>143</vt:i4>
      </vt:variant>
      <vt:variant>
        <vt:i4>0</vt:i4>
      </vt:variant>
      <vt:variant>
        <vt:i4>5</vt:i4>
      </vt:variant>
      <vt:variant>
        <vt:lpwstr/>
      </vt:variant>
      <vt:variant>
        <vt:lpwstr>_Toc424121139</vt:lpwstr>
      </vt:variant>
      <vt:variant>
        <vt:i4>1441843</vt:i4>
      </vt:variant>
      <vt:variant>
        <vt:i4>137</vt:i4>
      </vt:variant>
      <vt:variant>
        <vt:i4>0</vt:i4>
      </vt:variant>
      <vt:variant>
        <vt:i4>5</vt:i4>
      </vt:variant>
      <vt:variant>
        <vt:lpwstr/>
      </vt:variant>
      <vt:variant>
        <vt:lpwstr>_Toc424121138</vt:lpwstr>
      </vt:variant>
      <vt:variant>
        <vt:i4>1441843</vt:i4>
      </vt:variant>
      <vt:variant>
        <vt:i4>131</vt:i4>
      </vt:variant>
      <vt:variant>
        <vt:i4>0</vt:i4>
      </vt:variant>
      <vt:variant>
        <vt:i4>5</vt:i4>
      </vt:variant>
      <vt:variant>
        <vt:lpwstr/>
      </vt:variant>
      <vt:variant>
        <vt:lpwstr>_Toc424121137</vt:lpwstr>
      </vt:variant>
      <vt:variant>
        <vt:i4>1441843</vt:i4>
      </vt:variant>
      <vt:variant>
        <vt:i4>125</vt:i4>
      </vt:variant>
      <vt:variant>
        <vt:i4>0</vt:i4>
      </vt:variant>
      <vt:variant>
        <vt:i4>5</vt:i4>
      </vt:variant>
      <vt:variant>
        <vt:lpwstr/>
      </vt:variant>
      <vt:variant>
        <vt:lpwstr>_Toc424121134</vt:lpwstr>
      </vt:variant>
      <vt:variant>
        <vt:i4>1441843</vt:i4>
      </vt:variant>
      <vt:variant>
        <vt:i4>119</vt:i4>
      </vt:variant>
      <vt:variant>
        <vt:i4>0</vt:i4>
      </vt:variant>
      <vt:variant>
        <vt:i4>5</vt:i4>
      </vt:variant>
      <vt:variant>
        <vt:lpwstr/>
      </vt:variant>
      <vt:variant>
        <vt:lpwstr>_Toc424121133</vt:lpwstr>
      </vt:variant>
      <vt:variant>
        <vt:i4>1441843</vt:i4>
      </vt:variant>
      <vt:variant>
        <vt:i4>113</vt:i4>
      </vt:variant>
      <vt:variant>
        <vt:i4>0</vt:i4>
      </vt:variant>
      <vt:variant>
        <vt:i4>5</vt:i4>
      </vt:variant>
      <vt:variant>
        <vt:lpwstr/>
      </vt:variant>
      <vt:variant>
        <vt:lpwstr>_Toc424121132</vt:lpwstr>
      </vt:variant>
      <vt:variant>
        <vt:i4>1441843</vt:i4>
      </vt:variant>
      <vt:variant>
        <vt:i4>107</vt:i4>
      </vt:variant>
      <vt:variant>
        <vt:i4>0</vt:i4>
      </vt:variant>
      <vt:variant>
        <vt:i4>5</vt:i4>
      </vt:variant>
      <vt:variant>
        <vt:lpwstr/>
      </vt:variant>
      <vt:variant>
        <vt:lpwstr>_Toc424121130</vt:lpwstr>
      </vt:variant>
      <vt:variant>
        <vt:i4>1507379</vt:i4>
      </vt:variant>
      <vt:variant>
        <vt:i4>101</vt:i4>
      </vt:variant>
      <vt:variant>
        <vt:i4>0</vt:i4>
      </vt:variant>
      <vt:variant>
        <vt:i4>5</vt:i4>
      </vt:variant>
      <vt:variant>
        <vt:lpwstr/>
      </vt:variant>
      <vt:variant>
        <vt:lpwstr>_Toc424121129</vt:lpwstr>
      </vt:variant>
      <vt:variant>
        <vt:i4>1507379</vt:i4>
      </vt:variant>
      <vt:variant>
        <vt:i4>95</vt:i4>
      </vt:variant>
      <vt:variant>
        <vt:i4>0</vt:i4>
      </vt:variant>
      <vt:variant>
        <vt:i4>5</vt:i4>
      </vt:variant>
      <vt:variant>
        <vt:lpwstr/>
      </vt:variant>
      <vt:variant>
        <vt:lpwstr>_Toc424121128</vt:lpwstr>
      </vt:variant>
      <vt:variant>
        <vt:i4>1507379</vt:i4>
      </vt:variant>
      <vt:variant>
        <vt:i4>89</vt:i4>
      </vt:variant>
      <vt:variant>
        <vt:i4>0</vt:i4>
      </vt:variant>
      <vt:variant>
        <vt:i4>5</vt:i4>
      </vt:variant>
      <vt:variant>
        <vt:lpwstr/>
      </vt:variant>
      <vt:variant>
        <vt:lpwstr>_Toc424121127</vt:lpwstr>
      </vt:variant>
      <vt:variant>
        <vt:i4>1507379</vt:i4>
      </vt:variant>
      <vt:variant>
        <vt:i4>83</vt:i4>
      </vt:variant>
      <vt:variant>
        <vt:i4>0</vt:i4>
      </vt:variant>
      <vt:variant>
        <vt:i4>5</vt:i4>
      </vt:variant>
      <vt:variant>
        <vt:lpwstr/>
      </vt:variant>
      <vt:variant>
        <vt:lpwstr>_Toc424121126</vt:lpwstr>
      </vt:variant>
      <vt:variant>
        <vt:i4>1507379</vt:i4>
      </vt:variant>
      <vt:variant>
        <vt:i4>77</vt:i4>
      </vt:variant>
      <vt:variant>
        <vt:i4>0</vt:i4>
      </vt:variant>
      <vt:variant>
        <vt:i4>5</vt:i4>
      </vt:variant>
      <vt:variant>
        <vt:lpwstr/>
      </vt:variant>
      <vt:variant>
        <vt:lpwstr>_Toc424121125</vt:lpwstr>
      </vt:variant>
      <vt:variant>
        <vt:i4>1507379</vt:i4>
      </vt:variant>
      <vt:variant>
        <vt:i4>71</vt:i4>
      </vt:variant>
      <vt:variant>
        <vt:i4>0</vt:i4>
      </vt:variant>
      <vt:variant>
        <vt:i4>5</vt:i4>
      </vt:variant>
      <vt:variant>
        <vt:lpwstr/>
      </vt:variant>
      <vt:variant>
        <vt:lpwstr>_Toc424121124</vt:lpwstr>
      </vt:variant>
      <vt:variant>
        <vt:i4>1507379</vt:i4>
      </vt:variant>
      <vt:variant>
        <vt:i4>65</vt:i4>
      </vt:variant>
      <vt:variant>
        <vt:i4>0</vt:i4>
      </vt:variant>
      <vt:variant>
        <vt:i4>5</vt:i4>
      </vt:variant>
      <vt:variant>
        <vt:lpwstr/>
      </vt:variant>
      <vt:variant>
        <vt:lpwstr>_Toc424121123</vt:lpwstr>
      </vt:variant>
      <vt:variant>
        <vt:i4>1310771</vt:i4>
      </vt:variant>
      <vt:variant>
        <vt:i4>59</vt:i4>
      </vt:variant>
      <vt:variant>
        <vt:i4>0</vt:i4>
      </vt:variant>
      <vt:variant>
        <vt:i4>5</vt:i4>
      </vt:variant>
      <vt:variant>
        <vt:lpwstr/>
      </vt:variant>
      <vt:variant>
        <vt:lpwstr>_Toc424121119</vt:lpwstr>
      </vt:variant>
      <vt:variant>
        <vt:i4>1310771</vt:i4>
      </vt:variant>
      <vt:variant>
        <vt:i4>53</vt:i4>
      </vt:variant>
      <vt:variant>
        <vt:i4>0</vt:i4>
      </vt:variant>
      <vt:variant>
        <vt:i4>5</vt:i4>
      </vt:variant>
      <vt:variant>
        <vt:lpwstr/>
      </vt:variant>
      <vt:variant>
        <vt:lpwstr>_Toc424121115</vt:lpwstr>
      </vt:variant>
      <vt:variant>
        <vt:i4>1310771</vt:i4>
      </vt:variant>
      <vt:variant>
        <vt:i4>47</vt:i4>
      </vt:variant>
      <vt:variant>
        <vt:i4>0</vt:i4>
      </vt:variant>
      <vt:variant>
        <vt:i4>5</vt:i4>
      </vt:variant>
      <vt:variant>
        <vt:lpwstr/>
      </vt:variant>
      <vt:variant>
        <vt:lpwstr>_Toc424121114</vt:lpwstr>
      </vt:variant>
      <vt:variant>
        <vt:i4>1310771</vt:i4>
      </vt:variant>
      <vt:variant>
        <vt:i4>41</vt:i4>
      </vt:variant>
      <vt:variant>
        <vt:i4>0</vt:i4>
      </vt:variant>
      <vt:variant>
        <vt:i4>5</vt:i4>
      </vt:variant>
      <vt:variant>
        <vt:lpwstr/>
      </vt:variant>
      <vt:variant>
        <vt:lpwstr>_Toc424121113</vt:lpwstr>
      </vt:variant>
      <vt:variant>
        <vt:i4>1310771</vt:i4>
      </vt:variant>
      <vt:variant>
        <vt:i4>35</vt:i4>
      </vt:variant>
      <vt:variant>
        <vt:i4>0</vt:i4>
      </vt:variant>
      <vt:variant>
        <vt:i4>5</vt:i4>
      </vt:variant>
      <vt:variant>
        <vt:lpwstr/>
      </vt:variant>
      <vt:variant>
        <vt:lpwstr>_Toc424121112</vt:lpwstr>
      </vt:variant>
      <vt:variant>
        <vt:i4>1376307</vt:i4>
      </vt:variant>
      <vt:variant>
        <vt:i4>29</vt:i4>
      </vt:variant>
      <vt:variant>
        <vt:i4>0</vt:i4>
      </vt:variant>
      <vt:variant>
        <vt:i4>5</vt:i4>
      </vt:variant>
      <vt:variant>
        <vt:lpwstr/>
      </vt:variant>
      <vt:variant>
        <vt:lpwstr>_Toc424121108</vt:lpwstr>
      </vt:variant>
      <vt:variant>
        <vt:i4>1376307</vt:i4>
      </vt:variant>
      <vt:variant>
        <vt:i4>23</vt:i4>
      </vt:variant>
      <vt:variant>
        <vt:i4>0</vt:i4>
      </vt:variant>
      <vt:variant>
        <vt:i4>5</vt:i4>
      </vt:variant>
      <vt:variant>
        <vt:lpwstr/>
      </vt:variant>
      <vt:variant>
        <vt:lpwstr>_Toc424121107</vt:lpwstr>
      </vt:variant>
      <vt:variant>
        <vt:i4>1376307</vt:i4>
      </vt:variant>
      <vt:variant>
        <vt:i4>17</vt:i4>
      </vt:variant>
      <vt:variant>
        <vt:i4>0</vt:i4>
      </vt:variant>
      <vt:variant>
        <vt:i4>5</vt:i4>
      </vt:variant>
      <vt:variant>
        <vt:lpwstr/>
      </vt:variant>
      <vt:variant>
        <vt:lpwstr>_Toc424121106</vt:lpwstr>
      </vt:variant>
      <vt:variant>
        <vt:i4>1376307</vt:i4>
      </vt:variant>
      <vt:variant>
        <vt:i4>11</vt:i4>
      </vt:variant>
      <vt:variant>
        <vt:i4>0</vt:i4>
      </vt:variant>
      <vt:variant>
        <vt:i4>5</vt:i4>
      </vt:variant>
      <vt:variant>
        <vt:lpwstr/>
      </vt:variant>
      <vt:variant>
        <vt:lpwstr>_Toc424121105</vt:lpwstr>
      </vt:variant>
      <vt:variant>
        <vt:i4>1376307</vt:i4>
      </vt:variant>
      <vt:variant>
        <vt:i4>5</vt:i4>
      </vt:variant>
      <vt:variant>
        <vt:i4>0</vt:i4>
      </vt:variant>
      <vt:variant>
        <vt:i4>5</vt:i4>
      </vt:variant>
      <vt:variant>
        <vt:lpwstr/>
      </vt:variant>
      <vt:variant>
        <vt:lpwstr>_Toc424121104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WOJCIECHOWSKA Eliza (SG)</cp:lastModifiedBy>
  <cp:revision>28</cp:revision>
  <cp:lastPrinted>2015-10-08T08:10:00Z</cp:lastPrinted>
  <dcterms:created xsi:type="dcterms:W3CDTF">2015-09-30T09:30:00Z</dcterms:created>
  <dcterms:modified xsi:type="dcterms:W3CDTF">2015-10-08T09:18:00Z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