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BC5815E52F544C15A19C51F2E080672A" style="width:450.75pt;height:392.2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spacing w:before="0" w:after="240"/>
        <w:jc w:val="center"/>
        <w:rPr>
          <w:rFonts w:eastAsia="Times New Roman"/>
          <w:i/>
          <w:noProof/>
          <w:szCs w:val="20"/>
        </w:rPr>
      </w:pPr>
      <w:bookmarkStart w:id="0" w:name="_GoBack"/>
      <w:bookmarkEnd w:id="0"/>
      <w:r>
        <w:rPr>
          <w:i/>
          <w:noProof/>
        </w:rPr>
        <w:t xml:space="preserve">ПРИЛОЖЕНИЕ </w:t>
      </w:r>
    </w:p>
    <w:p>
      <w:pPr>
        <w:spacing w:before="0" w:after="240"/>
        <w:jc w:val="center"/>
        <w:rPr>
          <w:rFonts w:eastAsia="Times New Roman"/>
          <w:b/>
          <w:bCs/>
          <w:noProof/>
          <w:szCs w:val="24"/>
        </w:rPr>
      </w:pPr>
      <w:r>
        <w:rPr>
          <w:b/>
          <w:noProof/>
        </w:rPr>
        <w:t>Показатели</w:t>
      </w:r>
    </w:p>
    <w:p>
      <w:pPr>
        <w:spacing w:before="100" w:beforeAutospacing="1" w:after="240"/>
        <w:rPr>
          <w:rFonts w:eastAsia="Times New Roman"/>
          <w:noProof/>
          <w:szCs w:val="24"/>
        </w:rPr>
      </w:pPr>
      <w:r>
        <w:rPr>
          <w:noProof/>
        </w:rPr>
        <w:t>Постигането на конкретните цели, посочени в член 5, параграф 1, се измерва въз основа на следните показатели:</w:t>
      </w:r>
    </w:p>
    <w:p>
      <w:pPr>
        <w:pStyle w:val="Point0"/>
        <w:rPr>
          <w:noProof/>
        </w:rPr>
      </w:pPr>
      <w:r>
        <w:rPr>
          <w:noProof/>
        </w:rPr>
        <w:t>а)</w:t>
      </w:r>
      <w:r>
        <w:rPr>
          <w:noProof/>
        </w:rPr>
        <w:tab/>
        <w:t>броя и вида на националните органи, службите на администрацията и другите публични субекти, като например национални министерства или регулаторни органи, по държава членка бенефициер, на която е предоставена подкрепа по Програмата;</w:t>
      </w:r>
    </w:p>
    <w:p>
      <w:pPr>
        <w:pStyle w:val="Point0"/>
        <w:rPr>
          <w:noProof/>
        </w:rPr>
      </w:pPr>
      <w:r>
        <w:rPr>
          <w:noProof/>
        </w:rPr>
        <w:t>б)</w:t>
      </w:r>
      <w:r>
        <w:rPr>
          <w:noProof/>
        </w:rPr>
        <w:tab/>
        <w:t xml:space="preserve">броя и вида на органите, предоставящи подкрепа, като например държавни органи, публичноправни органи или частноправни органи със задължение за обществена услуга, международни организации, по конкретна цел, област на политика и държава членка бенефициер; </w:t>
      </w:r>
    </w:p>
    <w:p>
      <w:pPr>
        <w:pStyle w:val="Point0"/>
        <w:rPr>
          <w:noProof/>
        </w:rPr>
      </w:pPr>
      <w:r>
        <w:rPr>
          <w:noProof/>
        </w:rPr>
        <w:t>в)</w:t>
      </w:r>
      <w:r>
        <w:rPr>
          <w:noProof/>
        </w:rPr>
        <w:tab/>
        <w:t>броя и вида на извършените допустими действия по член 6, като например предоставяне на експерти, обучителни дейности, семинари и т.н., с разбивка по:</w:t>
      </w:r>
    </w:p>
    <w:p>
      <w:pPr>
        <w:pStyle w:val="Point1"/>
        <w:rPr>
          <w:noProof/>
        </w:rPr>
      </w:pPr>
      <w:r>
        <w:rPr>
          <w:noProof/>
        </w:rPr>
        <w:t>а)</w:t>
      </w:r>
      <w:r>
        <w:rPr>
          <w:noProof/>
        </w:rPr>
        <w:tab/>
        <w:t>специфичните за всяка държава препоръки или съответни действия, свързани с прилагането на правото на Съюза, програми за икономически корекции и реформите по собствена инициатива на държавата членка;</w:t>
      </w:r>
    </w:p>
    <w:p>
      <w:pPr>
        <w:pStyle w:val="Point1"/>
        <w:rPr>
          <w:noProof/>
        </w:rPr>
      </w:pPr>
      <w:r>
        <w:rPr>
          <w:noProof/>
        </w:rPr>
        <w:t>б)</w:t>
      </w:r>
      <w:r>
        <w:rPr>
          <w:noProof/>
        </w:rPr>
        <w:tab/>
        <w:t>конкретна цел, област на политика и държава членка бенефициер;</w:t>
      </w:r>
    </w:p>
    <w:p>
      <w:pPr>
        <w:pStyle w:val="Point1"/>
        <w:rPr>
          <w:noProof/>
        </w:rPr>
      </w:pPr>
      <w:r>
        <w:rPr>
          <w:noProof/>
        </w:rPr>
        <w:t>в)</w:t>
      </w:r>
      <w:r>
        <w:rPr>
          <w:noProof/>
        </w:rPr>
        <w:tab/>
        <w:t xml:space="preserve">органи, предоставящи подкрепа, като например държавни органи, публичноправни органи или частноправни органи със задължение за обществена услуга, международни организации; </w:t>
      </w:r>
    </w:p>
    <w:p>
      <w:pPr>
        <w:pStyle w:val="Point1"/>
        <w:rPr>
          <w:noProof/>
        </w:rPr>
      </w:pPr>
      <w:r>
        <w:rPr>
          <w:noProof/>
        </w:rPr>
        <w:t>г)</w:t>
      </w:r>
      <w:r>
        <w:rPr>
          <w:noProof/>
        </w:rPr>
        <w:tab/>
        <w:t>получатели на подкрепа от държавата членка бенефициер, като например национални органи;</w:t>
      </w:r>
    </w:p>
    <w:p>
      <w:pPr>
        <w:pStyle w:val="Point0"/>
        <w:rPr>
          <w:noProof/>
        </w:rPr>
      </w:pPr>
      <w:r>
        <w:rPr>
          <w:noProof/>
        </w:rPr>
        <w:t>г)</w:t>
      </w:r>
      <w:r>
        <w:rPr>
          <w:noProof/>
        </w:rPr>
        <w:tab/>
        <w:t xml:space="preserve">броя и вида на политическите и правните мерки, като например политически меморандуми за разбирателство или писма за намерение, споразумения, договори, сключени между Комисията, партньори за реформа (в зависимост от случая) и органи, предоставящи подкрепа, за дейности по Програмата, по конкретна цел, област на политика и държава членка бенефициер; </w:t>
      </w:r>
    </w:p>
    <w:p>
      <w:pPr>
        <w:pStyle w:val="Point0"/>
        <w:rPr>
          <w:noProof/>
        </w:rPr>
      </w:pPr>
      <w:r>
        <w:rPr>
          <w:noProof/>
        </w:rPr>
        <w:t>д)</w:t>
      </w:r>
      <w:r>
        <w:rPr>
          <w:noProof/>
        </w:rPr>
        <w:tab/>
        <w:t xml:space="preserve">броя на политическите инициативи (напр. планове за действие, пътни карти, насоки, препоръки, препоръчано законодателство), приети вследствие на съответни дейности, подкрепяни от Програмата, по конкретна цел, област на политика и държава членка бенефициер; </w:t>
      </w:r>
    </w:p>
    <w:p>
      <w:pPr>
        <w:pStyle w:val="Point0"/>
        <w:rPr>
          <w:noProof/>
        </w:rPr>
      </w:pPr>
      <w:r>
        <w:rPr>
          <w:noProof/>
        </w:rPr>
        <w:t>е)</w:t>
      </w:r>
      <w:r>
        <w:rPr>
          <w:noProof/>
        </w:rPr>
        <w:tab/>
        <w:t>броя на мерките по област на политика и държава членка бенефициер, осъществявани в резултат на действия за подкрепа, предвидени по Програмата, с разбивка по специфичните за всяка държава препоръки или съответни действия, свързани с прилагането на правото на Съюза, програми за икономически корекции и реформите по собствена инициатива на държавата членка;</w:t>
      </w:r>
    </w:p>
    <w:p>
      <w:pPr>
        <w:pStyle w:val="Point0"/>
        <w:rPr>
          <w:noProof/>
        </w:rPr>
      </w:pPr>
      <w:r>
        <w:rPr>
          <w:noProof/>
        </w:rPr>
        <w:t>ж)</w:t>
      </w:r>
      <w:r>
        <w:rPr>
          <w:noProof/>
        </w:rPr>
        <w:tab/>
        <w:t>обратна информация от националните органи, службите на администрацията и другите публични субекти, получили подкрепа по Програмата, както и (ако са налице) други заинтересовани страни/участници относно резултатите и/или въздействието на действията по Програмата, групирани по конкретна цел, област на политика и държава членка бенефициер и подкрепени от, когато са налични, количествени или емпирични данни;</w:t>
      </w:r>
    </w:p>
    <w:p>
      <w:pPr>
        <w:pStyle w:val="Point0"/>
        <w:rPr>
          <w:noProof/>
        </w:rPr>
      </w:pPr>
      <w:r>
        <w:rPr>
          <w:noProof/>
        </w:rPr>
        <w:t>з)</w:t>
      </w:r>
      <w:r>
        <w:rPr>
          <w:noProof/>
        </w:rPr>
        <w:tab/>
        <w:t>обратна информация от органите, предоставящи подкрепа, относно резултатите и/или въздействието на подкрепата, която са предоставили по линия на Програмата в рамките на конкретната цел и област на политика, в която са развивали дейност, групирани по държава членка бенефициер и подкрепени от, когато са налични, количествени или емпирични данни;</w:t>
      </w:r>
    </w:p>
    <w:p>
      <w:pPr>
        <w:pStyle w:val="Point0"/>
        <w:rPr>
          <w:noProof/>
        </w:rPr>
      </w:pPr>
      <w:r>
        <w:rPr>
          <w:noProof/>
        </w:rPr>
        <w:t>и)</w:t>
      </w:r>
      <w:r>
        <w:rPr>
          <w:noProof/>
        </w:rPr>
        <w:tab/>
        <w:t>промяната в становищата на съответните заинтересовани страни по отношение на приноса на Програмата за осъществяването на реформите по конкретна цел, област на политика и държава членка бенефициер, подкрепени от, когато са налични, количествени или емпирични данни.</w:t>
      </w:r>
    </w:p>
    <w:p>
      <w:pPr>
        <w:spacing w:before="100" w:beforeAutospacing="1" w:after="240"/>
        <w:rPr>
          <w:rFonts w:eastAsia="Times New Roman"/>
          <w:noProof/>
          <w:szCs w:val="24"/>
        </w:rPr>
      </w:pPr>
      <w:r>
        <w:rPr>
          <w:noProof/>
        </w:rPr>
        <w:t>Тези показатели се използват в съответствие с наличните данни и информация (включително съответни количествени или емпирични данни).</w:t>
      </w:r>
    </w:p>
    <w:sectPr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1AA467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424C6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4F82B3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4A0053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C0A73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8C263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51A493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E6E14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5-11-27 17:34:18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&lt;UNUSED&gt;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BC5815E52F544C15A19C51F2E080672A"/>
    <w:docVar w:name="LW_CROSSREFERENCE" w:val="{SWD(2015) 750 final}"/>
    <w:docVar w:name="LW_DocType" w:val="ANNEX"/>
    <w:docVar w:name="LW_EMISSION" w:val="26.11.2015"/>
    <w:docVar w:name="LW_EMISSION_ISODATE" w:val="2015-11-26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&lt;UNUSED&gt;"/>
    <w:docVar w:name="LW_PART_NBR" w:val="1"/>
    <w:docVar w:name="LW_PART_NBR_TOTAL" w:val="1"/>
    <w:docVar w:name="LW_REF.INST.NEW" w:val="COM"/>
    <w:docVar w:name="LW_REF.INST.NEW_ADOPTED" w:val="final"/>
    <w:docVar w:name="LW_REF.INST.NEW_TEXT" w:val="(2015) 701"/>
    <w:docVar w:name="LW_REF.INTERNE" w:val="&lt;UNUSED&gt;"/>
    <w:docVar w:name="LW_SUPERTITRE" w:val="&lt;UNUSED&gt;"/>
    <w:docVar w:name="LW_TITRE.OBJ.CP" w:val="\u1082?\u1098?\u1084? \u1055?\u1088?\u1077?\u1076?\u1083?\u1086?\u1078?\u1077?\u1085?\u1080?\u1077? \u1079?\u1072?_x000b__x000b_\u1056?\u1045?\u1043?\u1051?\u1040?\u1052?\u1045?\u1053?\u1058? \u1053?\u1040? \u1045?\u1042?\u1056?\u1054?\u1055?\u1045?\u1049?\u1057?\u1050?\u1048?\u1071? \u1055?\u1040?\u1056?\u1051?\u1040?\u1052?\u1045?\u1053?\u1058? \u1048? \u1053?\u1040? \u1057?\u1066?\u1042?\u1045?\u1058?\u1040?_x000b__x000b_\u1079?\u1072? \u1089?\u1098?\u1079?\u1076?\u1072?\u1074?\u1072?\u1085?\u1077?\u1090?\u1086? \u1085?\u1072? \u1055?\u1088?\u1086?\u1075?\u1088?\u1072?\u1084?\u1072?\u1090?\u1072? \u1079?\u1072? \u1087?\u1086?\u1076?\u1082?\u1088?\u1077?\u1087?\u1072? \u1085?\u1072? \u1089?\u1090?\u1088?\u1091?\u1082?\u1090?\u1091?\u1088?\u1085?\u1080?\u1090?\u1077? \u1088?\u1077?\u1092?\u1086?\u1088?\u1084?\u1080? \u1079?\u1072? \u1087?\u1077?\u1088?\u1080?\u1086?\u1076?\u1072? 2017\u8212?2020 \u1075?. \u1080? \u1079?\u1072? \u1080?\u1079?\u1084?\u1077?\u1085?\u1077?\u1085?\u1080?\u1077? \u1085?\u1072? \u1088?\u1077?\u1075?\u1083?\u1072?\u1084?\u1077?\u1085?\u1090?\u1080? (\u1045?\u1057?) \u8470? 1303/2013 \u1080? (\u1045?\u1057?) \u8470? 1305/2013"/>
    <w:docVar w:name="LW_TYPE.DOC.CP" w:val="\u1055?\u1056?\u1048?\u1051?\u1054?\u1046?\u1045?\u1053?\u1048?\u1045?"/>
    <w:docVar w:name="LW_TYPEACTEPRINCIPAL.CP" w:val="&lt;UNUSED&gt;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3</Pages>
  <Words>471</Words>
  <Characters>2977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GEENIS-PALERMO Mildred (SG)</dc:creator>
  <cp:lastModifiedBy>DIGIT/A3</cp:lastModifiedBy>
  <cp:revision>8</cp:revision>
  <dcterms:created xsi:type="dcterms:W3CDTF">2015-11-27T10:27:00Z</dcterms:created>
  <dcterms:modified xsi:type="dcterms:W3CDTF">2015-11-27T16:34:00Z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