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42" w:rsidRDefault="006841B7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B8ED01F488241AE981AB19B91300C0A" style="width:450.75pt;height:324pt">
            <v:imagedata r:id="rId8" o:title=""/>
          </v:shape>
        </w:pict>
      </w:r>
    </w:p>
    <w:p w:rsidR="00497F42" w:rsidRDefault="00497F42">
      <w:pPr>
        <w:rPr>
          <w:noProof/>
        </w:rPr>
        <w:sectPr w:rsidR="00497F42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497F42" w:rsidRDefault="006841B7">
      <w:pPr>
        <w:pStyle w:val="Typedudocument"/>
        <w:rPr>
          <w:noProof/>
        </w:rPr>
      </w:pPr>
      <w:r>
        <w:rPr>
          <w:noProof/>
        </w:rPr>
        <w:lastRenderedPageBreak/>
        <w:t>ANNEXE</w:t>
      </w:r>
    </w:p>
    <w:p w:rsidR="00497F42" w:rsidRDefault="006841B7">
      <w:pPr>
        <w:rPr>
          <w:rFonts w:eastAsia="Times New Roman"/>
          <w:b/>
          <w:noProof/>
          <w:szCs w:val="20"/>
        </w:rPr>
      </w:pPr>
      <w:r>
        <w:rPr>
          <w:b/>
          <w:noProof/>
        </w:rPr>
        <w:t xml:space="preserve">TAC APPLICABLES AUX NAVIRES DE PÊCHE DE L'UNION DANS LES ZONES POUR LESQUELLES DES TAC ONT </w:t>
      </w:r>
      <w:r>
        <w:rPr>
          <w:b/>
          <w:noProof/>
        </w:rPr>
        <w:t>ÉTÉ FIXÉS PAR ESPÈCE ET PAR ZONE</w:t>
      </w:r>
    </w:p>
    <w:p w:rsidR="00497F42" w:rsidRDefault="006841B7">
      <w:pPr>
        <w:rPr>
          <w:rFonts w:eastAsia="Times New Roman"/>
          <w:noProof/>
          <w:szCs w:val="20"/>
        </w:rPr>
      </w:pPr>
      <w:r>
        <w:rPr>
          <w:noProof/>
        </w:rPr>
        <w:t xml:space="preserve">Les tableaux suivants présentent les TAC et quotas par stock (en tonnes de poids vif, sauf indication contraire), ainsi que les conditions fonctionnelles y afférentes. </w:t>
      </w:r>
    </w:p>
    <w:p w:rsidR="00497F42" w:rsidRDefault="006841B7">
      <w:pPr>
        <w:rPr>
          <w:rFonts w:eastAsia="Times New Roman"/>
          <w:noProof/>
          <w:szCs w:val="20"/>
        </w:rPr>
      </w:pPr>
      <w:r>
        <w:rPr>
          <w:noProof/>
        </w:rPr>
        <w:t>Les stocks halieutiques sont énumérés dans l'ordre alp</w:t>
      </w:r>
      <w:r>
        <w:rPr>
          <w:noProof/>
        </w:rPr>
        <w:t>habétique des noms latins des espèces. Aux fins du présent règlement, le tableau suivant met en correspondance les noms latins et les noms communs utilisés:</w:t>
      </w: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91"/>
        <w:gridCol w:w="425"/>
        <w:gridCol w:w="283"/>
        <w:gridCol w:w="165"/>
        <w:gridCol w:w="261"/>
        <w:gridCol w:w="850"/>
        <w:gridCol w:w="72"/>
        <w:gridCol w:w="852"/>
        <w:gridCol w:w="494"/>
        <w:gridCol w:w="1210"/>
        <w:gridCol w:w="852"/>
        <w:gridCol w:w="852"/>
        <w:gridCol w:w="962"/>
        <w:gridCol w:w="75"/>
      </w:tblGrid>
      <w:tr w:rsidR="00497F42">
        <w:trPr>
          <w:trHeight w:val="262"/>
        </w:trPr>
        <w:tc>
          <w:tcPr>
            <w:tcW w:w="2865" w:type="dxa"/>
            <w:gridSpan w:val="4"/>
          </w:tcPr>
          <w:p w:rsidR="00497F42" w:rsidRDefault="006841B7"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 xml:space="preserve">Nom scientifique </w:t>
            </w:r>
          </w:p>
        </w:tc>
        <w:tc>
          <w:tcPr>
            <w:tcW w:w="2694" w:type="dxa"/>
            <w:gridSpan w:val="6"/>
          </w:tcPr>
          <w:p w:rsidR="00497F42" w:rsidRDefault="006841B7"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Code alpha-3</w:t>
            </w:r>
          </w:p>
        </w:tc>
        <w:tc>
          <w:tcPr>
            <w:tcW w:w="3951" w:type="dxa"/>
            <w:gridSpan w:val="5"/>
          </w:tcPr>
          <w:p w:rsidR="00497F42" w:rsidRDefault="006841B7"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 xml:space="preserve">Nom commun </w:t>
            </w:r>
          </w:p>
        </w:tc>
      </w:tr>
      <w:tr w:rsidR="00497F42">
        <w:trPr>
          <w:trHeight w:val="262"/>
        </w:trPr>
        <w:tc>
          <w:tcPr>
            <w:tcW w:w="2865" w:type="dxa"/>
            <w:gridSpan w:val="4"/>
          </w:tcPr>
          <w:p w:rsidR="00497F42" w:rsidRDefault="006841B7">
            <w:pPr>
              <w:rPr>
                <w:rFonts w:eastAsia="Times New Roman"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>Psetta maxima</w:t>
            </w:r>
          </w:p>
        </w:tc>
        <w:tc>
          <w:tcPr>
            <w:tcW w:w="2694" w:type="dxa"/>
            <w:gridSpan w:val="6"/>
          </w:tcPr>
          <w:p w:rsidR="00497F42" w:rsidRDefault="006841B7"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TUR</w:t>
            </w:r>
          </w:p>
        </w:tc>
        <w:tc>
          <w:tcPr>
            <w:tcW w:w="3951" w:type="dxa"/>
            <w:gridSpan w:val="5"/>
          </w:tcPr>
          <w:p w:rsidR="00497F42" w:rsidRDefault="006841B7">
            <w:pPr>
              <w:rPr>
                <w:rFonts w:eastAsia="Times New Roman"/>
                <w:i/>
                <w:noProof/>
                <w:szCs w:val="20"/>
              </w:rPr>
            </w:pPr>
            <w:r>
              <w:rPr>
                <w:noProof/>
                <w:sz w:val="22"/>
              </w:rPr>
              <w:t>Turbot</w:t>
            </w:r>
          </w:p>
        </w:tc>
      </w:tr>
      <w:tr w:rsidR="00497F42">
        <w:trPr>
          <w:trHeight w:val="262"/>
        </w:trPr>
        <w:tc>
          <w:tcPr>
            <w:tcW w:w="2865" w:type="dxa"/>
            <w:gridSpan w:val="4"/>
          </w:tcPr>
          <w:p w:rsidR="00497F42" w:rsidRDefault="006841B7">
            <w:pPr>
              <w:rPr>
                <w:rFonts w:eastAsia="Times New Roman"/>
                <w:i/>
                <w:iCs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>Sprattus sprattus</w:t>
            </w:r>
          </w:p>
        </w:tc>
        <w:tc>
          <w:tcPr>
            <w:tcW w:w="2694" w:type="dxa"/>
            <w:gridSpan w:val="6"/>
          </w:tcPr>
          <w:p w:rsidR="00497F42" w:rsidRDefault="006841B7"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SPR</w:t>
            </w:r>
          </w:p>
        </w:tc>
        <w:tc>
          <w:tcPr>
            <w:tcW w:w="3951" w:type="dxa"/>
            <w:gridSpan w:val="5"/>
          </w:tcPr>
          <w:p w:rsidR="00497F42" w:rsidRDefault="006841B7"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Sprat</w:t>
            </w:r>
          </w:p>
        </w:tc>
      </w:tr>
      <w:tr w:rsidR="00497F42">
        <w:trPr>
          <w:trHeight w:val="262"/>
        </w:trPr>
        <w:tc>
          <w:tcPr>
            <w:tcW w:w="2865" w:type="dxa"/>
            <w:gridSpan w:val="4"/>
          </w:tcPr>
          <w:p w:rsidR="00497F42" w:rsidRDefault="006841B7">
            <w:pPr>
              <w:rPr>
                <w:rFonts w:eastAsia="Times New Roman"/>
                <w:i/>
                <w:iCs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 xml:space="preserve">Squalus acanthias </w:t>
            </w:r>
          </w:p>
        </w:tc>
        <w:tc>
          <w:tcPr>
            <w:tcW w:w="2694" w:type="dxa"/>
            <w:gridSpan w:val="6"/>
          </w:tcPr>
          <w:p w:rsidR="00497F42" w:rsidRDefault="006841B7"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DGS</w:t>
            </w:r>
          </w:p>
        </w:tc>
        <w:tc>
          <w:tcPr>
            <w:tcW w:w="3951" w:type="dxa"/>
            <w:gridSpan w:val="5"/>
          </w:tcPr>
          <w:p w:rsidR="00497F42" w:rsidRDefault="006841B7"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Aiguillat commun</w:t>
            </w: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2075" w:type="dxa"/>
            <w:gridSpan w:val="6"/>
            <w:tcBorders>
              <w:top w:val="single" w:sz="18" w:space="0" w:color="auto"/>
              <w:right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Turbot</w:t>
            </w:r>
          </w:p>
        </w:tc>
        <w:tc>
          <w:tcPr>
            <w:tcW w:w="92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4370" w:type="dxa"/>
            <w:gridSpan w:val="5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Eaux de l'Union dans la mer Noire</w:t>
            </w:r>
          </w:p>
        </w:tc>
      </w:tr>
      <w:tr w:rsidR="00497F42">
        <w:trPr>
          <w:gridAfter w:val="1"/>
          <w:wAfter w:w="75" w:type="dxa"/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tcBorders>
              <w:bottom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Psetta maxima</w:t>
            </w:r>
          </w:p>
        </w:tc>
        <w:tc>
          <w:tcPr>
            <w:tcW w:w="9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TUR/F37.4.2.C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Bulgarie</w:t>
            </w:r>
          </w:p>
        </w:tc>
        <w:tc>
          <w:tcPr>
            <w:tcW w:w="964" w:type="dxa"/>
            <w:gridSpan w:val="4"/>
            <w:vAlign w:val="bottom"/>
          </w:tcPr>
          <w:p w:rsidR="00497F42" w:rsidRDefault="006841B7"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rFonts w:eastAsia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7"/>
            <w:vMerge w:val="restart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TAC analytique</w:t>
            </w:r>
          </w:p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L'article 3 du règlement (CE) n° 847/96 ne s'applique pas.</w:t>
            </w:r>
          </w:p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L'article 4 du règlement (CE) </w:t>
            </w:r>
            <w:r>
              <w:rPr>
                <w:noProof/>
                <w:sz w:val="20"/>
              </w:rPr>
              <w:t>n° 847/96 ne s'applique pas.</w:t>
            </w:r>
          </w:p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Roumanie</w:t>
            </w:r>
          </w:p>
        </w:tc>
        <w:tc>
          <w:tcPr>
            <w:tcW w:w="964" w:type="dxa"/>
            <w:gridSpan w:val="4"/>
            <w:vAlign w:val="bottom"/>
          </w:tcPr>
          <w:p w:rsidR="00497F42" w:rsidRDefault="006841B7"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rFonts w:eastAsia="Times New Roman"/>
                <w:noProof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gridSpan w:val="2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964" w:type="dxa"/>
            <w:gridSpan w:val="4"/>
          </w:tcPr>
          <w:p w:rsidR="00497F42" w:rsidRDefault="006841B7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1" w:type="dxa"/>
            <w:gridSpan w:val="2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cantSplit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2075" w:type="dxa"/>
            <w:gridSpan w:val="6"/>
          </w:tcPr>
          <w:p w:rsidR="00497F42" w:rsidRDefault="006841B7"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___</w:t>
            </w:r>
          </w:p>
        </w:tc>
        <w:tc>
          <w:tcPr>
            <w:tcW w:w="964" w:type="dxa"/>
            <w:gridSpan w:val="4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cantSplit/>
          <w:trHeight w:val="233"/>
        </w:trPr>
        <w:tc>
          <w:tcPr>
            <w:tcW w:w="9435" w:type="dxa"/>
            <w:gridSpan w:val="14"/>
            <w:tcBorders>
              <w:bottom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(*) Aucune activité de pêche, y compris de transbordement, d’embarquement, de débarquement et de première vente, n’est autorisée du 15 avril au 15 juin 2016.</w:t>
            </w: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873" w:type="dxa"/>
            <w:gridSpan w:val="3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1183" w:type="dxa"/>
            <w:gridSpan w:val="3"/>
            <w:tcBorders>
              <w:top w:val="single" w:sz="18" w:space="0" w:color="auto"/>
              <w:right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3408" w:type="dxa"/>
            <w:gridSpan w:val="4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Eaux de l'Union dans la mer Noire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cantSplit/>
          <w:trHeight w:val="233"/>
        </w:trPr>
        <w:tc>
          <w:tcPr>
            <w:tcW w:w="2157" w:type="dxa"/>
            <w:gridSpan w:val="2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05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370" w:type="dxa"/>
            <w:gridSpan w:val="5"/>
            <w:tcBorders>
              <w:bottom w:val="single" w:sz="6" w:space="0" w:color="auto"/>
            </w:tcBorders>
          </w:tcPr>
          <w:p w:rsidR="00497F42" w:rsidRDefault="006841B7"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SPR/F37.4.2.C</w:t>
            </w: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  <w:tcBorders>
              <w:top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Bulgarie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 w:rsidR="00497F42" w:rsidRDefault="00497F42">
            <w:pPr>
              <w:spacing w:before="40" w:after="40"/>
              <w:jc w:val="center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8032.5</w:t>
            </w:r>
          </w:p>
        </w:tc>
        <w:tc>
          <w:tcPr>
            <w:tcW w:w="5222" w:type="dxa"/>
            <w:gridSpan w:val="6"/>
            <w:vMerge w:val="restart"/>
            <w:tcBorders>
              <w:top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TAC analytique</w:t>
            </w:r>
          </w:p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L'article 3 du règlement (CE) n° 847/96 ne s'applique pas.</w:t>
            </w:r>
          </w:p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L'article 4 du règlement (CE) n° 847/96 ne s'applique pas.</w:t>
            </w:r>
          </w:p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Roumanie</w:t>
            </w:r>
          </w:p>
        </w:tc>
        <w:tc>
          <w:tcPr>
            <w:tcW w:w="425" w:type="dxa"/>
            <w:vAlign w:val="bottom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3442.5</w:t>
            </w:r>
          </w:p>
        </w:tc>
        <w:tc>
          <w:tcPr>
            <w:tcW w:w="5222" w:type="dxa"/>
            <w:gridSpan w:val="6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425" w:type="dxa"/>
            <w:vAlign w:val="bottom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11475</w:t>
            </w:r>
          </w:p>
        </w:tc>
        <w:tc>
          <w:tcPr>
            <w:tcW w:w="5222" w:type="dxa"/>
            <w:gridSpan w:val="6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1134" w:type="dxa"/>
            <w:gridSpan w:val="4"/>
            <w:vAlign w:val="bottom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</w:rPr>
              <w:t>Sans objet</w:t>
            </w:r>
          </w:p>
        </w:tc>
        <w:tc>
          <w:tcPr>
            <w:tcW w:w="922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2075" w:type="dxa"/>
            <w:gridSpan w:val="6"/>
            <w:tcBorders>
              <w:top w:val="single" w:sz="18" w:space="0" w:color="auto"/>
              <w:right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Aiguillat commun</w:t>
            </w:r>
          </w:p>
        </w:tc>
        <w:tc>
          <w:tcPr>
            <w:tcW w:w="92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4370" w:type="dxa"/>
            <w:gridSpan w:val="5"/>
            <w:tcBorders>
              <w:top w:val="single" w:sz="18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Eaux de </w:t>
            </w:r>
            <w:r>
              <w:rPr>
                <w:noProof/>
                <w:sz w:val="20"/>
              </w:rPr>
              <w:t>l'Union dans la mer Noire</w:t>
            </w:r>
          </w:p>
        </w:tc>
      </w:tr>
      <w:tr w:rsidR="00497F42">
        <w:trPr>
          <w:gridAfter w:val="1"/>
          <w:wAfter w:w="75" w:type="dxa"/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tcBorders>
              <w:bottom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Squalus acanthias</w:t>
            </w:r>
          </w:p>
        </w:tc>
        <w:tc>
          <w:tcPr>
            <w:tcW w:w="9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</w:tcBorders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DGS/F37.4.2.C.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Bulgarie</w:t>
            </w:r>
          </w:p>
        </w:tc>
        <w:tc>
          <w:tcPr>
            <w:tcW w:w="964" w:type="dxa"/>
            <w:gridSpan w:val="4"/>
            <w:vAlign w:val="bottom"/>
          </w:tcPr>
          <w:p w:rsidR="00497F42" w:rsidRDefault="006841B7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 w:val="restart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TAC analytique</w:t>
            </w:r>
          </w:p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L'article 3 du règlement (CE) n° 847/96 ne s'applique pas.</w:t>
            </w:r>
          </w:p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L'article 4 du règlement (CE) n° 847/96 ne s'applique pas.</w:t>
            </w:r>
          </w:p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Roumanie</w:t>
            </w:r>
          </w:p>
        </w:tc>
        <w:tc>
          <w:tcPr>
            <w:tcW w:w="964" w:type="dxa"/>
            <w:gridSpan w:val="4"/>
            <w:vAlign w:val="bottom"/>
          </w:tcPr>
          <w:p w:rsidR="00497F42" w:rsidRDefault="006841B7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964" w:type="dxa"/>
            <w:gridSpan w:val="4"/>
          </w:tcPr>
          <w:p w:rsidR="00497F42" w:rsidRDefault="006841B7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trHeight w:val="233"/>
        </w:trPr>
        <w:tc>
          <w:tcPr>
            <w:tcW w:w="2066" w:type="dxa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 w:rsidR="00497F42" w:rsidRDefault="00497F42"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 w:rsidR="00497F42">
        <w:trPr>
          <w:gridAfter w:val="1"/>
          <w:wAfter w:w="75" w:type="dxa"/>
          <w:cantSplit/>
          <w:trHeight w:val="233"/>
        </w:trPr>
        <w:tc>
          <w:tcPr>
            <w:tcW w:w="2066" w:type="dxa"/>
          </w:tcPr>
          <w:p w:rsidR="00497F42" w:rsidRDefault="006841B7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2075" w:type="dxa"/>
            <w:gridSpan w:val="6"/>
          </w:tcPr>
          <w:p w:rsidR="00497F42" w:rsidRDefault="006841B7"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5294" w:type="dxa"/>
            <w:gridSpan w:val="7"/>
            <w:vMerge/>
          </w:tcPr>
          <w:p w:rsidR="00497F42" w:rsidRDefault="00497F42"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 w:rsidR="00497F42" w:rsidRDefault="00497F42">
      <w:pPr>
        <w:rPr>
          <w:noProof/>
        </w:rPr>
      </w:pPr>
    </w:p>
    <w:sectPr w:rsidR="00497F42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B7" w:rsidRDefault="006841B7">
      <w:pPr>
        <w:spacing w:before="0" w:after="0"/>
      </w:pPr>
      <w:r>
        <w:separator/>
      </w:r>
    </w:p>
  </w:endnote>
  <w:endnote w:type="continuationSeparator" w:id="0">
    <w:p w:rsidR="006841B7" w:rsidRDefault="006841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42" w:rsidRDefault="006841B7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42" w:rsidRDefault="006841B7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C58EA"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42" w:rsidRDefault="00497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B7" w:rsidRDefault="006841B7">
      <w:pPr>
        <w:spacing w:before="0" w:after="0"/>
      </w:pPr>
      <w:r>
        <w:separator/>
      </w:r>
    </w:p>
  </w:footnote>
  <w:footnote w:type="continuationSeparator" w:id="0">
    <w:p w:rsidR="006841B7" w:rsidRDefault="006841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4C71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2651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E8E2B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A74B4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A2DF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4C604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F01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A346B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gnword-docGUID" w:val="{8CDEA482-A06A-49C1-9F55-F29E45A9DE70}"/>
    <w:docVar w:name="dgnword-eventsink" w:val="108888176"/>
    <w:docVar w:name="DQCDateTime" w:val="2015-11-16 11:50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FigNum" w:val="1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B8ED01F488241AE981AB19B91300C0A"/>
    <w:docVar w:name="LW_CROSSREFERENCE" w:val="&lt;UNUSED&gt;"/>
    <w:docVar w:name="LW_DocType" w:val="ANNEX"/>
    <w:docVar w:name="LW_EMISSION" w:val="24.11.2015"/>
    <w:docVar w:name="LW_EMISSION_ISODATE" w:val="2015-11-2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579"/>
    <w:docVar w:name="LW_REF.INTERNE" w:val="&lt;UNUSED&gt;"/>
    <w:docVar w:name="LW_SUPERTITRE" w:val="&lt;UNUSED&gt;"/>
    <w:docVar w:name="LW_TITRE.OBJ.CP" w:val="à la proposition de règlement du Conseil établissant, pour 2016, les possibilités de pêche applicables en mer Noire pour certains stocks halieutiques"/>
    <w:docVar w:name="LW_TYPE.DOC.CP" w:val="ANNEXE"/>
    <w:docVar w:name="LW_TYPEACTEPRINCIPAL.CP" w:val="&lt;UNUSED&gt;"/>
  </w:docVars>
  <w:rsids>
    <w:rsidRoot w:val="00497F42"/>
    <w:rsid w:val="00497F42"/>
    <w:rsid w:val="006841B7"/>
    <w:rsid w:val="00712DCC"/>
    <w:rsid w:val="009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val="fr-FR" w:eastAsia="fr-FR" w:bidi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280</Words>
  <Characters>1463</Characters>
  <Application>Microsoft Office Word</Application>
  <DocSecurity>0</DocSecurity>
  <Lines>162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WESTBERG Annette (MARE)</dc:creator>
  <cp:keywords/>
  <cp:lastModifiedBy>LAGES CARVALHO Patrick (SG)</cp:lastModifiedBy>
  <cp:revision>9</cp:revision>
  <cp:lastPrinted>2015-10-02T08:25:00Z</cp:lastPrinted>
  <dcterms:created xsi:type="dcterms:W3CDTF">2015-11-16T10:17:00Z</dcterms:created>
  <dcterms:modified xsi:type="dcterms:W3CDTF">2015-11-16T11:40:00Z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