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0B" w:rsidRPr="00BD3920" w:rsidRDefault="00BD3920" w:rsidP="00BD3920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9091410891D48B7844A002C6C6AB386" style="width:450.75pt;height:351.75pt">
            <v:imagedata r:id="rId9" o:title=""/>
          </v:shape>
        </w:pict>
      </w:r>
    </w:p>
    <w:p w:rsidR="00821C0B" w:rsidRPr="00BD3920" w:rsidRDefault="00821C0B">
      <w:pPr>
        <w:rPr>
          <w:noProof/>
        </w:rPr>
        <w:sectPr w:rsidR="00821C0B" w:rsidRPr="00BD3920" w:rsidSect="00BD39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21C0B" w:rsidRPr="00BD3920" w:rsidRDefault="009D3ADB">
      <w:pPr>
        <w:pStyle w:val="Exposdesmotifstitre"/>
        <w:rPr>
          <w:noProof/>
        </w:rPr>
      </w:pPr>
      <w:r w:rsidRPr="00BD3920">
        <w:rPr>
          <w:noProof/>
        </w:rPr>
        <w:lastRenderedPageBreak/>
        <w:t>ОБЯСНИТЕЛЕН МЕМОРАНДУМ</w:t>
      </w:r>
    </w:p>
    <w:p w:rsidR="00821C0B" w:rsidRPr="00BD3920" w:rsidRDefault="009D3ADB">
      <w:pPr>
        <w:pStyle w:val="ManualHeading1"/>
        <w:rPr>
          <w:noProof/>
        </w:rPr>
      </w:pPr>
      <w:r w:rsidRPr="00BD3920">
        <w:rPr>
          <w:noProof/>
        </w:rPr>
        <w:t>1.</w:t>
      </w:r>
      <w:r w:rsidRPr="00BD3920">
        <w:rPr>
          <w:noProof/>
        </w:rPr>
        <w:tab/>
        <w:t>КОНТЕКСТ НА ПРЕДЛОЖЕНИЕТО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Основания и цели на предложението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Регламент (ЕС) № 1380/2013 на Европейския парламент и на Съвета относно общата политика в областта на рибарството, за изменение на регламенти (ЕО) № 1954/2003 и (ЕО) № 1224/2009 на Съвета и за отмяна на регламенти (ЕО) № 2371/2002 и (ЕО) № 639/2004 и Решен</w:t>
      </w:r>
      <w:r w:rsidRPr="00BD3920">
        <w:rPr>
          <w:noProof/>
        </w:rPr>
        <w:t>ие 2004/585/ЕО на Съвета цели да осигури, че експлоатацията на живите водни ресурси се извършва при устойчиви икономически, екологични и социални условия. Един от важните инструменти в това отношение е годишното определяне на възможностите за риболов под ф</w:t>
      </w:r>
      <w:r w:rsidRPr="00BD3920">
        <w:rPr>
          <w:noProof/>
        </w:rPr>
        <w:t xml:space="preserve">ормата на общ допустим улов (ОДУ), квоти и ограничения на риболовното усилие. 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Целта на настоящото предложение е да се определят възможностите за риболов на държавите членки за 2016 г. по отношение на най-важните от търговска гледна точка рибни запаси в Че</w:t>
      </w:r>
      <w:r w:rsidRPr="00BD3920">
        <w:rPr>
          <w:noProof/>
        </w:rPr>
        <w:t>рно море.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Общ контекст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Черноморските запаси, експлоатирани от България и Румъния, са споделени с държави извън ЕС, напр. Турция, Украйна, Грузия и Руската федерация. Въпреки това на регионално равнище няма определени ОДУ между ЕС и държавите извън ЕС. Всяк</w:t>
      </w:r>
      <w:r w:rsidRPr="00BD3920">
        <w:rPr>
          <w:noProof/>
        </w:rPr>
        <w:t>а година от 2008 г. насам Европейският съюз (ЕС) определя автономни ОДУ за запасите от калкан и цаца, с цел да се подпомогне прилагането на правилата на общата политика в областта на рибарството (ОПОР).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 xml:space="preserve">На международно равнище и тъй като делът на страните </w:t>
      </w:r>
      <w:r w:rsidRPr="00BD3920">
        <w:rPr>
          <w:noProof/>
        </w:rPr>
        <w:t>от ЕС в улова на калкан в Черно море представлява едва 6 %, необходимостта от установяване на международен план за възстановяване на запасите на калкан в цялото Черно море беше един от приоритетите на Комисията през последните години. В това отношение беше</w:t>
      </w:r>
      <w:r w:rsidRPr="00BD3920">
        <w:rPr>
          <w:noProof/>
        </w:rPr>
        <w:t xml:space="preserve"> постигнат напредък на последното годишно заседание на Генералната комисия по рибарство за Средиземно море (GFCM), на което беше одобрено предложението на ЕС за мерки за предотвратяване, възпиране и премахване на ННН риболова на калкан в Черно море</w:t>
      </w:r>
      <w:r w:rsidRPr="00BD3920">
        <w:rPr>
          <w:rStyle w:val="FootnoteReference"/>
          <w:noProof/>
        </w:rPr>
        <w:footnoteReference w:id="1"/>
      </w:r>
      <w:r w:rsidRPr="00BD3920">
        <w:rPr>
          <w:noProof/>
        </w:rPr>
        <w:t>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Споре</w:t>
      </w:r>
      <w:r w:rsidRPr="00BD3920">
        <w:rPr>
          <w:noProof/>
        </w:rPr>
        <w:t>д научна оценка, извършена от Научния, технически и икономически комитет по рибарство (НТИКР) и GFCM, запасът на черноморска бодлива акула в Черно море през 2014 г. е класифициран че се използва неустойчиво и че е с риск от изчезване. Черноморската бодлива</w:t>
      </w:r>
      <w:r w:rsidRPr="00BD3920">
        <w:rPr>
          <w:noProof/>
        </w:rPr>
        <w:t xml:space="preserve"> акула е дълголетен, късно съзряващ вид, с ниска фертилност, което означава, че запасът има много ограничена възможност за бързо възстановяване, ако бъде изтощен. Разтоварванията на брега на черноморска бодлива акула в цялото Черно море са намалявали непре</w:t>
      </w:r>
      <w:r w:rsidRPr="00BD3920">
        <w:rPr>
          <w:noProof/>
        </w:rPr>
        <w:t>къснато и силно от началото на последователното докладване на разтоварванията, от над 6 000 тона през 1989 г. на едва 80 тона през 2013 г. Първата стъпка към възстановяване на популацията на черноморската бодлива акула беше приемането на препоръката на GFC</w:t>
      </w:r>
      <w:r w:rsidRPr="00BD3920">
        <w:rPr>
          <w:noProof/>
        </w:rPr>
        <w:t xml:space="preserve">M относно мерките за управление на </w:t>
      </w:r>
      <w:r w:rsidRPr="00BD3920">
        <w:rPr>
          <w:noProof/>
        </w:rPr>
        <w:lastRenderedPageBreak/>
        <w:t>черноморската бодлива акула в Черно море</w:t>
      </w:r>
      <w:r w:rsidRPr="00BD3920">
        <w:rPr>
          <w:rStyle w:val="FootnoteReference"/>
          <w:noProof/>
        </w:rPr>
        <w:footnoteReference w:id="2"/>
      </w:r>
      <w:r w:rsidRPr="00BD3920">
        <w:rPr>
          <w:noProof/>
        </w:rPr>
        <w:t xml:space="preserve">. С оглед на обезпокоителното състояние на този запас, който може да е на ръба на изчезването, възможностите за риболов са предложени под формата на ограничение на улова.    </w:t>
      </w:r>
    </w:p>
    <w:p w:rsidR="00821C0B" w:rsidRPr="00BD3920" w:rsidRDefault="009D3ADB">
      <w:pPr>
        <w:pStyle w:val="Default"/>
        <w:rPr>
          <w:noProof/>
        </w:rPr>
      </w:pPr>
      <w:r w:rsidRPr="00BD3920">
        <w:rPr>
          <w:noProof/>
        </w:rPr>
        <w:t>Съобщ</w:t>
      </w:r>
      <w:r w:rsidRPr="00BD3920">
        <w:rPr>
          <w:noProof/>
        </w:rPr>
        <w:t xml:space="preserve">ението на Комисията относно консултация за възможностите за риболов за 2016 г. в рамките на общата политика в областта на рибарство (COM(2015) 239 final) очертава контекста на предложението. 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Възможностите за риболов в настоящото предложение, са отбелязани</w:t>
      </w:r>
      <w:r w:rsidRPr="00BD3920">
        <w:rPr>
          <w:noProof/>
        </w:rPr>
        <w:t xml:space="preserve"> като „</w:t>
      </w:r>
      <w:r w:rsidRPr="00BD3920">
        <w:rPr>
          <w:noProof/>
        </w:rPr>
        <w:t>pm</w:t>
      </w:r>
      <w:r w:rsidRPr="00BD3920">
        <w:rPr>
          <w:noProof/>
        </w:rPr>
        <w:t>“ (</w:t>
      </w:r>
      <w:r w:rsidRPr="00BD3920">
        <w:rPr>
          <w:noProof/>
        </w:rPr>
        <w:t>pro</w:t>
      </w:r>
      <w:r w:rsidRPr="00BD3920">
        <w:rPr>
          <w:noProof/>
        </w:rPr>
        <w:t xml:space="preserve"> </w:t>
      </w:r>
      <w:r w:rsidRPr="00BD3920">
        <w:rPr>
          <w:noProof/>
        </w:rPr>
        <w:t>memoria</w:t>
      </w:r>
      <w:r w:rsidRPr="00BD3920">
        <w:rPr>
          <w:noProof/>
        </w:rPr>
        <w:t>). Това се дължи на факта, че към момента, в който е предвидено да бъде прието предложението, все още няма да са оповестени научните становища за запасите в Черно море; Научното становище за възможностите за риболов през 2016</w:t>
      </w:r>
      <w:r w:rsidRPr="00BD3920">
        <w:rPr>
          <w:noProof/>
        </w:rPr>
        <w:t> </w:t>
      </w:r>
      <w:r w:rsidRPr="00BD3920">
        <w:rPr>
          <w:noProof/>
        </w:rPr>
        <w:t>г. в Че</w:t>
      </w:r>
      <w:r w:rsidRPr="00BD3920">
        <w:rPr>
          <w:noProof/>
        </w:rPr>
        <w:t>рно море ще бъде представено от НТИКР на заседанието, предвидено да се проведе в периода 28 септември — 2 октомври 2015</w:t>
      </w:r>
      <w:r w:rsidRPr="00BD3920">
        <w:rPr>
          <w:noProof/>
        </w:rPr>
        <w:t> </w:t>
      </w:r>
      <w:r w:rsidRPr="00BD3920">
        <w:rPr>
          <w:noProof/>
        </w:rPr>
        <w:t>г. След представянето на съответните научни становища и информация ще се наложи предложението да бъде актуализирано.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Съществуващи разпор</w:t>
      </w:r>
      <w:r w:rsidRPr="00BD3920">
        <w:rPr>
          <w:b/>
          <w:noProof/>
        </w:rPr>
        <w:t>едби в областта на предложението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Възможностите за риболов и начинът на разпределението им между държавите членки се регламентират всяка година. Последният такъв правен акт е Регламент</w:t>
      </w:r>
      <w:r w:rsidRPr="00BD3920">
        <w:rPr>
          <w:noProof/>
        </w:rPr>
        <w:t> </w:t>
      </w:r>
      <w:r w:rsidRPr="00BD3920">
        <w:rPr>
          <w:noProof/>
        </w:rPr>
        <w:t>(ЕС) 2015/106</w:t>
      </w:r>
      <w:r w:rsidRPr="00BD3920">
        <w:rPr>
          <w:rStyle w:val="FootnoteReference"/>
          <w:noProof/>
        </w:rPr>
        <w:footnoteReference w:id="3"/>
      </w:r>
      <w:r w:rsidRPr="00BD3920">
        <w:rPr>
          <w:noProof/>
        </w:rPr>
        <w:t xml:space="preserve"> на Съвета от 19 януари 2015 г. за определяне на възможнос</w:t>
      </w:r>
      <w:r w:rsidRPr="00BD3920">
        <w:rPr>
          <w:noProof/>
        </w:rPr>
        <w:t>тите за риболов за определени рибни запаси за 2015</w:t>
      </w:r>
      <w:r w:rsidRPr="00BD3920">
        <w:rPr>
          <w:noProof/>
        </w:rPr>
        <w:t> </w:t>
      </w:r>
      <w:r w:rsidRPr="00BD3920">
        <w:rPr>
          <w:noProof/>
        </w:rPr>
        <w:t>г., приложими в Черно море.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 xml:space="preserve">В допълнение към годишните възможности за риболов, следва да се упоменат следните мерки, свързани с риболовните стопанства в Черно море, които са обхванати от настоящото предложение: </w:t>
      </w:r>
    </w:p>
    <w:p w:rsidR="00821C0B" w:rsidRPr="00BD3920" w:rsidRDefault="009D3ADB">
      <w:pPr>
        <w:pStyle w:val="Tiret0"/>
        <w:numPr>
          <w:ilvl w:val="0"/>
          <w:numId w:val="11"/>
        </w:numPr>
        <w:rPr>
          <w:noProof/>
        </w:rPr>
      </w:pPr>
      <w:r w:rsidRPr="00BD3920">
        <w:rPr>
          <w:noProof/>
        </w:rPr>
        <w:t>Минималните размери за опазване и минималните размери на окото на мрежат</w:t>
      </w:r>
      <w:r w:rsidRPr="00BD3920">
        <w:rPr>
          <w:noProof/>
        </w:rPr>
        <w:t>а по отношение на риболовното стопанство на калкана в Черно море са определени в Регламент (ЕС) № 227/2013 на Европейския парламент и на Съвета от 13</w:t>
      </w:r>
      <w:r w:rsidRPr="00BD3920">
        <w:rPr>
          <w:noProof/>
        </w:rPr>
        <w:t> </w:t>
      </w:r>
      <w:r w:rsidRPr="00BD3920">
        <w:rPr>
          <w:noProof/>
        </w:rPr>
        <w:t>март 2013</w:t>
      </w:r>
      <w:r w:rsidRPr="00BD3920">
        <w:rPr>
          <w:noProof/>
        </w:rPr>
        <w:t> </w:t>
      </w:r>
      <w:r w:rsidRPr="00BD3920">
        <w:rPr>
          <w:noProof/>
        </w:rPr>
        <w:t>г.</w:t>
      </w:r>
      <w:r w:rsidRPr="00BD3920">
        <w:rPr>
          <w:rStyle w:val="FootnoteReference"/>
          <w:noProof/>
        </w:rPr>
        <w:footnoteReference w:id="4"/>
      </w:r>
      <w:r w:rsidRPr="00BD3920">
        <w:rPr>
          <w:noProof/>
        </w:rPr>
        <w:t xml:space="preserve"> за изменение на Регламент (ЕО) № 850/98 на Съвета относно опазването на рибните ресурси поср</w:t>
      </w:r>
      <w:r w:rsidRPr="00BD3920">
        <w:rPr>
          <w:noProof/>
        </w:rPr>
        <w:t>едством технически мерки за защита на младите екземпляри морски организми и Регламент (ЕО) № 1434/98 на Съвета за определяне на условия, съгласно които херингата може да бъде разтоварена на сушата за промишлени цели, различни от директната консумация от чо</w:t>
      </w:r>
      <w:r w:rsidRPr="00BD3920">
        <w:rPr>
          <w:noProof/>
        </w:rPr>
        <w:t>века</w:t>
      </w:r>
    </w:p>
    <w:p w:rsidR="00821C0B" w:rsidRPr="00BD3920" w:rsidRDefault="009D3ADB">
      <w:pPr>
        <w:pStyle w:val="Tiret0"/>
        <w:rPr>
          <w:noProof/>
        </w:rPr>
      </w:pPr>
      <w:r w:rsidRPr="00BD3920">
        <w:rPr>
          <w:noProof/>
        </w:rPr>
        <w:t xml:space="preserve">Препоръка </w:t>
      </w:r>
      <w:r w:rsidRPr="00BD3920">
        <w:rPr>
          <w:noProof/>
        </w:rPr>
        <w:t>GFCM</w:t>
      </w:r>
      <w:r w:rsidRPr="00BD3920">
        <w:rPr>
          <w:noProof/>
        </w:rPr>
        <w:t>/37/2013/2 за определяне на набор от минимални стандарти за риболовните стопанства със заложени на дъното хрилни мрежи за калкан и опазването на китоподобните в Черно море, приета от Генералната комисия по рибарство в Средиземно море (</w:t>
      </w:r>
      <w:r w:rsidRPr="00BD3920">
        <w:rPr>
          <w:noProof/>
        </w:rPr>
        <w:t>GFCM</w:t>
      </w:r>
      <w:r w:rsidRPr="00BD3920">
        <w:rPr>
          <w:noProof/>
        </w:rPr>
        <w:t>) на 37-ото ѝ заседание (Сплит, май 2013</w:t>
      </w:r>
      <w:r w:rsidRPr="00BD3920">
        <w:rPr>
          <w:noProof/>
        </w:rPr>
        <w:t> </w:t>
      </w:r>
      <w:r w:rsidRPr="00BD3920">
        <w:rPr>
          <w:noProof/>
        </w:rPr>
        <w:t>г.).</w:t>
      </w:r>
    </w:p>
    <w:p w:rsidR="00821C0B" w:rsidRPr="00BD3920" w:rsidRDefault="009D3ADB">
      <w:pPr>
        <w:pStyle w:val="Tiret0"/>
        <w:rPr>
          <w:noProof/>
        </w:rPr>
      </w:pPr>
      <w:r w:rsidRPr="00BD3920">
        <w:rPr>
          <w:noProof/>
        </w:rPr>
        <w:t xml:space="preserve">Препоръка </w:t>
      </w:r>
      <w:r w:rsidRPr="00BD3920">
        <w:rPr>
          <w:noProof/>
        </w:rPr>
        <w:t>GFCM</w:t>
      </w:r>
      <w:r w:rsidRPr="00BD3920">
        <w:rPr>
          <w:noProof/>
        </w:rPr>
        <w:t xml:space="preserve">/39/2015/3 за определяне на набор от мерки за предотвратяване, възпиране и премахване на ННН риболова на калкан в Черно </w:t>
      </w:r>
      <w:r w:rsidRPr="00BD3920">
        <w:rPr>
          <w:noProof/>
        </w:rPr>
        <w:lastRenderedPageBreak/>
        <w:t>море, приета от Генералната комисия по рибарство за Средиземно море (</w:t>
      </w:r>
      <w:r w:rsidRPr="00BD3920">
        <w:rPr>
          <w:noProof/>
        </w:rPr>
        <w:t>GFC</w:t>
      </w:r>
      <w:r w:rsidRPr="00BD3920">
        <w:rPr>
          <w:noProof/>
        </w:rPr>
        <w:t>M</w:t>
      </w:r>
      <w:r w:rsidRPr="00BD3920">
        <w:rPr>
          <w:noProof/>
        </w:rPr>
        <w:t>) на 39-ото ѝ заседание (Милано, май 2015</w:t>
      </w:r>
      <w:r w:rsidRPr="00BD3920">
        <w:rPr>
          <w:noProof/>
        </w:rPr>
        <w:t> </w:t>
      </w:r>
      <w:r w:rsidRPr="00BD3920">
        <w:rPr>
          <w:noProof/>
        </w:rPr>
        <w:t>г.).</w:t>
      </w:r>
    </w:p>
    <w:p w:rsidR="00821C0B" w:rsidRPr="00BD3920" w:rsidRDefault="009D3ADB">
      <w:pPr>
        <w:pStyle w:val="Tiret0"/>
        <w:rPr>
          <w:noProof/>
        </w:rPr>
      </w:pPr>
      <w:r w:rsidRPr="00BD3920">
        <w:rPr>
          <w:noProof/>
        </w:rPr>
        <w:t xml:space="preserve">Препоръка </w:t>
      </w:r>
      <w:r w:rsidRPr="00BD3920">
        <w:rPr>
          <w:noProof/>
        </w:rPr>
        <w:t>GFCM</w:t>
      </w:r>
      <w:r w:rsidRPr="00BD3920">
        <w:rPr>
          <w:noProof/>
        </w:rPr>
        <w:t>/39/2015/4 за определяне на набор управленски мерки за черноморската бодлива акула в Черно море, приета от Генералната комисия по рибарство в Средиземно море (</w:t>
      </w:r>
      <w:r w:rsidRPr="00BD3920">
        <w:rPr>
          <w:noProof/>
        </w:rPr>
        <w:t>GFCM</w:t>
      </w:r>
      <w:r w:rsidRPr="00BD3920">
        <w:rPr>
          <w:noProof/>
        </w:rPr>
        <w:t>) на 39-ото ѝ заседание (Милано</w:t>
      </w:r>
      <w:r w:rsidRPr="00BD3920">
        <w:rPr>
          <w:noProof/>
        </w:rPr>
        <w:t>, май 2015</w:t>
      </w:r>
      <w:r w:rsidRPr="00BD3920">
        <w:rPr>
          <w:noProof/>
        </w:rPr>
        <w:t> </w:t>
      </w:r>
      <w:r w:rsidRPr="00BD3920">
        <w:rPr>
          <w:noProof/>
        </w:rPr>
        <w:t>г.).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Съвместимост с други политики и цели на</w:t>
      </w:r>
      <w:r w:rsidRPr="00BD3920">
        <w:rPr>
          <w:b/>
          <w:noProof/>
        </w:rPr>
        <w:t> </w:t>
      </w:r>
      <w:r w:rsidRPr="00BD3920">
        <w:rPr>
          <w:b/>
          <w:noProof/>
        </w:rPr>
        <w:t>ЕС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Предложените мерки са в съответствие с целите и правилата на общата политика в областта на рибарството и са съвместими с политиката на Съюза за устойчиво развитие.</w:t>
      </w:r>
    </w:p>
    <w:p w:rsidR="00821C0B" w:rsidRPr="00BD3920" w:rsidRDefault="009D3ADB">
      <w:pPr>
        <w:pStyle w:val="ManualHeading1"/>
        <w:rPr>
          <w:noProof/>
        </w:rPr>
      </w:pPr>
      <w:r w:rsidRPr="00BD3920">
        <w:rPr>
          <w:noProof/>
        </w:rPr>
        <w:t>2.</w:t>
      </w:r>
      <w:r w:rsidRPr="00BD3920">
        <w:rPr>
          <w:noProof/>
        </w:rPr>
        <w:tab/>
        <w:t>РЕЗУЛТАТИ ОТ КОНСУЛТАЦИИТЕ СЪС</w:t>
      </w:r>
      <w:r w:rsidRPr="00BD3920">
        <w:rPr>
          <w:noProof/>
        </w:rPr>
        <w:t xml:space="preserve"> ЗАИНТЕРЕСОВАНИТЕ СТРАНИ И ОЦЕНКИ НА ВЪЗДЕЙСТВИЕТО</w:t>
      </w:r>
    </w:p>
    <w:p w:rsidR="00821C0B" w:rsidRPr="00BD3920" w:rsidRDefault="009D3ADB">
      <w:pPr>
        <w:pStyle w:val="ListBullet"/>
        <w:rPr>
          <w:noProof/>
          <w:color w:val="000000"/>
        </w:rPr>
      </w:pPr>
      <w:r w:rsidRPr="00BD3920">
        <w:rPr>
          <w:b/>
          <w:noProof/>
          <w:color w:val="000000"/>
        </w:rPr>
        <w:t>Събиране и използване на експертни становища</w:t>
      </w:r>
    </w:p>
    <w:p w:rsidR="00821C0B" w:rsidRPr="00BD3920" w:rsidRDefault="009D3ADB">
      <w:pPr>
        <w:rPr>
          <w:noProof/>
          <w:u w:val="single"/>
        </w:rPr>
      </w:pPr>
      <w:r w:rsidRPr="00BD3920">
        <w:rPr>
          <w:noProof/>
          <w:u w:val="single"/>
        </w:rPr>
        <w:t>Основни организации/експерти, с които са проведени консултации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Научната организация, с която са проведени консултации, е Научният, технически и икономически ком</w:t>
      </w:r>
      <w:r w:rsidRPr="00BD3920">
        <w:rPr>
          <w:noProof/>
        </w:rPr>
        <w:t>итет по рибарство (НТИКР).</w:t>
      </w:r>
    </w:p>
    <w:p w:rsidR="00821C0B" w:rsidRPr="00BD3920" w:rsidRDefault="009D3ADB">
      <w:pPr>
        <w:rPr>
          <w:noProof/>
          <w:color w:val="000000"/>
        </w:rPr>
      </w:pPr>
      <w:r w:rsidRPr="00BD3920">
        <w:rPr>
          <w:noProof/>
          <w:color w:val="000000"/>
        </w:rPr>
        <w:t>Всяка година Съюзът се обръща към НТИКР с искане за научно становище за състоянието на важните рибни запаси. НТИКР представя своето становище в съответствие със заданието, което получава от Комисията. Становището, което ще бъде п</w:t>
      </w:r>
      <w:r w:rsidRPr="00BD3920">
        <w:rPr>
          <w:noProof/>
          <w:color w:val="000000"/>
        </w:rPr>
        <w:t>редставено през октомври 2015</w:t>
      </w:r>
      <w:r w:rsidRPr="00BD3920">
        <w:rPr>
          <w:noProof/>
          <w:color w:val="000000"/>
        </w:rPr>
        <w:t> </w:t>
      </w:r>
      <w:r w:rsidRPr="00BD3920">
        <w:rPr>
          <w:noProof/>
          <w:color w:val="000000"/>
        </w:rPr>
        <w:t>г., ще обхваща всички запаси в Черно море, за които се предлагат ОДУ.</w:t>
      </w:r>
    </w:p>
    <w:p w:rsidR="00821C0B" w:rsidRPr="00BD3920" w:rsidRDefault="009D3ADB">
      <w:pPr>
        <w:rPr>
          <w:noProof/>
          <w:color w:val="000000"/>
        </w:rPr>
      </w:pPr>
      <w:r w:rsidRPr="00BD3920">
        <w:rPr>
          <w:noProof/>
          <w:color w:val="000000"/>
        </w:rPr>
        <w:t>Крайната цел е да се постигнат и поддържат равнища на запасите, при които може да се осигури максимален устойчив улов (МУУ). Тази цел е изрично е включена в</w:t>
      </w:r>
      <w:r w:rsidRPr="00BD3920">
        <w:rPr>
          <w:noProof/>
          <w:color w:val="000000"/>
        </w:rPr>
        <w:t xml:space="preserve"> Регламент (ЕС) №</w:t>
      </w:r>
      <w:r w:rsidRPr="00BD3920">
        <w:rPr>
          <w:noProof/>
          <w:color w:val="000000"/>
        </w:rPr>
        <w:t> </w:t>
      </w:r>
      <w:r w:rsidRPr="00BD3920">
        <w:rPr>
          <w:noProof/>
          <w:color w:val="000000"/>
        </w:rPr>
        <w:t>1380/2013 (известен като „новият основен регламент за ОПОР“). Член</w:t>
      </w:r>
      <w:r w:rsidRPr="00BD3920">
        <w:rPr>
          <w:noProof/>
          <w:color w:val="000000"/>
        </w:rPr>
        <w:t> </w:t>
      </w:r>
      <w:r w:rsidRPr="00BD3920">
        <w:rPr>
          <w:noProof/>
          <w:color w:val="000000"/>
        </w:rPr>
        <w:t>2, параграф</w:t>
      </w:r>
      <w:r w:rsidRPr="00BD3920">
        <w:rPr>
          <w:noProof/>
          <w:color w:val="000000"/>
        </w:rPr>
        <w:t> </w:t>
      </w:r>
      <w:r w:rsidRPr="00BD3920">
        <w:rPr>
          <w:noProof/>
          <w:color w:val="000000"/>
        </w:rPr>
        <w:t>2 от този регламент гласи, че „когато е възможно, нивото на максимален устойчив улов трябва да бъде постигнато до 2015 г., като за всички запаси трябва да бъде</w:t>
      </w:r>
      <w:r w:rsidRPr="00BD3920">
        <w:rPr>
          <w:noProof/>
          <w:color w:val="000000"/>
        </w:rPr>
        <w:t xml:space="preserve"> постигнато най-късно до 2020 г.“. Това изискване отразява ангажимента на Съюза по отношение на заключенията на Световната среща на върха по въпросите на устойчивото развитие, проведена през 2002 г. в Йоханесбург, и съответния план за изпълнение.</w:t>
      </w:r>
    </w:p>
    <w:p w:rsidR="00821C0B" w:rsidRPr="00BD3920" w:rsidRDefault="009D3ADB">
      <w:pPr>
        <w:pStyle w:val="ListBullet"/>
        <w:rPr>
          <w:b/>
          <w:noProof/>
          <w:color w:val="000000"/>
        </w:rPr>
      </w:pPr>
      <w:r w:rsidRPr="00BD3920">
        <w:rPr>
          <w:b/>
          <w:noProof/>
        </w:rPr>
        <w:t>Консултац</w:t>
      </w:r>
      <w:r w:rsidRPr="00BD3920">
        <w:rPr>
          <w:b/>
          <w:noProof/>
        </w:rPr>
        <w:t>ия със заинтересованите страни</w:t>
      </w:r>
    </w:p>
    <w:p w:rsidR="00821C0B" w:rsidRDefault="009D3ADB">
      <w:pPr>
        <w:rPr>
          <w:noProof/>
          <w:color w:val="000000"/>
          <w:lang w:val="fr-BE"/>
        </w:rPr>
      </w:pPr>
      <w:r w:rsidRPr="00BD3920">
        <w:rPr>
          <w:noProof/>
          <w:color w:val="000000"/>
        </w:rPr>
        <w:t xml:space="preserve">Консултацията със заинтересованите страни беше осъществена посредством съобщението на Комисията за възможностите за риболов през 2016 г. Научната основа за предложението ще бъде предоставена от НТИКР. Всички доклади на НТИКР </w:t>
      </w:r>
      <w:r w:rsidRPr="00BD3920">
        <w:rPr>
          <w:noProof/>
          <w:color w:val="000000"/>
        </w:rPr>
        <w:t>са публикувани на уебсайта на ГД „Морско дело и рибарство“.</w:t>
      </w:r>
    </w:p>
    <w:p w:rsidR="00BD3920" w:rsidRDefault="00BD3920">
      <w:pPr>
        <w:rPr>
          <w:noProof/>
          <w:color w:val="000000"/>
          <w:lang w:val="fr-BE"/>
        </w:rPr>
      </w:pPr>
    </w:p>
    <w:p w:rsidR="00BD3920" w:rsidRPr="00BD3920" w:rsidRDefault="00BD3920">
      <w:pPr>
        <w:rPr>
          <w:noProof/>
          <w:color w:val="000000"/>
          <w:lang w:val="fr-BE"/>
        </w:rPr>
      </w:pPr>
      <w:bookmarkStart w:id="0" w:name="_GoBack"/>
      <w:bookmarkEnd w:id="0"/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lastRenderedPageBreak/>
        <w:t>Оценка на въздействието</w:t>
      </w:r>
    </w:p>
    <w:p w:rsidR="00821C0B" w:rsidRPr="00BD3920" w:rsidRDefault="009D3ADB">
      <w:pPr>
        <w:rPr>
          <w:noProof/>
          <w:color w:val="000000"/>
        </w:rPr>
      </w:pPr>
      <w:r w:rsidRPr="00BD3920">
        <w:rPr>
          <w:noProof/>
          <w:color w:val="000000"/>
        </w:rPr>
        <w:t>Въз основа на научното становище предложените мерки ще доведат до промяна във възможностите за риболов по отношение на обема на улова за риболовните съдове на Съюза в Черно</w:t>
      </w:r>
      <w:r w:rsidRPr="00BD3920">
        <w:rPr>
          <w:noProof/>
          <w:color w:val="000000"/>
        </w:rPr>
        <w:t xml:space="preserve"> море .</w:t>
      </w:r>
    </w:p>
    <w:p w:rsidR="00821C0B" w:rsidRPr="00BD3920" w:rsidRDefault="009D3ADB">
      <w:pPr>
        <w:rPr>
          <w:noProof/>
          <w:color w:val="000000"/>
        </w:rPr>
      </w:pPr>
      <w:r w:rsidRPr="00BD3920">
        <w:rPr>
          <w:noProof/>
          <w:color w:val="000000"/>
        </w:rPr>
        <w:t>Предложението засяга не е само опасенията в краткосрочен план, но също така е част от по-дългосрочен подход, при който равнището на риболова постепенно се адаптира към дългосрочните устойчиви равнища.</w:t>
      </w:r>
    </w:p>
    <w:p w:rsidR="00821C0B" w:rsidRPr="00BD3920" w:rsidRDefault="009D3ADB">
      <w:pPr>
        <w:rPr>
          <w:noProof/>
          <w:color w:val="000000"/>
        </w:rPr>
      </w:pPr>
      <w:r w:rsidRPr="00BD3920">
        <w:rPr>
          <w:noProof/>
          <w:color w:val="000000"/>
        </w:rPr>
        <w:t xml:space="preserve">Поради това, подходът възприет в предложението </w:t>
      </w:r>
      <w:r w:rsidRPr="00BD3920">
        <w:rPr>
          <w:noProof/>
          <w:color w:val="000000"/>
        </w:rPr>
        <w:t>може да доведе в средносрочен до дългосрочен план до намалено риболовно усилие, но до стабилни или увеличаващи се квоти в дългосрочен план. Очаква се дългосрочните последици от подхода да се изразят в намалено въздействие върху околната среда като следстви</w:t>
      </w:r>
      <w:r w:rsidRPr="00BD3920">
        <w:rPr>
          <w:noProof/>
          <w:color w:val="000000"/>
        </w:rPr>
        <w:t>е от адаптирането на риболовното усилие и непроменени или увеличени разтоварвания на брега. В дългосрочен план устойчивостта на риболовните дейности ще нарасне.</w:t>
      </w:r>
    </w:p>
    <w:p w:rsidR="00821C0B" w:rsidRPr="00BD3920" w:rsidRDefault="009D3ADB">
      <w:pPr>
        <w:pStyle w:val="ManualHeading1"/>
        <w:rPr>
          <w:noProof/>
        </w:rPr>
      </w:pPr>
      <w:r w:rsidRPr="00BD3920">
        <w:rPr>
          <w:noProof/>
        </w:rPr>
        <w:t>3.</w:t>
      </w:r>
      <w:r w:rsidRPr="00BD3920">
        <w:rPr>
          <w:noProof/>
        </w:rPr>
        <w:tab/>
        <w:t>ПРАВНИ ЕЛЕМЕНТИ НА ПРЕДЛОЖЕНИЕТО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Обобщение на предлаганите мерки</w:t>
      </w:r>
    </w:p>
    <w:p w:rsidR="00821C0B" w:rsidRPr="00BD3920" w:rsidRDefault="009D3ADB">
      <w:pPr>
        <w:rPr>
          <w:b/>
          <w:noProof/>
        </w:rPr>
      </w:pPr>
      <w:r w:rsidRPr="00BD3920">
        <w:rPr>
          <w:noProof/>
        </w:rPr>
        <w:t>Предложението определя огра</w:t>
      </w:r>
      <w:r w:rsidRPr="00BD3920">
        <w:rPr>
          <w:noProof/>
        </w:rPr>
        <w:t>ниченията на улова, приложими в Черно море към риболовните стопанства на Съюза, с оглед постигане на целта на ОПОР за осигуряване на устойчивост на риболовните стопанства от биологична, икономическа и социална гледна точка.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Правно основание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Правното основа</w:t>
      </w:r>
      <w:r w:rsidRPr="00BD3920">
        <w:rPr>
          <w:noProof/>
        </w:rPr>
        <w:t>ние на настоящото предложение е член 43, параграф 3 от Договора за функционирането на Европейския съюз (ДФЕС).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Задълженията на Съюза за устойчивата експлоатация на живите водни ресурси произтичат от задълженията, определени в член 2 от Регламент (ЕС) № 138</w:t>
      </w:r>
      <w:r w:rsidRPr="00BD3920">
        <w:rPr>
          <w:noProof/>
        </w:rPr>
        <w:t>0/2013.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Принцип на субсидиарност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Предложението попада в обхвата на изключителната компетентност на Съюза в съответствие с член 3, параграф 1, буква г) от ДФЕС. Следователно принципът на субсидиарност не се прилага.</w:t>
      </w:r>
    </w:p>
    <w:p w:rsidR="00821C0B" w:rsidRPr="00BD3920" w:rsidRDefault="009D3ADB">
      <w:pPr>
        <w:pStyle w:val="ListBullet"/>
        <w:rPr>
          <w:b/>
          <w:bCs/>
          <w:noProof/>
        </w:rPr>
      </w:pPr>
      <w:r w:rsidRPr="00BD3920">
        <w:rPr>
          <w:b/>
          <w:noProof/>
        </w:rPr>
        <w:t>Принцип на пропорционалност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Настоящото пр</w:t>
      </w:r>
      <w:r w:rsidRPr="00BD3920">
        <w:rPr>
          <w:noProof/>
        </w:rPr>
        <w:t>едложение е в съответствие с принципа на пропорционалност поради следната причина.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Общата политика в областта на рибарството е обща политика. Съгласно член 43, параграф 3 от ДФЕС Съветът е длъжен да приема мерки за определянето и разпределянето на възможно</w:t>
      </w:r>
      <w:r w:rsidRPr="00BD3920">
        <w:rPr>
          <w:noProof/>
        </w:rPr>
        <w:t>стите за риболов.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 xml:space="preserve">С предложения регламент на Съвета възможностите за риболов се разпределят на държавите членки. В съответствие с член 16, параграфи 6 и 7, и член 17 от </w:t>
      </w:r>
      <w:r w:rsidRPr="00BD3920">
        <w:rPr>
          <w:noProof/>
        </w:rPr>
        <w:lastRenderedPageBreak/>
        <w:t>Регламент (ЕС) № 1380/2013 държавите членки са свободни да разпределят тези възможности</w:t>
      </w:r>
      <w:r w:rsidRPr="00BD3920">
        <w:rPr>
          <w:noProof/>
        </w:rPr>
        <w:t xml:space="preserve"> по своя преценка между съдовете, плаващи под нейно знаме. Поради това, държавите членки имат голяма свобода на действие във връзка с решенията относно социално-икономическия модел, който ще изберат, с цел да използват предоставените им възможности за рибо</w:t>
      </w:r>
      <w:r w:rsidRPr="00BD3920">
        <w:rPr>
          <w:noProof/>
        </w:rPr>
        <w:t>лов.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Предложението не поражда нови финансови последици за държавите членки. Такъв регламент се приема от Съвета всяка година и публичните и частните механизми за неговото изпълнение вече са създадени.</w:t>
      </w:r>
    </w:p>
    <w:p w:rsidR="00821C0B" w:rsidRPr="00BD3920" w:rsidRDefault="009D3ADB">
      <w:pPr>
        <w:pStyle w:val="ListBullet"/>
        <w:rPr>
          <w:b/>
          <w:bCs/>
          <w:noProof/>
        </w:rPr>
      </w:pPr>
      <w:r w:rsidRPr="00BD3920">
        <w:rPr>
          <w:b/>
          <w:noProof/>
        </w:rPr>
        <w:t>Избор на инструменти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Предложени инструменти: регламент.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Настоящото предложение засяга управлението на риболовните стопанства въз основа на член 43, параграф 3 от ДФЕС и в съответствие с член 16 от Регламент (ЕС) № 1380/2013.</w:t>
      </w:r>
    </w:p>
    <w:p w:rsidR="00821C0B" w:rsidRPr="00BD3920" w:rsidRDefault="009D3ADB">
      <w:pPr>
        <w:pStyle w:val="ManualHeading1"/>
        <w:rPr>
          <w:noProof/>
        </w:rPr>
      </w:pPr>
      <w:r w:rsidRPr="00BD3920">
        <w:rPr>
          <w:noProof/>
        </w:rPr>
        <w:t>4.</w:t>
      </w:r>
      <w:r w:rsidRPr="00BD3920">
        <w:rPr>
          <w:noProof/>
        </w:rPr>
        <w:tab/>
        <w:t>ОТРАЖЕНИЕ ВЪРХУ БЮДЖЕТА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Предложението няма отражение върху бюджета на Съюза.</w:t>
      </w:r>
    </w:p>
    <w:p w:rsidR="00821C0B" w:rsidRPr="00BD3920" w:rsidRDefault="009D3ADB">
      <w:pPr>
        <w:pStyle w:val="ManualHeading1"/>
        <w:rPr>
          <w:noProof/>
        </w:rPr>
      </w:pPr>
      <w:r w:rsidRPr="00BD3920">
        <w:rPr>
          <w:noProof/>
        </w:rPr>
        <w:t>5.</w:t>
      </w:r>
      <w:r w:rsidRPr="00BD3920">
        <w:rPr>
          <w:noProof/>
        </w:rPr>
        <w:tab/>
        <w:t>НЕЗ</w:t>
      </w:r>
      <w:r w:rsidRPr="00BD3920">
        <w:rPr>
          <w:noProof/>
        </w:rPr>
        <w:t>АДЪЛЖИТЕЛНИ ЕЛЕМЕНТИ</w:t>
      </w:r>
    </w:p>
    <w:p w:rsidR="00821C0B" w:rsidRPr="00BD3920" w:rsidRDefault="009D3ADB">
      <w:pPr>
        <w:pStyle w:val="ListBullet"/>
        <w:rPr>
          <w:b/>
          <w:bCs/>
          <w:noProof/>
        </w:rPr>
      </w:pPr>
      <w:r w:rsidRPr="00BD3920">
        <w:rPr>
          <w:b/>
          <w:noProof/>
        </w:rPr>
        <w:t>Опростяване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Предложението продължава да опростява административните процедури за публичните органи (на ЕС или национални), тъй като съдържа разпоредби, сходни с тези на Регламент (ЕС) № 2015/106 на Съвета</w:t>
      </w:r>
      <w:r w:rsidRPr="00BD3920">
        <w:rPr>
          <w:rStyle w:val="FootnoteReference"/>
          <w:noProof/>
        </w:rPr>
        <w:footnoteReference w:id="5"/>
      </w:r>
      <w:r w:rsidRPr="00BD3920">
        <w:rPr>
          <w:noProof/>
        </w:rPr>
        <w:t>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 xml:space="preserve"> </w:t>
      </w:r>
    </w:p>
    <w:p w:rsidR="00821C0B" w:rsidRPr="00BD3920" w:rsidRDefault="009D3ADB">
      <w:pPr>
        <w:pStyle w:val="ListBullet"/>
        <w:rPr>
          <w:b/>
          <w:bCs/>
          <w:noProof/>
        </w:rPr>
      </w:pPr>
      <w:r w:rsidRPr="00BD3920">
        <w:rPr>
          <w:b/>
          <w:noProof/>
        </w:rPr>
        <w:t>Преглед/преразглеждане/кла</w:t>
      </w:r>
      <w:r w:rsidRPr="00BD3920">
        <w:rPr>
          <w:b/>
          <w:noProof/>
        </w:rPr>
        <w:t>уза за изтичане на срока на действие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Тъй като предложението се отнася до годишен регламент за 2016 г., то не включва клауза за преразглеждане.</w:t>
      </w:r>
    </w:p>
    <w:p w:rsidR="00821C0B" w:rsidRPr="00BD3920" w:rsidRDefault="009D3ADB">
      <w:pPr>
        <w:pStyle w:val="ListBullet"/>
        <w:rPr>
          <w:b/>
          <w:noProof/>
        </w:rPr>
      </w:pPr>
      <w:r w:rsidRPr="00BD3920">
        <w:rPr>
          <w:b/>
          <w:noProof/>
        </w:rPr>
        <w:t>Подробно обяснение</w:t>
      </w:r>
    </w:p>
    <w:p w:rsidR="00821C0B" w:rsidRPr="00BD3920" w:rsidRDefault="009D3ADB">
      <w:pPr>
        <w:rPr>
          <w:noProof/>
          <w:szCs w:val="24"/>
        </w:rPr>
      </w:pPr>
      <w:r w:rsidRPr="00BD3920">
        <w:rPr>
          <w:noProof/>
        </w:rPr>
        <w:t xml:space="preserve">С предложението се определят възможностите за риболов по отношение на определени запаси или групи запаси за 2016 г. за държавите членки, извършващи риболов в Черно море. </w:t>
      </w:r>
    </w:p>
    <w:p w:rsidR="00821C0B" w:rsidRPr="00BD3920" w:rsidRDefault="009D3ADB">
      <w:pPr>
        <w:rPr>
          <w:noProof/>
          <w:szCs w:val="24"/>
        </w:rPr>
      </w:pPr>
      <w:r w:rsidRPr="00BD3920">
        <w:rPr>
          <w:noProof/>
        </w:rPr>
        <w:t>Задължението за разтоварване на брега на улов от определени риболовни стопанства запо</w:t>
      </w:r>
      <w:r w:rsidRPr="00BD3920">
        <w:rPr>
          <w:noProof/>
        </w:rPr>
        <w:t>чна да се прилага от 1 януари 2015 г. Тези риболовни стопанства в Черно море обхващат риболовните стопанства на малки пелагични видове, а именно риболовното стопанство на цацата, която е един от запасите, обект на ОДУ и на квоти в настоящия регламент.</w:t>
      </w:r>
    </w:p>
    <w:p w:rsidR="00821C0B" w:rsidRPr="00BD3920" w:rsidRDefault="009D3ADB">
      <w:pPr>
        <w:pStyle w:val="Default"/>
        <w:rPr>
          <w:noProof/>
        </w:rPr>
      </w:pPr>
      <w:r w:rsidRPr="00BD3920">
        <w:rPr>
          <w:noProof/>
        </w:rPr>
        <w:lastRenderedPageBreak/>
        <w:t>С въ</w:t>
      </w:r>
      <w:r w:rsidRPr="00BD3920">
        <w:rPr>
          <w:noProof/>
        </w:rPr>
        <w:t>веждането на задължението за разтоварване в съответствие с член 16, параграф 2 от Регламент (ЕС) № 1380/2013 предложените възможности за риболов отразяват разликата между разтовареното и уловеното количество. Това се основава на получените научни становища</w:t>
      </w:r>
      <w:r w:rsidRPr="00BD3920">
        <w:rPr>
          <w:noProof/>
        </w:rPr>
        <w:t xml:space="preserve"> за рибните запаси в риболовните стопанства, както са посочени в член 15, параграф 1 от Регламент (ЕС) № 1380/2013. Възможностите за риболов следва също така да бъдат определени в съответствие с член 16, параграф 1 (относно принципа на относителната стабил</w:t>
      </w:r>
      <w:r w:rsidRPr="00BD3920">
        <w:rPr>
          <w:noProof/>
        </w:rPr>
        <w:t>ност) и член 16, параграф 4 (относно целите на ОПОР и правилата, предвидени в многогодишните планове) от същия регламент. Предложените стойности отразяват научното становище и рамката за определяне на ОДУ, както и квотите, посочени в съобщението на Комисия</w:t>
      </w:r>
      <w:r w:rsidRPr="00BD3920">
        <w:rPr>
          <w:noProof/>
        </w:rPr>
        <w:t xml:space="preserve">та относно консултация за възможностите за риболов през 2016 г. </w:t>
      </w:r>
    </w:p>
    <w:p w:rsidR="00821C0B" w:rsidRPr="00BD3920" w:rsidRDefault="00821C0B">
      <w:pPr>
        <w:rPr>
          <w:noProof/>
        </w:rPr>
      </w:pP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Предвид намерението на Комисията да осигури устойчиво използване на рибните ресурси в съответствие с политиката на Съюза и международните ангажименти, като същевременно възможностите за рибо</w:t>
      </w:r>
      <w:r w:rsidRPr="00BD3920">
        <w:rPr>
          <w:noProof/>
        </w:rPr>
        <w:t>лов се поддържат на стабилно ниво, годишните промени на ОДУ са ограничени доколкото е практично, отчитайки състоянието на съответните запаси.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ОДУ и квотите, разпределени на държавите членки, са дадени в приложение</w:t>
      </w:r>
      <w:r w:rsidRPr="00BD3920">
        <w:rPr>
          <w:noProof/>
        </w:rPr>
        <w:t> I</w:t>
      </w:r>
      <w:r w:rsidRPr="00BD3920">
        <w:rPr>
          <w:noProof/>
        </w:rPr>
        <w:t xml:space="preserve"> към предложения регламент.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В съответстви</w:t>
      </w:r>
      <w:r w:rsidRPr="00BD3920">
        <w:rPr>
          <w:noProof/>
        </w:rPr>
        <w:t>е с член</w:t>
      </w:r>
      <w:r w:rsidRPr="00BD3920">
        <w:rPr>
          <w:noProof/>
        </w:rPr>
        <w:t> </w:t>
      </w:r>
      <w:r w:rsidRPr="00BD3920">
        <w:rPr>
          <w:noProof/>
        </w:rPr>
        <w:t>2 от Регламент (ЕО) №</w:t>
      </w:r>
      <w:r w:rsidRPr="00BD3920">
        <w:rPr>
          <w:noProof/>
        </w:rPr>
        <w:t> </w:t>
      </w:r>
      <w:r w:rsidRPr="00BD3920">
        <w:rPr>
          <w:noProof/>
        </w:rPr>
        <w:t>847/96 на Съвета</w:t>
      </w:r>
      <w:r w:rsidRPr="00BD3920">
        <w:rPr>
          <w:rStyle w:val="FootnoteReference"/>
          <w:noProof/>
        </w:rPr>
        <w:footnoteReference w:id="6"/>
      </w:r>
      <w:r w:rsidRPr="00BD3920">
        <w:rPr>
          <w:noProof/>
        </w:rPr>
        <w:t>, се предлага членове 3 и 4 да не се прилагат за запасите, обхванати от настоящия регламент. Въпреки това, в съответствие с член</w:t>
      </w:r>
      <w:r w:rsidRPr="00BD3920">
        <w:rPr>
          <w:noProof/>
        </w:rPr>
        <w:t> </w:t>
      </w:r>
      <w:r w:rsidRPr="00BD3920">
        <w:rPr>
          <w:noProof/>
        </w:rPr>
        <w:t>15, параграф</w:t>
      </w:r>
      <w:r w:rsidRPr="00BD3920">
        <w:rPr>
          <w:noProof/>
        </w:rPr>
        <w:t> </w:t>
      </w:r>
      <w:r w:rsidRPr="00BD3920">
        <w:rPr>
          <w:noProof/>
        </w:rPr>
        <w:t>9 от Регламент (ЕС) №</w:t>
      </w:r>
      <w:r w:rsidRPr="00BD3920">
        <w:rPr>
          <w:noProof/>
        </w:rPr>
        <w:t> </w:t>
      </w:r>
      <w:r w:rsidRPr="00BD3920">
        <w:rPr>
          <w:noProof/>
        </w:rPr>
        <w:t xml:space="preserve">1380/2013, гъвкавостта в две последователни </w:t>
      </w:r>
      <w:r w:rsidRPr="00BD3920">
        <w:rPr>
          <w:noProof/>
        </w:rPr>
        <w:t>години, предвидена в него, се прилага за запаси, обхванати от задължението за разтоварване.</w:t>
      </w:r>
    </w:p>
    <w:p w:rsidR="00821C0B" w:rsidRPr="00BD3920" w:rsidRDefault="00821C0B">
      <w:pPr>
        <w:rPr>
          <w:noProof/>
        </w:rPr>
        <w:sectPr w:rsidR="00821C0B" w:rsidRPr="00BD3920" w:rsidSect="00BD3920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821C0B" w:rsidRPr="00BD3920" w:rsidRDefault="009D3ADB">
      <w:pPr>
        <w:pStyle w:val="Rfrenceinterinstitutionnelle"/>
        <w:rPr>
          <w:noProof/>
        </w:rPr>
      </w:pPr>
      <w:r w:rsidRPr="00BD3920">
        <w:rPr>
          <w:noProof/>
        </w:rPr>
        <w:lastRenderedPageBreak/>
        <w:t>2015/0264 (NLE)</w:t>
      </w:r>
    </w:p>
    <w:p w:rsidR="00821C0B" w:rsidRPr="00BD3920" w:rsidRDefault="00BD3920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821C0B" w:rsidRPr="00BD3920" w:rsidRDefault="009D3ADB">
      <w:pPr>
        <w:pStyle w:val="Typedudocument"/>
        <w:rPr>
          <w:noProof/>
        </w:rPr>
      </w:pPr>
      <w:r w:rsidRPr="00BD3920">
        <w:rPr>
          <w:noProof/>
        </w:rPr>
        <w:t>РЕГЛАМЕНТ НА СЪВЕТА</w:t>
      </w:r>
    </w:p>
    <w:p w:rsidR="00821C0B" w:rsidRPr="00BD3920" w:rsidRDefault="009D3ADB">
      <w:pPr>
        <w:pStyle w:val="Titreobjet"/>
        <w:rPr>
          <w:noProof/>
        </w:rPr>
      </w:pPr>
      <w:r w:rsidRPr="00BD3920">
        <w:rPr>
          <w:noProof/>
        </w:rPr>
        <w:t xml:space="preserve">за </w:t>
      </w:r>
      <w:r w:rsidRPr="00BD3920">
        <w:rPr>
          <w:noProof/>
        </w:rPr>
        <w:t>определяне на възможностите за риболов за някои рибни запаси в Черно море за 2016</w:t>
      </w:r>
      <w:r w:rsidRPr="00BD3920">
        <w:rPr>
          <w:noProof/>
        </w:rPr>
        <w:t> </w:t>
      </w:r>
      <w:r w:rsidRPr="00BD3920">
        <w:rPr>
          <w:noProof/>
        </w:rPr>
        <w:t xml:space="preserve">година </w:t>
      </w:r>
    </w:p>
    <w:p w:rsidR="00821C0B" w:rsidRPr="00BD3920" w:rsidRDefault="009D3ADB">
      <w:pPr>
        <w:pStyle w:val="Institutionquiagit"/>
        <w:rPr>
          <w:noProof/>
        </w:rPr>
      </w:pPr>
      <w:r w:rsidRPr="00BD3920">
        <w:rPr>
          <w:noProof/>
        </w:rPr>
        <w:t>СЪВЕТЪТ НА ЕВРОПЕЙСКИЯ СЪЮЗ,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като взе предвид Договора за функционирането на Европейския съюз, и по-специално член</w:t>
      </w:r>
      <w:r w:rsidRPr="00BD3920">
        <w:rPr>
          <w:noProof/>
        </w:rPr>
        <w:t> </w:t>
      </w:r>
      <w:r w:rsidRPr="00BD3920">
        <w:rPr>
          <w:noProof/>
        </w:rPr>
        <w:t>43, параграф</w:t>
      </w:r>
      <w:r w:rsidRPr="00BD3920">
        <w:rPr>
          <w:noProof/>
        </w:rPr>
        <w:t> </w:t>
      </w:r>
      <w:r w:rsidRPr="00BD3920">
        <w:rPr>
          <w:noProof/>
        </w:rPr>
        <w:t>3 от него,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като взе предвид предложени</w:t>
      </w:r>
      <w:r w:rsidRPr="00BD3920">
        <w:rPr>
          <w:noProof/>
        </w:rPr>
        <w:t>ето на Европейската комисия,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като има предвид, че: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(1)</w:t>
      </w:r>
      <w:r w:rsidRPr="00BD3920">
        <w:rPr>
          <w:noProof/>
        </w:rPr>
        <w:tab/>
        <w:t>Член</w:t>
      </w:r>
      <w:r w:rsidRPr="00BD3920">
        <w:rPr>
          <w:noProof/>
        </w:rPr>
        <w:t> </w:t>
      </w:r>
      <w:r w:rsidRPr="00BD3920">
        <w:rPr>
          <w:noProof/>
        </w:rPr>
        <w:t>43, параграф</w:t>
      </w:r>
      <w:r w:rsidRPr="00BD3920">
        <w:rPr>
          <w:noProof/>
        </w:rPr>
        <w:t> </w:t>
      </w:r>
      <w:r w:rsidRPr="00BD3920">
        <w:rPr>
          <w:noProof/>
        </w:rPr>
        <w:t>3 от Договора предвижда Съветът, по предложение на Комисията, да приема мерки за определянето и разпределянето на възможностите за риболов.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(2)</w:t>
      </w:r>
      <w:r w:rsidRPr="00BD3920">
        <w:rPr>
          <w:noProof/>
        </w:rPr>
        <w:tab/>
        <w:t>Регламент (ЕС) №</w:t>
      </w:r>
      <w:r w:rsidRPr="00BD3920">
        <w:rPr>
          <w:noProof/>
        </w:rPr>
        <w:t> </w:t>
      </w:r>
      <w:r w:rsidRPr="00BD3920">
        <w:rPr>
          <w:noProof/>
        </w:rPr>
        <w:t xml:space="preserve">1380/2013 на </w:t>
      </w:r>
      <w:r w:rsidRPr="00BD3920">
        <w:rPr>
          <w:noProof/>
        </w:rPr>
        <w:t>Европейския парламент и на Съвета</w:t>
      </w:r>
      <w:r w:rsidRPr="00BD3920">
        <w:rPr>
          <w:rStyle w:val="FootnoteReference"/>
          <w:noProof/>
        </w:rPr>
        <w:footnoteReference w:id="7"/>
      </w:r>
      <w:r w:rsidRPr="00BD3920">
        <w:rPr>
          <w:noProof/>
        </w:rPr>
        <w:t xml:space="preserve"> изисква приемането на мерки за опазване, като се вземат предвид наличните научни, технически и икономически становища, включително, когато е целесъобразно, доклади, изготвени от Научния, технически и икономически комитет </w:t>
      </w:r>
      <w:r w:rsidRPr="00BD3920">
        <w:rPr>
          <w:noProof/>
        </w:rPr>
        <w:t>по рибарство (НТИКР).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(3)</w:t>
      </w:r>
      <w:r w:rsidRPr="00BD3920">
        <w:rPr>
          <w:noProof/>
        </w:rPr>
        <w:tab/>
        <w:t>Съветът приема мерки за определяне и разпределяне на възможностите за риболов по риболовни стопанства или група риболовни стопанства в Черно море, включително някои функционално свързани с това условия, когато това е целесъобразно</w:t>
      </w:r>
      <w:r w:rsidRPr="00BD3920">
        <w:rPr>
          <w:noProof/>
        </w:rPr>
        <w:t>. В съответствие с член</w:t>
      </w:r>
      <w:r w:rsidRPr="00BD3920">
        <w:rPr>
          <w:noProof/>
        </w:rPr>
        <w:t> </w:t>
      </w:r>
      <w:r w:rsidRPr="00BD3920">
        <w:rPr>
          <w:noProof/>
        </w:rPr>
        <w:t>16, параграфи</w:t>
      </w:r>
      <w:r w:rsidRPr="00BD3920">
        <w:rPr>
          <w:noProof/>
        </w:rPr>
        <w:t> </w:t>
      </w:r>
      <w:r w:rsidRPr="00BD3920">
        <w:rPr>
          <w:noProof/>
        </w:rPr>
        <w:t>1 и 4 от Регламент (ЕС) №</w:t>
      </w:r>
      <w:r w:rsidRPr="00BD3920">
        <w:rPr>
          <w:noProof/>
        </w:rPr>
        <w:t> </w:t>
      </w:r>
      <w:r w:rsidRPr="00BD3920">
        <w:rPr>
          <w:noProof/>
        </w:rPr>
        <w:t>1380/2013 възможностите за риболов следва да се разпределят между държавите членки по такъв начин, че да осигурят на всяка държава членка относителна стабилност на риболовните дейности за всек</w:t>
      </w:r>
      <w:r w:rsidRPr="00BD3920">
        <w:rPr>
          <w:noProof/>
        </w:rPr>
        <w:t>и запас или риболовно стопанство, както и в съответствие с целите на Общата политика в областта на рибарството, определени в член</w:t>
      </w:r>
      <w:r w:rsidRPr="00BD3920">
        <w:rPr>
          <w:noProof/>
        </w:rPr>
        <w:t> </w:t>
      </w:r>
      <w:r w:rsidRPr="00BD3920">
        <w:rPr>
          <w:noProof/>
        </w:rPr>
        <w:t>2, параграф</w:t>
      </w:r>
      <w:r w:rsidRPr="00BD3920">
        <w:rPr>
          <w:noProof/>
        </w:rPr>
        <w:t> </w:t>
      </w:r>
      <w:r w:rsidRPr="00BD3920">
        <w:rPr>
          <w:noProof/>
        </w:rPr>
        <w:t>2 от същия регламент.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(4)</w:t>
      </w:r>
      <w:r w:rsidRPr="00BD3920">
        <w:rPr>
          <w:noProof/>
        </w:rPr>
        <w:tab/>
        <w:t>Общият допустим улов (ОДУ) следва да се определи въз основа на наличните научни становищ</w:t>
      </w:r>
      <w:r w:rsidRPr="00BD3920">
        <w:rPr>
          <w:noProof/>
        </w:rPr>
        <w:t>а, като се отчитат биологичните и социално-икономическите аспекти, и същевременно се гарантира справедливо третиране на различните сектори на риболова, както и въз основа на мненията, изразени при консултациите със заинтересованите страни.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lastRenderedPageBreak/>
        <w:t>(5)</w:t>
      </w:r>
      <w:r w:rsidRPr="00BD3920">
        <w:rPr>
          <w:noProof/>
        </w:rPr>
        <w:tab/>
        <w:t>За риболовни</w:t>
      </w:r>
      <w:r w:rsidRPr="00BD3920">
        <w:rPr>
          <w:noProof/>
        </w:rPr>
        <w:t>те стопанства на цацата задължението за разтоварване на брега, посочено в член</w:t>
      </w:r>
      <w:r w:rsidRPr="00BD3920">
        <w:rPr>
          <w:noProof/>
        </w:rPr>
        <w:t> </w:t>
      </w:r>
      <w:r w:rsidRPr="00BD3920">
        <w:rPr>
          <w:noProof/>
        </w:rPr>
        <w:t>15, параграф</w:t>
      </w:r>
      <w:r w:rsidRPr="00BD3920">
        <w:rPr>
          <w:noProof/>
        </w:rPr>
        <w:t> </w:t>
      </w:r>
      <w:r w:rsidRPr="00BD3920">
        <w:rPr>
          <w:noProof/>
        </w:rPr>
        <w:t>1 от Регламент (ЕС) №</w:t>
      </w:r>
      <w:r w:rsidRPr="00BD3920">
        <w:rPr>
          <w:noProof/>
        </w:rPr>
        <w:t> </w:t>
      </w:r>
      <w:r w:rsidRPr="00BD3920">
        <w:rPr>
          <w:noProof/>
        </w:rPr>
        <w:t>1380/2013, се прилага от 1 януари 2015</w:t>
      </w:r>
      <w:r w:rsidRPr="00BD3920">
        <w:rPr>
          <w:noProof/>
        </w:rPr>
        <w:t> </w:t>
      </w:r>
      <w:r w:rsidRPr="00BD3920">
        <w:rPr>
          <w:noProof/>
        </w:rPr>
        <w:t>г. Член</w:t>
      </w:r>
      <w:r w:rsidRPr="00BD3920">
        <w:rPr>
          <w:noProof/>
        </w:rPr>
        <w:t> </w:t>
      </w:r>
      <w:r w:rsidRPr="00BD3920">
        <w:rPr>
          <w:noProof/>
        </w:rPr>
        <w:t>16, параграф</w:t>
      </w:r>
      <w:r w:rsidRPr="00BD3920">
        <w:rPr>
          <w:noProof/>
        </w:rPr>
        <w:t> </w:t>
      </w:r>
      <w:r w:rsidRPr="00BD3920">
        <w:rPr>
          <w:noProof/>
        </w:rPr>
        <w:t xml:space="preserve">2 от същия регламент предвижда че, когато се въвежда задължението за разтоварване </w:t>
      </w:r>
      <w:r w:rsidRPr="00BD3920">
        <w:rPr>
          <w:noProof/>
        </w:rPr>
        <w:t>по отношение на даден рибен запас, възможностите за риболов се определят, като се взема предвид разликата между определянето на възможностите за риболов въз основа на разтоварванията на брега и определянето на възможностите за риболов въз основа на улова.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(6)</w:t>
      </w:r>
      <w:r w:rsidRPr="00BD3920">
        <w:rPr>
          <w:noProof/>
        </w:rPr>
        <w:tab/>
        <w:t>На своето годишно заседание през 2015</w:t>
      </w:r>
      <w:r w:rsidRPr="00BD3920">
        <w:rPr>
          <w:noProof/>
        </w:rPr>
        <w:t> </w:t>
      </w:r>
      <w:r w:rsidRPr="00BD3920">
        <w:rPr>
          <w:noProof/>
        </w:rPr>
        <w:t xml:space="preserve">г. Генералната комисия по рибарство за Средиземно море прие препоръка </w:t>
      </w:r>
      <w:r w:rsidRPr="00BD3920">
        <w:rPr>
          <w:noProof/>
        </w:rPr>
        <w:t>GFCM</w:t>
      </w:r>
      <w:r w:rsidRPr="00BD3920">
        <w:rPr>
          <w:noProof/>
        </w:rPr>
        <w:t xml:space="preserve">/39/2015/4 за определяне на мерки за управление на черноморската бодлива акула в Черно море. С оглед на тревожното състояние на този запас, </w:t>
      </w:r>
      <w:r w:rsidRPr="00BD3920">
        <w:rPr>
          <w:noProof/>
        </w:rPr>
        <w:t xml:space="preserve">който може да се намира на прага на изчезването, и преди мерките на Генералната комисия по рибарство за Средиземно море да станат напълно ефективни, е необходимо в настоящия регламент да се включат възможности за риболов за черноморска бодлива акула. 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(7)</w:t>
      </w:r>
      <w:r w:rsidRPr="00BD3920">
        <w:rPr>
          <w:noProof/>
        </w:rPr>
        <w:tab/>
      </w:r>
      <w:r w:rsidRPr="00BD3920">
        <w:rPr>
          <w:noProof/>
        </w:rPr>
        <w:t>Използването на определените в настоящия регламент възможности за риболов се извършва при условията на Регламент</w:t>
      </w:r>
      <w:r w:rsidRPr="00BD3920">
        <w:rPr>
          <w:noProof/>
        </w:rPr>
        <w:t> </w:t>
      </w:r>
      <w:r w:rsidRPr="00BD3920">
        <w:rPr>
          <w:noProof/>
        </w:rPr>
        <w:t>(ЕО) №</w:t>
      </w:r>
      <w:r w:rsidRPr="00BD3920">
        <w:rPr>
          <w:noProof/>
        </w:rPr>
        <w:t> </w:t>
      </w:r>
      <w:r w:rsidRPr="00BD3920">
        <w:rPr>
          <w:noProof/>
        </w:rPr>
        <w:t>1224/2009 на Съвета</w:t>
      </w:r>
      <w:r w:rsidRPr="00BD3920">
        <w:rPr>
          <w:rStyle w:val="FootnoteReference"/>
          <w:noProof/>
        </w:rPr>
        <w:footnoteReference w:id="8"/>
      </w:r>
      <w:r w:rsidRPr="00BD3920">
        <w:rPr>
          <w:noProof/>
        </w:rPr>
        <w:t>, и по-специално на членове</w:t>
      </w:r>
      <w:r w:rsidRPr="00BD3920">
        <w:rPr>
          <w:noProof/>
        </w:rPr>
        <w:t> </w:t>
      </w:r>
      <w:r w:rsidRPr="00BD3920">
        <w:rPr>
          <w:noProof/>
        </w:rPr>
        <w:t>33 и 34 от него, отнасящи се до записването на улова и съобщаването на данните относно и</w:t>
      </w:r>
      <w:r w:rsidRPr="00BD3920">
        <w:rPr>
          <w:noProof/>
        </w:rPr>
        <w:t>зчерпването на възможностите за риболов. Поради това е необходимо да се посочат кодовете, които държавите членки да използват при изпращането на данни до Комисията относно разтоварванията на брега на запасите, обект на настоящия регламент.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noProof/>
        </w:rPr>
        <w:t>(8)</w:t>
      </w:r>
      <w:r w:rsidRPr="00BD3920">
        <w:rPr>
          <w:noProof/>
        </w:rPr>
        <w:tab/>
        <w:t>В съответств</w:t>
      </w:r>
      <w:r w:rsidRPr="00BD3920">
        <w:rPr>
          <w:noProof/>
        </w:rPr>
        <w:t>ие с член</w:t>
      </w:r>
      <w:r w:rsidRPr="00BD3920">
        <w:rPr>
          <w:noProof/>
        </w:rPr>
        <w:t> </w:t>
      </w:r>
      <w:r w:rsidRPr="00BD3920">
        <w:rPr>
          <w:noProof/>
        </w:rPr>
        <w:t>2 от Регламент (ЕО) №</w:t>
      </w:r>
      <w:r w:rsidRPr="00BD3920">
        <w:rPr>
          <w:noProof/>
        </w:rPr>
        <w:t> </w:t>
      </w:r>
      <w:r w:rsidRPr="00BD3920">
        <w:rPr>
          <w:noProof/>
        </w:rPr>
        <w:t>847/96 на Съвета</w:t>
      </w:r>
      <w:r w:rsidRPr="00BD3920">
        <w:rPr>
          <w:rStyle w:val="FootnoteReference"/>
          <w:noProof/>
        </w:rPr>
        <w:footnoteReference w:id="9"/>
      </w:r>
      <w:r w:rsidRPr="00BD3920">
        <w:rPr>
          <w:noProof/>
        </w:rPr>
        <w:t xml:space="preserve"> при определяне на ОДУ, Съветът решава за кои запаси не се прилагат членове 3 и 4, по-специално въз основа на биологичното състояние на запасите.</w:t>
      </w:r>
    </w:p>
    <w:p w:rsidR="00821C0B" w:rsidRPr="00BD3920" w:rsidRDefault="009D3ADB">
      <w:pPr>
        <w:pStyle w:val="ManualConsidrant"/>
        <w:rPr>
          <w:noProof/>
        </w:rPr>
      </w:pPr>
      <w:r w:rsidRPr="00BD3920">
        <w:rPr>
          <w:i/>
          <w:noProof/>
        </w:rPr>
        <w:t xml:space="preserve"> </w:t>
      </w:r>
      <w:r w:rsidRPr="00BD3920">
        <w:rPr>
          <w:noProof/>
        </w:rPr>
        <w:t>(9)</w:t>
      </w:r>
      <w:r w:rsidRPr="00BD3920">
        <w:rPr>
          <w:noProof/>
        </w:rPr>
        <w:tab/>
        <w:t>За да се избегне прекъсване на риболовните дейности и за</w:t>
      </w:r>
      <w:r w:rsidRPr="00BD3920">
        <w:rPr>
          <w:noProof/>
        </w:rPr>
        <w:t xml:space="preserve"> да се осигури поминъкът на рибарите от Съюза е важно засегнатите риболовни стопанства в Черно море да се открият на 1 януари 2016 г. Поради съображения за спешност настоящият регламент следва да влезе в сила веднага след публикуването му.</w:t>
      </w:r>
    </w:p>
    <w:p w:rsidR="00821C0B" w:rsidRPr="00BD3920" w:rsidRDefault="009D3ADB">
      <w:pPr>
        <w:pStyle w:val="Formuledadoption"/>
        <w:rPr>
          <w:noProof/>
        </w:rPr>
      </w:pPr>
      <w:r w:rsidRPr="00BD3920">
        <w:rPr>
          <w:noProof/>
        </w:rPr>
        <w:lastRenderedPageBreak/>
        <w:t>ПРИЕ НАСТОЯЩИЯ Р</w:t>
      </w:r>
      <w:r w:rsidRPr="00BD3920">
        <w:rPr>
          <w:noProof/>
        </w:rPr>
        <w:t>ЕГЛАМЕНТ:</w:t>
      </w:r>
    </w:p>
    <w:p w:rsidR="00821C0B" w:rsidRPr="00BD3920" w:rsidRDefault="009D3ADB">
      <w:pPr>
        <w:pStyle w:val="ChapterTitle"/>
        <w:spacing w:before="360"/>
        <w:rPr>
          <w:noProof/>
        </w:rPr>
      </w:pPr>
      <w:r w:rsidRPr="00BD3920">
        <w:rPr>
          <w:noProof/>
        </w:rPr>
        <w:t xml:space="preserve">ГЛАВА </w:t>
      </w:r>
      <w:r w:rsidRPr="00BD3920">
        <w:rPr>
          <w:noProof/>
        </w:rPr>
        <w:t>I</w:t>
      </w:r>
      <w:r w:rsidRPr="00BD3920">
        <w:rPr>
          <w:noProof/>
        </w:rPr>
        <w:br/>
      </w:r>
      <w:r w:rsidRPr="00BD3920">
        <w:rPr>
          <w:noProof/>
        </w:rPr>
        <w:t>I</w:t>
      </w:r>
      <w:r w:rsidRPr="00BD3920">
        <w:rPr>
          <w:noProof/>
        </w:rPr>
        <w:t>. Предмет, обхват и определения</w:t>
      </w:r>
    </w:p>
    <w:p w:rsidR="00821C0B" w:rsidRPr="00BD3920" w:rsidRDefault="009D3ADB">
      <w:pPr>
        <w:pStyle w:val="Titrearticle"/>
        <w:rPr>
          <w:b/>
          <w:noProof/>
          <w:u w:val="single"/>
        </w:rPr>
      </w:pPr>
      <w:r w:rsidRPr="00BD3920">
        <w:rPr>
          <w:noProof/>
        </w:rPr>
        <w:t>Член 1</w:t>
      </w:r>
      <w:r w:rsidRPr="00BD3920">
        <w:rPr>
          <w:noProof/>
        </w:rPr>
        <w:br/>
      </w:r>
      <w:r w:rsidRPr="00BD3920">
        <w:rPr>
          <w:b/>
          <w:noProof/>
        </w:rPr>
        <w:t>Предмет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Настоящият регламент определя възможностите за риболов за запасите на следните видове в Черно море за 2016 г.: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а)</w:t>
      </w:r>
      <w:r w:rsidRPr="00BD3920">
        <w:rPr>
          <w:noProof/>
        </w:rPr>
        <w:tab/>
        <w:t>Калкан (</w:t>
      </w:r>
      <w:r w:rsidRPr="00BD3920">
        <w:rPr>
          <w:i/>
          <w:noProof/>
        </w:rPr>
        <w:t>Psetta</w:t>
      </w:r>
      <w:r w:rsidRPr="00BD3920">
        <w:rPr>
          <w:i/>
          <w:noProof/>
        </w:rPr>
        <w:t xml:space="preserve"> </w:t>
      </w:r>
      <w:r w:rsidRPr="00BD3920">
        <w:rPr>
          <w:i/>
          <w:noProof/>
        </w:rPr>
        <w:t>maxima</w:t>
      </w:r>
      <w:r w:rsidRPr="00BD3920">
        <w:rPr>
          <w:noProof/>
        </w:rPr>
        <w:t>)</w:t>
      </w:r>
      <w:r w:rsidRPr="00BD3920">
        <w:rPr>
          <w:noProof/>
        </w:rPr>
        <w:tab/>
        <w:t xml:space="preserve"> 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б)</w:t>
      </w:r>
      <w:r w:rsidRPr="00BD3920">
        <w:rPr>
          <w:noProof/>
        </w:rPr>
        <w:tab/>
        <w:t>Цаца (</w:t>
      </w:r>
      <w:r w:rsidRPr="00BD3920">
        <w:rPr>
          <w:i/>
          <w:noProof/>
        </w:rPr>
        <w:t>Spr</w:t>
      </w:r>
      <w:r w:rsidRPr="00BD3920">
        <w:rPr>
          <w:i/>
          <w:noProof/>
        </w:rPr>
        <w:t>а</w:t>
      </w:r>
      <w:r w:rsidRPr="00BD3920">
        <w:rPr>
          <w:i/>
          <w:noProof/>
        </w:rPr>
        <w:t>ttus</w:t>
      </w:r>
      <w:r w:rsidRPr="00BD3920">
        <w:rPr>
          <w:i/>
          <w:noProof/>
        </w:rPr>
        <w:t xml:space="preserve"> </w:t>
      </w:r>
      <w:r w:rsidRPr="00BD3920">
        <w:rPr>
          <w:i/>
          <w:noProof/>
        </w:rPr>
        <w:t>spr</w:t>
      </w:r>
      <w:r w:rsidRPr="00BD3920">
        <w:rPr>
          <w:i/>
          <w:noProof/>
        </w:rPr>
        <w:t>а</w:t>
      </w:r>
      <w:r w:rsidRPr="00BD3920">
        <w:rPr>
          <w:i/>
          <w:noProof/>
        </w:rPr>
        <w:t>ttus</w:t>
      </w:r>
      <w:r w:rsidRPr="00BD3920">
        <w:rPr>
          <w:noProof/>
        </w:rPr>
        <w:t>)</w:t>
      </w:r>
      <w:r w:rsidRPr="00BD3920">
        <w:rPr>
          <w:noProof/>
        </w:rPr>
        <w:tab/>
        <w:t xml:space="preserve"> 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в)</w:t>
      </w:r>
      <w:r w:rsidRPr="00BD3920">
        <w:rPr>
          <w:noProof/>
        </w:rPr>
        <w:tab/>
        <w:t xml:space="preserve">Черноморска </w:t>
      </w:r>
      <w:r w:rsidRPr="00BD3920">
        <w:rPr>
          <w:noProof/>
        </w:rPr>
        <w:t>бодлива акула (</w:t>
      </w:r>
      <w:r w:rsidRPr="00BD3920">
        <w:rPr>
          <w:i/>
          <w:noProof/>
        </w:rPr>
        <w:t>Squalus</w:t>
      </w:r>
      <w:r w:rsidRPr="00BD3920">
        <w:rPr>
          <w:i/>
          <w:noProof/>
        </w:rPr>
        <w:t xml:space="preserve"> </w:t>
      </w:r>
      <w:r w:rsidRPr="00BD3920">
        <w:rPr>
          <w:i/>
          <w:noProof/>
        </w:rPr>
        <w:t>acanthias</w:t>
      </w:r>
      <w:r w:rsidRPr="00BD3920">
        <w:rPr>
          <w:noProof/>
        </w:rPr>
        <w:t>),</w:t>
      </w:r>
      <w:r w:rsidRPr="00BD3920">
        <w:rPr>
          <w:noProof/>
        </w:rPr>
        <w:tab/>
      </w:r>
    </w:p>
    <w:p w:rsidR="00821C0B" w:rsidRPr="00BD3920" w:rsidRDefault="00821C0B">
      <w:pPr>
        <w:rPr>
          <w:noProof/>
        </w:rPr>
      </w:pPr>
    </w:p>
    <w:p w:rsidR="00821C0B" w:rsidRPr="00BD3920" w:rsidRDefault="009D3ADB">
      <w:pPr>
        <w:pStyle w:val="Titrearticle"/>
        <w:rPr>
          <w:noProof/>
        </w:rPr>
      </w:pPr>
      <w:r w:rsidRPr="00BD3920">
        <w:rPr>
          <w:noProof/>
        </w:rPr>
        <w:t>Член 2</w:t>
      </w:r>
      <w:r w:rsidRPr="00BD3920">
        <w:rPr>
          <w:noProof/>
        </w:rPr>
        <w:br/>
      </w:r>
      <w:r w:rsidRPr="00BD3920">
        <w:rPr>
          <w:b/>
          <w:noProof/>
        </w:rPr>
        <w:t>Обхват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Настоящият регламент се прилага за риболовни съдове на Съюза, които осъществяват дейност в Черно море.</w:t>
      </w:r>
    </w:p>
    <w:p w:rsidR="00821C0B" w:rsidRPr="00BD3920" w:rsidRDefault="009D3ADB">
      <w:pPr>
        <w:pStyle w:val="Titrearticle"/>
        <w:rPr>
          <w:b/>
          <w:noProof/>
        </w:rPr>
      </w:pPr>
      <w:r w:rsidRPr="00BD3920">
        <w:rPr>
          <w:noProof/>
        </w:rPr>
        <w:t>Член 3</w:t>
      </w:r>
      <w:r w:rsidRPr="00BD3920">
        <w:rPr>
          <w:noProof/>
        </w:rPr>
        <w:br/>
      </w:r>
      <w:r w:rsidRPr="00BD3920">
        <w:rPr>
          <w:b/>
          <w:noProof/>
        </w:rPr>
        <w:t>Определения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За целите на настоящия регламент се прилагат следните определения:</w:t>
      </w:r>
    </w:p>
    <w:p w:rsidR="00821C0B" w:rsidRPr="00BD3920" w:rsidRDefault="009D3ADB">
      <w:pPr>
        <w:pStyle w:val="Point0"/>
        <w:ind w:left="709" w:hanging="709"/>
        <w:rPr>
          <w:noProof/>
        </w:rPr>
      </w:pPr>
      <w:r w:rsidRPr="00BD3920">
        <w:rPr>
          <w:noProof/>
        </w:rPr>
        <w:t>а)</w:t>
      </w:r>
      <w:r w:rsidRPr="00BD3920">
        <w:rPr>
          <w:noProof/>
        </w:rPr>
        <w:tab/>
        <w:t>„</w:t>
      </w:r>
      <w:r w:rsidRPr="00BD3920">
        <w:rPr>
          <w:noProof/>
        </w:rPr>
        <w:t>GFCM</w:t>
      </w:r>
      <w:r w:rsidRPr="00BD3920">
        <w:rPr>
          <w:noProof/>
        </w:rPr>
        <w:t xml:space="preserve">“ </w:t>
      </w:r>
      <w:r w:rsidRPr="00BD3920">
        <w:rPr>
          <w:noProof/>
        </w:rPr>
        <w:t>означава Генерална комисия по рибарство за Средиземно море;</w:t>
      </w:r>
    </w:p>
    <w:p w:rsidR="00821C0B" w:rsidRPr="00BD3920" w:rsidRDefault="009D3ADB">
      <w:pPr>
        <w:pStyle w:val="Point0"/>
        <w:ind w:left="709" w:hanging="709"/>
        <w:rPr>
          <w:noProof/>
        </w:rPr>
      </w:pPr>
      <w:r w:rsidRPr="00BD3920">
        <w:rPr>
          <w:noProof/>
        </w:rPr>
        <w:t>б)</w:t>
      </w:r>
      <w:r w:rsidRPr="00BD3920">
        <w:rPr>
          <w:noProof/>
        </w:rPr>
        <w:tab/>
        <w:t xml:space="preserve">„Черно море“ означава географска подзона 29, както е определена в приложение </w:t>
      </w:r>
      <w:r w:rsidRPr="00BD3920">
        <w:rPr>
          <w:noProof/>
        </w:rPr>
        <w:t>I</w:t>
      </w:r>
      <w:r w:rsidRPr="00BD3920">
        <w:rPr>
          <w:noProof/>
        </w:rPr>
        <w:t xml:space="preserve"> към Регламент (ЕС) № 1343/2011 на Европейския парламент и на Съвета</w:t>
      </w:r>
      <w:r w:rsidRPr="00BD3920">
        <w:rPr>
          <w:rStyle w:val="FootnoteReference"/>
          <w:noProof/>
        </w:rPr>
        <w:footnoteReference w:id="10"/>
      </w:r>
      <w:r w:rsidRPr="00BD3920">
        <w:rPr>
          <w:noProof/>
        </w:rPr>
        <w:t>;</w:t>
      </w:r>
    </w:p>
    <w:p w:rsidR="00821C0B" w:rsidRPr="00BD3920" w:rsidRDefault="009D3ADB">
      <w:pPr>
        <w:pStyle w:val="Point0"/>
        <w:ind w:left="709" w:hanging="709"/>
        <w:rPr>
          <w:noProof/>
          <w:szCs w:val="24"/>
        </w:rPr>
      </w:pPr>
      <w:r w:rsidRPr="00BD3920">
        <w:rPr>
          <w:noProof/>
        </w:rPr>
        <w:t>в)</w:t>
      </w:r>
      <w:r w:rsidRPr="00BD3920">
        <w:rPr>
          <w:noProof/>
        </w:rPr>
        <w:tab/>
        <w:t>„риболовен съд“ означава всеки плавателен</w:t>
      </w:r>
      <w:r w:rsidRPr="00BD3920">
        <w:rPr>
          <w:noProof/>
        </w:rPr>
        <w:t xml:space="preserve"> съд, оборудван за търговска експлоатация на морски биологични ресурси;</w:t>
      </w:r>
    </w:p>
    <w:p w:rsidR="00821C0B" w:rsidRPr="00BD3920" w:rsidRDefault="009D3ADB">
      <w:pPr>
        <w:pStyle w:val="Point0"/>
        <w:ind w:left="709" w:hanging="709"/>
        <w:rPr>
          <w:noProof/>
        </w:rPr>
      </w:pPr>
      <w:r w:rsidRPr="00BD3920">
        <w:rPr>
          <w:noProof/>
        </w:rPr>
        <w:t>г)</w:t>
      </w:r>
      <w:r w:rsidRPr="00BD3920">
        <w:rPr>
          <w:noProof/>
        </w:rPr>
        <w:tab/>
        <w:t xml:space="preserve">„риболовен съд на Съюза“ означава риболовен съд, плаващ под знамето на държава членка и регистриран в Съюза; </w:t>
      </w:r>
    </w:p>
    <w:p w:rsidR="00821C0B" w:rsidRPr="00BD3920" w:rsidRDefault="009D3ADB">
      <w:pPr>
        <w:autoSpaceDE w:val="0"/>
        <w:autoSpaceDN w:val="0"/>
        <w:adjustRightInd w:val="0"/>
        <w:spacing w:before="0" w:after="0"/>
        <w:ind w:left="709" w:hanging="709"/>
        <w:rPr>
          <w:i/>
          <w:noProof/>
        </w:rPr>
      </w:pPr>
      <w:r w:rsidRPr="00BD3920">
        <w:rPr>
          <w:noProof/>
        </w:rPr>
        <w:t>д)</w:t>
      </w:r>
      <w:r w:rsidRPr="00BD3920">
        <w:rPr>
          <w:noProof/>
        </w:rPr>
        <w:tab/>
        <w:t>„запас“ означава морски биологичен ресурс, който се среща в определе</w:t>
      </w:r>
      <w:r w:rsidRPr="00BD3920">
        <w:rPr>
          <w:noProof/>
        </w:rPr>
        <w:t>на зона на управление;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lastRenderedPageBreak/>
        <w:t xml:space="preserve">е) „общ допустим улов (ОДУ)“ означава: </w:t>
      </w:r>
    </w:p>
    <w:p w:rsidR="00821C0B" w:rsidRPr="00BD3920" w:rsidRDefault="009D3ADB">
      <w:pPr>
        <w:pStyle w:val="Point1"/>
        <w:rPr>
          <w:noProof/>
        </w:rPr>
      </w:pPr>
      <w:r w:rsidRPr="00BD3920">
        <w:rPr>
          <w:noProof/>
        </w:rPr>
        <w:t>i</w:t>
      </w:r>
      <w:r w:rsidRPr="00BD3920">
        <w:rPr>
          <w:noProof/>
        </w:rPr>
        <w:t xml:space="preserve">) </w:t>
      </w:r>
      <w:r w:rsidRPr="00BD3920">
        <w:rPr>
          <w:noProof/>
        </w:rPr>
        <w:tab/>
        <w:t>в риболовните стопанства, които са предмет на задължението за разтоварване на брега, посочено в член 15 от Регламент (</w:t>
      </w:r>
      <w:r w:rsidRPr="00BD3920">
        <w:rPr>
          <w:noProof/>
        </w:rPr>
        <w:t>E</w:t>
      </w:r>
      <w:r w:rsidRPr="00BD3920">
        <w:rPr>
          <w:noProof/>
        </w:rPr>
        <w:t>С) № 1380/2013, количеството от всеки запас, което може да бъде уловен</w:t>
      </w:r>
      <w:r w:rsidRPr="00BD3920">
        <w:rPr>
          <w:noProof/>
        </w:rPr>
        <w:t xml:space="preserve">о всяка година; </w:t>
      </w:r>
    </w:p>
    <w:p w:rsidR="00821C0B" w:rsidRPr="00BD3920" w:rsidRDefault="009D3ADB">
      <w:pPr>
        <w:pStyle w:val="Point1"/>
        <w:rPr>
          <w:noProof/>
        </w:rPr>
      </w:pPr>
      <w:r w:rsidRPr="00BD3920">
        <w:rPr>
          <w:noProof/>
        </w:rPr>
        <w:t>ii</w:t>
      </w:r>
      <w:r w:rsidRPr="00BD3920">
        <w:rPr>
          <w:noProof/>
        </w:rPr>
        <w:t>)</w:t>
      </w:r>
      <w:r w:rsidRPr="00BD3920">
        <w:rPr>
          <w:noProof/>
        </w:rPr>
        <w:tab/>
        <w:t xml:space="preserve"> във всички други риболовни стопанства — количеството от всеки запас, което може да се разтовари на брега всяка година; </w:t>
      </w:r>
    </w:p>
    <w:p w:rsidR="00821C0B" w:rsidRPr="00BD3920" w:rsidRDefault="009D3ADB">
      <w:pPr>
        <w:pStyle w:val="Point0"/>
        <w:ind w:left="709" w:hanging="709"/>
        <w:rPr>
          <w:noProof/>
        </w:rPr>
      </w:pPr>
      <w:r w:rsidRPr="00BD3920">
        <w:rPr>
          <w:noProof/>
        </w:rPr>
        <w:t xml:space="preserve"> ж)</w:t>
      </w:r>
      <w:r w:rsidRPr="00BD3920">
        <w:rPr>
          <w:noProof/>
        </w:rPr>
        <w:tab/>
        <w:t xml:space="preserve">„квота“ означава част от ОДУ, разпределена на Съюза, държава членка или трета държава. </w:t>
      </w:r>
    </w:p>
    <w:p w:rsidR="00821C0B" w:rsidRPr="00BD3920" w:rsidRDefault="009D3ADB">
      <w:pPr>
        <w:pStyle w:val="ChapterTitle"/>
        <w:spacing w:before="360"/>
        <w:rPr>
          <w:noProof/>
        </w:rPr>
      </w:pPr>
      <w:r w:rsidRPr="00BD3920">
        <w:rPr>
          <w:noProof/>
        </w:rPr>
        <w:br/>
        <w:t xml:space="preserve">ГЛАВА </w:t>
      </w:r>
      <w:r w:rsidRPr="00BD3920">
        <w:rPr>
          <w:noProof/>
        </w:rPr>
        <w:t>II</w:t>
      </w:r>
      <w:r w:rsidRPr="00BD3920">
        <w:rPr>
          <w:noProof/>
        </w:rPr>
        <w:br/>
        <w:t xml:space="preserve">Възможности </w:t>
      </w:r>
      <w:r w:rsidRPr="00BD3920">
        <w:rPr>
          <w:noProof/>
        </w:rPr>
        <w:t xml:space="preserve">за риболов </w:t>
      </w:r>
    </w:p>
    <w:p w:rsidR="00821C0B" w:rsidRPr="00BD3920" w:rsidRDefault="009D3ADB">
      <w:pPr>
        <w:pStyle w:val="Titrearticle"/>
        <w:rPr>
          <w:b/>
          <w:noProof/>
        </w:rPr>
      </w:pPr>
      <w:r w:rsidRPr="00BD3920">
        <w:rPr>
          <w:noProof/>
        </w:rPr>
        <w:t>Член 4</w:t>
      </w:r>
      <w:r w:rsidRPr="00BD3920">
        <w:rPr>
          <w:noProof/>
        </w:rPr>
        <w:br/>
      </w:r>
      <w:r w:rsidRPr="00BD3920">
        <w:rPr>
          <w:b/>
          <w:noProof/>
        </w:rPr>
        <w:t>ОДУ и разпределение</w:t>
      </w:r>
    </w:p>
    <w:p w:rsidR="00821C0B" w:rsidRPr="00BD3920" w:rsidRDefault="009D3ADB">
      <w:pPr>
        <w:pStyle w:val="Titrearticle"/>
        <w:jc w:val="both"/>
        <w:rPr>
          <w:i w:val="0"/>
          <w:noProof/>
        </w:rPr>
      </w:pPr>
      <w:r w:rsidRPr="00BD3920">
        <w:rPr>
          <w:i w:val="0"/>
          <w:noProof/>
        </w:rPr>
        <w:t>ОДУ за риболовни съдове на Съюза, неговото разпределение между държавите членки и когато е целесъобразно — функционално свързаните с това условия, са определени в приложението.</w:t>
      </w:r>
    </w:p>
    <w:p w:rsidR="00821C0B" w:rsidRPr="00BD3920" w:rsidRDefault="009D3ADB">
      <w:pPr>
        <w:pStyle w:val="Titrearticle"/>
        <w:rPr>
          <w:noProof/>
        </w:rPr>
      </w:pPr>
      <w:r w:rsidRPr="00BD3920">
        <w:rPr>
          <w:noProof/>
        </w:rPr>
        <w:t>Член 5</w:t>
      </w:r>
      <w:r w:rsidRPr="00BD3920">
        <w:rPr>
          <w:noProof/>
        </w:rPr>
        <w:br/>
      </w:r>
      <w:r w:rsidRPr="00BD3920">
        <w:rPr>
          <w:b/>
          <w:noProof/>
        </w:rPr>
        <w:t>Специални разпоредби относно разп</w:t>
      </w:r>
      <w:r w:rsidRPr="00BD3920">
        <w:rPr>
          <w:b/>
          <w:noProof/>
        </w:rPr>
        <w:t>ределянията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Разпределението на възможностите за риболов между държавите членки, определено в настоящия регламент, се извършва, без да се засягат: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а)</w:t>
      </w:r>
      <w:r w:rsidRPr="00BD3920">
        <w:rPr>
          <w:noProof/>
        </w:rPr>
        <w:tab/>
        <w:t>размените по член</w:t>
      </w:r>
      <w:r w:rsidRPr="00BD3920">
        <w:rPr>
          <w:noProof/>
        </w:rPr>
        <w:t> </w:t>
      </w:r>
      <w:r w:rsidRPr="00BD3920">
        <w:rPr>
          <w:noProof/>
        </w:rPr>
        <w:t>16, параграф</w:t>
      </w:r>
      <w:r w:rsidRPr="00BD3920">
        <w:rPr>
          <w:noProof/>
        </w:rPr>
        <w:t> </w:t>
      </w:r>
      <w:r w:rsidRPr="00BD3920">
        <w:rPr>
          <w:noProof/>
        </w:rPr>
        <w:t>8 от Регламент</w:t>
      </w:r>
      <w:r w:rsidRPr="00BD3920">
        <w:rPr>
          <w:noProof/>
        </w:rPr>
        <w:t> </w:t>
      </w:r>
      <w:r w:rsidRPr="00BD3920">
        <w:rPr>
          <w:noProof/>
        </w:rPr>
        <w:t>(ЕС) №</w:t>
      </w:r>
      <w:r w:rsidRPr="00BD3920">
        <w:rPr>
          <w:noProof/>
        </w:rPr>
        <w:t> </w:t>
      </w:r>
      <w:r w:rsidRPr="00BD3920">
        <w:rPr>
          <w:noProof/>
        </w:rPr>
        <w:t>1380/2013;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б)</w:t>
      </w:r>
      <w:r w:rsidRPr="00BD3920">
        <w:rPr>
          <w:noProof/>
        </w:rPr>
        <w:tab/>
        <w:t xml:space="preserve">приспаданията и преразпределенията по </w:t>
      </w:r>
      <w:r w:rsidRPr="00BD3920">
        <w:rPr>
          <w:noProof/>
        </w:rPr>
        <w:t>член 37 от Регламент (ЕО) № 1224/2009;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в)</w:t>
      </w:r>
      <w:r w:rsidRPr="00BD3920">
        <w:rPr>
          <w:noProof/>
        </w:rPr>
        <w:tab/>
        <w:t>допълнителните разтоварвания на брега, разрешени по член</w:t>
      </w:r>
      <w:r w:rsidRPr="00BD3920">
        <w:rPr>
          <w:noProof/>
        </w:rPr>
        <w:t> </w:t>
      </w:r>
      <w:r w:rsidRPr="00BD3920">
        <w:rPr>
          <w:noProof/>
        </w:rPr>
        <w:t>15, параграф 9 от Регламент</w:t>
      </w:r>
      <w:r w:rsidRPr="00BD3920">
        <w:rPr>
          <w:noProof/>
        </w:rPr>
        <w:t> </w:t>
      </w:r>
      <w:r w:rsidRPr="00BD3920">
        <w:rPr>
          <w:noProof/>
        </w:rPr>
        <w:t>(ЕС) №</w:t>
      </w:r>
      <w:r w:rsidRPr="00BD3920">
        <w:rPr>
          <w:noProof/>
        </w:rPr>
        <w:t> </w:t>
      </w:r>
      <w:r w:rsidRPr="00BD3920">
        <w:rPr>
          <w:noProof/>
        </w:rPr>
        <w:t>1380/2013;</w:t>
      </w:r>
    </w:p>
    <w:p w:rsidR="00821C0B" w:rsidRPr="00BD3920" w:rsidRDefault="009D3ADB">
      <w:pPr>
        <w:pStyle w:val="Point0"/>
        <w:rPr>
          <w:i/>
          <w:noProof/>
        </w:rPr>
      </w:pPr>
      <w:r w:rsidRPr="00BD3920">
        <w:rPr>
          <w:noProof/>
        </w:rPr>
        <w:t>г)</w:t>
      </w:r>
      <w:r w:rsidRPr="00BD3920">
        <w:rPr>
          <w:noProof/>
        </w:rPr>
        <w:tab/>
        <w:t>задържаните количества в съответствие с член</w:t>
      </w:r>
      <w:r w:rsidRPr="00BD3920">
        <w:rPr>
          <w:noProof/>
        </w:rPr>
        <w:t> </w:t>
      </w:r>
      <w:r w:rsidRPr="00BD3920">
        <w:rPr>
          <w:noProof/>
        </w:rPr>
        <w:t>15, параграф 9 от Регламент</w:t>
      </w:r>
      <w:r w:rsidRPr="00BD3920">
        <w:rPr>
          <w:noProof/>
        </w:rPr>
        <w:t> </w:t>
      </w:r>
      <w:r w:rsidRPr="00BD3920">
        <w:rPr>
          <w:noProof/>
        </w:rPr>
        <w:t>(ЕС) №</w:t>
      </w:r>
      <w:r w:rsidRPr="00BD3920">
        <w:rPr>
          <w:noProof/>
        </w:rPr>
        <w:t> </w:t>
      </w:r>
      <w:r w:rsidRPr="00BD3920">
        <w:rPr>
          <w:noProof/>
        </w:rPr>
        <w:t>1380/2013;</w:t>
      </w:r>
    </w:p>
    <w:p w:rsidR="00821C0B" w:rsidRPr="00BD3920" w:rsidRDefault="009D3ADB">
      <w:pPr>
        <w:pStyle w:val="Point0"/>
        <w:rPr>
          <w:noProof/>
        </w:rPr>
      </w:pPr>
      <w:r w:rsidRPr="00BD3920">
        <w:rPr>
          <w:noProof/>
        </w:rPr>
        <w:t>д)</w:t>
      </w:r>
      <w:r w:rsidRPr="00BD3920">
        <w:rPr>
          <w:noProof/>
        </w:rPr>
        <w:tab/>
        <w:t>приспаданията,</w:t>
      </w:r>
      <w:r w:rsidRPr="00BD3920">
        <w:rPr>
          <w:noProof/>
        </w:rPr>
        <w:t xml:space="preserve"> извършени съгласно членове</w:t>
      </w:r>
      <w:r w:rsidRPr="00BD3920">
        <w:rPr>
          <w:noProof/>
        </w:rPr>
        <w:t> </w:t>
      </w:r>
      <w:r w:rsidRPr="00BD3920">
        <w:rPr>
          <w:noProof/>
        </w:rPr>
        <w:t>105 и 107 от Регламент</w:t>
      </w:r>
      <w:r w:rsidRPr="00BD3920">
        <w:rPr>
          <w:noProof/>
        </w:rPr>
        <w:t> </w:t>
      </w:r>
      <w:r w:rsidRPr="00BD3920">
        <w:rPr>
          <w:noProof/>
        </w:rPr>
        <w:t>(ЕО) №</w:t>
      </w:r>
      <w:r w:rsidRPr="00BD3920">
        <w:rPr>
          <w:noProof/>
        </w:rPr>
        <w:t> </w:t>
      </w:r>
      <w:r w:rsidRPr="00BD3920">
        <w:rPr>
          <w:noProof/>
        </w:rPr>
        <w:t>1224/2009.</w:t>
      </w:r>
    </w:p>
    <w:p w:rsidR="00821C0B" w:rsidRPr="00BD3920" w:rsidRDefault="009D3ADB">
      <w:pPr>
        <w:pStyle w:val="Titrearticle"/>
        <w:rPr>
          <w:b/>
          <w:bCs/>
          <w:noProof/>
        </w:rPr>
      </w:pPr>
      <w:r w:rsidRPr="00BD3920">
        <w:rPr>
          <w:noProof/>
        </w:rPr>
        <w:lastRenderedPageBreak/>
        <w:t>Член 6</w:t>
      </w:r>
      <w:r w:rsidRPr="00BD3920">
        <w:rPr>
          <w:noProof/>
        </w:rPr>
        <w:br/>
      </w:r>
      <w:r w:rsidRPr="00BD3920">
        <w:rPr>
          <w:b/>
          <w:noProof/>
        </w:rPr>
        <w:t>Условия за разтоварване на брега на улова и прилова, които не са предмет на задължението за разтоварване</w:t>
      </w:r>
    </w:p>
    <w:p w:rsidR="00821C0B" w:rsidRPr="00BD3920" w:rsidRDefault="009D3ADB">
      <w:pPr>
        <w:rPr>
          <w:i/>
          <w:noProof/>
        </w:rPr>
      </w:pPr>
      <w:r w:rsidRPr="00BD3920">
        <w:rPr>
          <w:noProof/>
        </w:rPr>
        <w:t xml:space="preserve">Уловът и приловът в риболовното стопанство на калкана се задържат на борда </w:t>
      </w:r>
      <w:r w:rsidRPr="00BD3920">
        <w:rPr>
          <w:noProof/>
        </w:rPr>
        <w:t>или се разтоварват само ако са извършени от риболовни съдове на Съюза, плаващи под знамето на държава членка, която има квота, и тази квота не е изчерпана.</w:t>
      </w:r>
    </w:p>
    <w:p w:rsidR="00821C0B" w:rsidRPr="00BD3920" w:rsidRDefault="009D3ADB">
      <w:pPr>
        <w:pStyle w:val="ChapterTitle"/>
        <w:spacing w:before="360"/>
        <w:rPr>
          <w:noProof/>
        </w:rPr>
      </w:pPr>
      <w:r w:rsidRPr="00BD3920">
        <w:rPr>
          <w:noProof/>
        </w:rPr>
        <w:t xml:space="preserve">ГЛАВА </w:t>
      </w:r>
      <w:r w:rsidRPr="00BD3920">
        <w:rPr>
          <w:noProof/>
        </w:rPr>
        <w:t>III</w:t>
      </w:r>
      <w:r w:rsidRPr="00BD3920">
        <w:rPr>
          <w:noProof/>
        </w:rPr>
        <w:br/>
        <w:t>Заключителни разпоредби</w:t>
      </w:r>
    </w:p>
    <w:p w:rsidR="00821C0B" w:rsidRPr="00BD3920" w:rsidRDefault="009D3ADB">
      <w:pPr>
        <w:pStyle w:val="Titrearticle"/>
        <w:rPr>
          <w:i w:val="0"/>
          <w:noProof/>
        </w:rPr>
      </w:pPr>
      <w:r w:rsidRPr="00BD3920">
        <w:rPr>
          <w:noProof/>
        </w:rPr>
        <w:t>Член 7</w:t>
      </w:r>
      <w:r w:rsidRPr="00BD3920">
        <w:rPr>
          <w:noProof/>
        </w:rPr>
        <w:br/>
      </w:r>
      <w:r w:rsidRPr="00BD3920">
        <w:rPr>
          <w:b/>
          <w:i w:val="0"/>
          <w:noProof/>
        </w:rPr>
        <w:t>Предаване на данни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Когато съгласно членове 33 и 34 от Регла</w:t>
      </w:r>
      <w:r w:rsidRPr="00BD3920">
        <w:rPr>
          <w:noProof/>
        </w:rPr>
        <w:t>мент (ЕО) № 1224/2009 държавите членки изпращат на Комисията данни относно разтоварванията на брега на уловените запаси, те използват определените в приложението към настоящия регламент кодове на запасите.</w:t>
      </w:r>
    </w:p>
    <w:p w:rsidR="00821C0B" w:rsidRPr="00BD3920" w:rsidRDefault="009D3ADB">
      <w:pPr>
        <w:pStyle w:val="Titrearticle"/>
        <w:rPr>
          <w:b/>
          <w:noProof/>
        </w:rPr>
      </w:pPr>
      <w:r w:rsidRPr="00BD3920">
        <w:rPr>
          <w:noProof/>
        </w:rPr>
        <w:t>Член 8</w:t>
      </w:r>
      <w:r w:rsidRPr="00BD3920">
        <w:rPr>
          <w:noProof/>
        </w:rPr>
        <w:br/>
      </w:r>
      <w:r w:rsidRPr="00BD3920">
        <w:rPr>
          <w:b/>
          <w:noProof/>
        </w:rPr>
        <w:t>Влизане в сила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 xml:space="preserve">Настоящият регламент влиза в сила в деня след деня на публикуването му в </w:t>
      </w:r>
      <w:r w:rsidRPr="00BD3920">
        <w:rPr>
          <w:i/>
          <w:noProof/>
        </w:rPr>
        <w:t>Официален вестник на Европейския съюз</w:t>
      </w:r>
      <w:r w:rsidRPr="00BD3920">
        <w:rPr>
          <w:noProof/>
        </w:rPr>
        <w:t>.</w:t>
      </w:r>
    </w:p>
    <w:p w:rsidR="00821C0B" w:rsidRPr="00BD3920" w:rsidRDefault="009D3ADB">
      <w:pPr>
        <w:rPr>
          <w:noProof/>
        </w:rPr>
      </w:pPr>
      <w:r w:rsidRPr="00BD3920">
        <w:rPr>
          <w:noProof/>
        </w:rPr>
        <w:t>Прилага се от 1 януари 2016 г.</w:t>
      </w:r>
    </w:p>
    <w:p w:rsidR="00821C0B" w:rsidRPr="00BD3920" w:rsidRDefault="009D3ADB">
      <w:pPr>
        <w:pStyle w:val="Applicationdirecte"/>
        <w:rPr>
          <w:noProof/>
        </w:rPr>
      </w:pPr>
      <w:r w:rsidRPr="00BD3920"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 w:rsidR="00821C0B" w:rsidRPr="00BD3920" w:rsidRDefault="00BD3920" w:rsidP="00BD3920">
      <w:pPr>
        <w:pStyle w:val="Fait"/>
        <w:rPr>
          <w:noProof/>
        </w:rPr>
      </w:pPr>
      <w:r w:rsidRPr="00BD3920">
        <w:t xml:space="preserve">Съставено в Брюксел на </w:t>
      </w:r>
      <w:r w:rsidRPr="00BD3920">
        <w:rPr>
          <w:rStyle w:val="Marker2"/>
        </w:rPr>
        <w:t>[…]</w:t>
      </w:r>
      <w:r w:rsidRPr="00BD3920">
        <w:t xml:space="preserve"> година.</w:t>
      </w:r>
    </w:p>
    <w:p w:rsidR="00821C0B" w:rsidRPr="00BD3920" w:rsidRDefault="009D3ADB">
      <w:pPr>
        <w:pStyle w:val="Institutionquisigne"/>
        <w:rPr>
          <w:noProof/>
        </w:rPr>
      </w:pPr>
      <w:r w:rsidRPr="00BD3920">
        <w:rPr>
          <w:noProof/>
        </w:rPr>
        <w:tab/>
      </w:r>
      <w:r w:rsidRPr="00BD3920">
        <w:rPr>
          <w:noProof/>
        </w:rPr>
        <w:t>За Съвета</w:t>
      </w:r>
    </w:p>
    <w:p w:rsidR="00821C0B" w:rsidRPr="00BD3920" w:rsidRDefault="009D3ADB">
      <w:pPr>
        <w:pStyle w:val="Personnequisigne"/>
        <w:rPr>
          <w:noProof/>
        </w:rPr>
      </w:pPr>
      <w:r w:rsidRPr="00BD3920">
        <w:rPr>
          <w:noProof/>
        </w:rPr>
        <w:tab/>
        <w:t>Председател</w:t>
      </w:r>
    </w:p>
    <w:sectPr w:rsidR="00821C0B" w:rsidRPr="00BD3920" w:rsidSect="00BD3920"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DB" w:rsidRDefault="009D3ADB">
      <w:pPr>
        <w:spacing w:before="0" w:after="0"/>
      </w:pPr>
      <w:r>
        <w:separator/>
      </w:r>
    </w:p>
  </w:endnote>
  <w:endnote w:type="continuationSeparator" w:id="0">
    <w:p w:rsidR="009D3ADB" w:rsidRDefault="009D3A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0B" w:rsidRPr="00BD3920" w:rsidRDefault="00BD3920" w:rsidP="00BD3920">
    <w:pPr>
      <w:pStyle w:val="Footer"/>
      <w:rPr>
        <w:rFonts w:ascii="Arial" w:hAnsi="Arial" w:cs="Arial"/>
        <w:b/>
        <w:sz w:val="48"/>
      </w:rPr>
    </w:pPr>
    <w:r w:rsidRPr="00BD3920">
      <w:rPr>
        <w:rFonts w:ascii="Arial" w:hAnsi="Arial" w:cs="Arial"/>
        <w:b/>
        <w:sz w:val="48"/>
      </w:rPr>
      <w:t>BG</w:t>
    </w:r>
    <w:r w:rsidRPr="00BD3920">
      <w:rPr>
        <w:rFonts w:ascii="Arial" w:hAnsi="Arial" w:cs="Arial"/>
        <w:b/>
        <w:sz w:val="48"/>
      </w:rPr>
      <w:tab/>
    </w:r>
    <w:r w:rsidRPr="00BD392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BD3920">
      <w:tab/>
    </w:r>
    <w:r w:rsidRPr="00BD3920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Footer"/>
      <w:rPr>
        <w:rFonts w:ascii="Arial" w:hAnsi="Arial" w:cs="Arial"/>
        <w:b/>
        <w:sz w:val="48"/>
      </w:rPr>
    </w:pPr>
    <w:r w:rsidRPr="00BD3920">
      <w:rPr>
        <w:rFonts w:ascii="Arial" w:hAnsi="Arial" w:cs="Arial"/>
        <w:b/>
        <w:sz w:val="48"/>
      </w:rPr>
      <w:t>BG</w:t>
    </w:r>
    <w:r w:rsidRPr="00BD392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BD3920">
      <w:tab/>
    </w:r>
    <w:r w:rsidRPr="00BD3920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DB" w:rsidRDefault="009D3ADB">
      <w:pPr>
        <w:spacing w:before="0" w:after="0"/>
      </w:pPr>
      <w:r>
        <w:separator/>
      </w:r>
    </w:p>
  </w:footnote>
  <w:footnote w:type="continuationSeparator" w:id="0">
    <w:p w:rsidR="009D3ADB" w:rsidRDefault="009D3ADB">
      <w:pPr>
        <w:spacing w:before="0" w:after="0"/>
      </w:pPr>
      <w:r>
        <w:continuationSeparator/>
      </w:r>
    </w:p>
  </w:footnote>
  <w:footnote w:id="1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 xml:space="preserve">Препоръка </w:t>
      </w:r>
      <w:r>
        <w:t>GFCM</w:t>
      </w:r>
      <w:r w:rsidRPr="00BD3920">
        <w:rPr>
          <w:lang w:val="ru-RU"/>
        </w:rPr>
        <w:t>/39/2015/3 за определяне на набор от мерки за предотвратяване, възпиране и премахване на ННН риболова на калкан в Черно море, приета от Генералната комисия по рибарство за Средиземно море (</w:t>
      </w:r>
      <w:r>
        <w:t>GFCM</w:t>
      </w:r>
      <w:r w:rsidRPr="00BD3920">
        <w:rPr>
          <w:lang w:val="ru-RU"/>
        </w:rPr>
        <w:t xml:space="preserve">) </w:t>
      </w:r>
      <w:r w:rsidRPr="00BD3920">
        <w:rPr>
          <w:lang w:val="ru-RU"/>
        </w:rPr>
        <w:t>на нейното 39-о заседание (Милано, май 2015</w:t>
      </w:r>
      <w:r>
        <w:t> </w:t>
      </w:r>
      <w:r w:rsidRPr="00BD3920">
        <w:rPr>
          <w:lang w:val="ru-RU"/>
        </w:rPr>
        <w:t>г.).</w:t>
      </w:r>
    </w:p>
  </w:footnote>
  <w:footnote w:id="2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 xml:space="preserve">Препоръка </w:t>
      </w:r>
      <w:r>
        <w:t>GFCM</w:t>
      </w:r>
      <w:r w:rsidRPr="00BD3920">
        <w:rPr>
          <w:lang w:val="ru-RU"/>
        </w:rPr>
        <w:t>/39/2015/4 за определяне на набор управленски мерки за черноморската бодлива акула в Черно море, приета от Генералната комисия по рибарство в Средиземно море (</w:t>
      </w:r>
      <w:r>
        <w:t>GFCM</w:t>
      </w:r>
      <w:r w:rsidRPr="00BD3920">
        <w:rPr>
          <w:lang w:val="ru-RU"/>
        </w:rPr>
        <w:t xml:space="preserve">) на нейното 39-о заседание </w:t>
      </w:r>
      <w:r w:rsidRPr="00BD3920">
        <w:rPr>
          <w:lang w:val="ru-RU"/>
        </w:rPr>
        <w:t>(Милано, май 2015</w:t>
      </w:r>
      <w:r>
        <w:t> </w:t>
      </w:r>
      <w:r w:rsidRPr="00BD3920">
        <w:rPr>
          <w:lang w:val="ru-RU"/>
        </w:rPr>
        <w:t>г.).</w:t>
      </w:r>
    </w:p>
  </w:footnote>
  <w:footnote w:id="3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 xml:space="preserve">ОВ </w:t>
      </w:r>
      <w:r>
        <w:t>L</w:t>
      </w:r>
      <w:r w:rsidRPr="00BD3920">
        <w:rPr>
          <w:lang w:val="ru-RU"/>
        </w:rPr>
        <w:t xml:space="preserve"> 19, 19.1.2015 г., стр. 1.</w:t>
      </w:r>
    </w:p>
  </w:footnote>
  <w:footnote w:id="4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</w:r>
      <w:r>
        <w:t>O</w:t>
      </w:r>
      <w:r w:rsidRPr="00BD3920">
        <w:rPr>
          <w:lang w:val="ru-RU"/>
        </w:rPr>
        <w:t xml:space="preserve">В </w:t>
      </w:r>
      <w:r>
        <w:t>L </w:t>
      </w:r>
      <w:r w:rsidRPr="00BD3920">
        <w:rPr>
          <w:lang w:val="ru-RU"/>
        </w:rPr>
        <w:t>78, 20.3.2013</w:t>
      </w:r>
      <w:r>
        <w:t> </w:t>
      </w:r>
      <w:r w:rsidRPr="00BD3920">
        <w:rPr>
          <w:lang w:val="ru-RU"/>
        </w:rPr>
        <w:t>г., стр.</w:t>
      </w:r>
      <w:r>
        <w:t> </w:t>
      </w:r>
      <w:r w:rsidRPr="00BD3920">
        <w:rPr>
          <w:lang w:val="ru-RU"/>
        </w:rPr>
        <w:t>1.</w:t>
      </w:r>
    </w:p>
  </w:footnote>
  <w:footnote w:id="5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>Регламент (ЕС) №</w:t>
      </w:r>
      <w:r>
        <w:t> </w:t>
      </w:r>
      <w:r w:rsidRPr="00BD3920">
        <w:rPr>
          <w:lang w:val="ru-RU"/>
        </w:rPr>
        <w:t>2015/106 на Съвета от 19</w:t>
      </w:r>
      <w:r>
        <w:t> </w:t>
      </w:r>
      <w:r w:rsidRPr="00BD3920">
        <w:rPr>
          <w:lang w:val="ru-RU"/>
        </w:rPr>
        <w:t>януари 2015 г. за определяне на възможностите за риболов на определени рибни запаси и групи рибни запаси за 2015</w:t>
      </w:r>
      <w:r>
        <w:t> </w:t>
      </w:r>
      <w:r w:rsidRPr="00BD3920">
        <w:rPr>
          <w:lang w:val="ru-RU"/>
        </w:rPr>
        <w:t>г. в Черно</w:t>
      </w:r>
      <w:r w:rsidRPr="00BD3920">
        <w:rPr>
          <w:lang w:val="ru-RU"/>
        </w:rPr>
        <w:t xml:space="preserve"> море,</w:t>
      </w:r>
    </w:p>
  </w:footnote>
  <w:footnote w:id="6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 xml:space="preserve">Регламент (ЕО) № 847/96 на Съвета от 6 май 1996 г. относно определяне на допълнителните условия за годишното управление на допустимите количества улов и на квотите (ОВ </w:t>
      </w:r>
      <w:r>
        <w:t>L</w:t>
      </w:r>
      <w:r w:rsidRPr="00BD3920">
        <w:rPr>
          <w:lang w:val="ru-RU"/>
        </w:rPr>
        <w:t xml:space="preserve"> 115, 9.5.1996 г., стр. 3).</w:t>
      </w:r>
    </w:p>
  </w:footnote>
  <w:footnote w:id="7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>Регламент (ЕС) № 1380/2013 на Европейския парлам</w:t>
      </w:r>
      <w:r w:rsidRPr="00BD3920">
        <w:rPr>
          <w:lang w:val="ru-RU"/>
        </w:rPr>
        <w:t xml:space="preserve">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</w:t>
      </w:r>
      <w:r w:rsidRPr="00BD3920">
        <w:rPr>
          <w:lang w:val="ru-RU"/>
        </w:rPr>
        <w:t xml:space="preserve">на Съвета (ОВ </w:t>
      </w:r>
      <w:r>
        <w:t>L </w:t>
      </w:r>
      <w:r w:rsidRPr="00BD3920">
        <w:rPr>
          <w:lang w:val="ru-RU"/>
        </w:rPr>
        <w:t>354, 28.12.2013 г., стр. 22).</w:t>
      </w:r>
    </w:p>
  </w:footnote>
  <w:footnote w:id="8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>Регламент (ЕО) № 1224/2009 на Съвета от 20 ноември 2009</w:t>
      </w:r>
      <w:r>
        <w:t> </w:t>
      </w:r>
      <w:r w:rsidRPr="00BD3920">
        <w:rPr>
          <w:lang w:val="ru-RU"/>
        </w:rPr>
        <w:t xml:space="preserve">г. за създаване на система за контрол на Общността за гарантиране на спазването на правилата на общата политика в областта на рибарството, за изменение </w:t>
      </w:r>
      <w:r w:rsidRPr="00BD3920">
        <w:rPr>
          <w:lang w:val="ru-RU"/>
        </w:rPr>
        <w:t>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</w:t>
      </w:r>
      <w:r w:rsidRPr="00BD3920">
        <w:rPr>
          <w:lang w:val="ru-RU"/>
        </w:rPr>
        <w:t xml:space="preserve">847/93, (ЕО) № 1627/94 и (ЕО) № 1966/2006 (ОВ </w:t>
      </w:r>
      <w:r>
        <w:t>L</w:t>
      </w:r>
      <w:r w:rsidRPr="00BD3920">
        <w:rPr>
          <w:lang w:val="ru-RU"/>
        </w:rPr>
        <w:t xml:space="preserve"> 343, 22.12.2009</w:t>
      </w:r>
      <w:r>
        <w:t> </w:t>
      </w:r>
      <w:r w:rsidRPr="00BD3920">
        <w:rPr>
          <w:lang w:val="ru-RU"/>
        </w:rPr>
        <w:t>г., стр. 1).</w:t>
      </w:r>
    </w:p>
  </w:footnote>
  <w:footnote w:id="9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 xml:space="preserve">Регламент (ЕО) № 847/96 на Съвета от 6 май 1996 г. относно определяне на допълнителните условия за годишното управление на допустимите количества улов и на квотите (ОВ </w:t>
      </w:r>
      <w:r>
        <w:t>L</w:t>
      </w:r>
      <w:r w:rsidRPr="00BD3920">
        <w:rPr>
          <w:lang w:val="ru-RU"/>
        </w:rPr>
        <w:t xml:space="preserve"> 115, 9.</w:t>
      </w:r>
      <w:r w:rsidRPr="00BD3920">
        <w:rPr>
          <w:lang w:val="ru-RU"/>
        </w:rPr>
        <w:t>5.1996 г., стр. 3).</w:t>
      </w:r>
    </w:p>
  </w:footnote>
  <w:footnote w:id="10">
    <w:p w:rsidR="00821C0B" w:rsidRPr="00BD3920" w:rsidRDefault="009D3A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3920">
        <w:rPr>
          <w:lang w:val="ru-RU"/>
        </w:rPr>
        <w:tab/>
        <w:t>Регламент (ЕС) №</w:t>
      </w:r>
      <w:r>
        <w:t> </w:t>
      </w:r>
      <w:r w:rsidRPr="00BD3920">
        <w:rPr>
          <w:lang w:val="ru-RU"/>
        </w:rPr>
        <w:t>1343/2011 на Европейския парламент и на Съвета от 13 декември 2011</w:t>
      </w:r>
      <w:r>
        <w:t> </w:t>
      </w:r>
      <w:r w:rsidRPr="00BD3920">
        <w:rPr>
          <w:lang w:val="ru-RU"/>
        </w:rPr>
        <w:t xml:space="preserve">г. относно определени разпоредби за риболова в зоната по Споразумението за </w:t>
      </w:r>
      <w:r>
        <w:t>GFCM</w:t>
      </w:r>
      <w:r w:rsidRPr="00BD3920">
        <w:rPr>
          <w:lang w:val="ru-RU"/>
        </w:rPr>
        <w:t xml:space="preserve"> (Генералната комисия по рибарство в Средиземно море) и за изменение на</w:t>
      </w:r>
      <w:r w:rsidRPr="00BD3920">
        <w:rPr>
          <w:lang w:val="ru-RU"/>
        </w:rPr>
        <w:t xml:space="preserve"> Регламент (ЕО) № 1967/2006 на Съвета относно мерките за управление на устойчивата експлоатация на рибните ресурси в Средиземно море (ОВ </w:t>
      </w:r>
      <w:r>
        <w:t>L </w:t>
      </w:r>
      <w:r w:rsidRPr="00BD3920">
        <w:rPr>
          <w:lang w:val="ru-RU"/>
        </w:rPr>
        <w:t>347, 30.12.2011</w:t>
      </w:r>
      <w:r>
        <w:t> </w:t>
      </w:r>
      <w:r w:rsidRPr="00BD3920">
        <w:rPr>
          <w:lang w:val="ru-RU"/>
        </w:rPr>
        <w:t>г., стр.</w:t>
      </w:r>
      <w:r>
        <w:t> </w:t>
      </w:r>
      <w:r w:rsidRPr="00BD3920">
        <w:rPr>
          <w:lang w:val="ru-RU"/>
        </w:rPr>
        <w:t>44).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0" w:rsidRPr="00BD3920" w:rsidRDefault="00BD3920" w:rsidP="00BD3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BDC7B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838DD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407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EA052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F04B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DE446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2">
    <w:nsid w:val="6D2B5511"/>
    <w:multiLevelType w:val="singleLevel"/>
    <w:tmpl w:val="74A09970"/>
    <w:name w:val="0,1019207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0"/>
  </w:num>
  <w:num w:numId="16">
    <w:abstractNumId w:val="13"/>
  </w:num>
  <w:num w:numId="17">
    <w:abstractNumId w:val="8"/>
  </w:num>
  <w:num w:numId="18">
    <w:abstractNumId w:val="19"/>
  </w:num>
  <w:num w:numId="19">
    <w:abstractNumId w:val="7"/>
  </w:num>
  <w:num w:numId="20">
    <w:abstractNumId w:val="14"/>
  </w:num>
  <w:num w:numId="21">
    <w:abstractNumId w:val="16"/>
  </w:num>
  <w:num w:numId="22">
    <w:abstractNumId w:val="17"/>
  </w:num>
  <w:num w:numId="23">
    <w:abstractNumId w:val="9"/>
  </w:num>
  <w:num w:numId="24">
    <w:abstractNumId w:val="15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cil" w:val="true"/>
    <w:docVar w:name="COVERPAGE_EXISTS" w:val="True"/>
    <w:docVar w:name="CoverPageOnWordDoc" w:val="false"/>
    <w:docVar w:name="dgnword-docGUID" w:val="{636948C9-E9AE-4FEF-937C-122100F62CFD}"/>
    <w:docVar w:name="dgnword-eventsink" w:val="108889112"/>
    <w:docVar w:name="DocuWriteMetaData" w:val="&lt;metadataset docuwriteversion=&quot;2.5.3&quot; technicalblockguid=&quot;19931ae8-f4bd-4105-b361-35c7dc4de4e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5&quot; text=&quot;PROPOSAL&quot; /&gt;_x000d__x000a_    &lt;/basicdatatype&gt;_x000d__x000a_  &lt;/metadata&gt;_x000d__x000a_  &lt;metadata key=&quot;md_HeadingText&quot;&gt;_x000d__x000a_    &lt;xaml text=&quot;PROPOSAL&quot;&gt;&amp;lt;FlowDocument xmlns=&quot;http://schemas.microsoft.com/winfx/2006/xaml/presentation&quot;&amp;gt;&amp;lt;Paragraph&amp;gt;PROPOSAL&amp;lt;/Paragraph&amp;gt;&amp;lt;/FlowDocument&amp;gt;&lt;/xaml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3-11-27&lt;/text&gt;_x000d__x000a_  &lt;/metadata&gt;_x000d__x000a_  &lt;metadata key=&quot;md_Prefix&quot;&gt;_x000d__x000a_    &lt;text&gt;&lt;/text&gt;_x000d__x000a_  &lt;/metadata&gt;_x000d__x000a_  &lt;metadata key=&quot;md_DocumentNumber&quot;&gt;_x000d__x000a_    &lt;text&gt;16675&lt;/text&gt;_x000d__x000a_  &lt;/metadata&gt;_x000d__x000a_  &lt;metadata key=&quot;md_YearDocumentNumber&quot;&gt;_x000d__x000a_    &lt;text&gt;2013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ECHE 55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3/0405 (NLE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1&quot; text=&quot;Secretary-General of the European Commission, signed by Mr Jordi AYET PUIGARNAU, Director&quot; /&gt;_x000d__x000a_    &lt;/basicdatatype&gt;_x000d__x000a_  &lt;/metadata&gt;_x000d__x000a_  &lt;metadata key=&quot;md_Recipient&quot;&gt;_x000d__x000a_    &lt;basicdatatype&gt;_x000d__x000a_      &lt;recipient key=&quot;re_02&quot; text=&quot;Mr Uwe CORSEPIUS, Secretary-General of the Council of the European Union&quot; /&gt;_x000d__x000a_    &lt;/basicdatatype&gt;_x000d__x000a_  &lt;/metadata&gt;_x000d__x000a_  &lt;metadata key=&quot;md_DateOfReceipt&quot;&gt;_x000d__x000a_    &lt;text&gt;2013-11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13) 818 final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fixing for 2014 the fishing opportunities for certain fish stocks and groups of fish stocks in the Black Sea&quot;&gt;&amp;lt;FlowDocument FontFamily=&quot;Times New Roman&quot; AllowDrop=&quot;False&quot; NumberSubstitution.CultureSource=&quot;User&quot; xmlns=&quot;http://schemas.microsoft.com/winfx/2006/xaml/presentation&quot;&amp;gt;&amp;lt;Paragraph&amp;gt;Proposal for a COUNCIL REGULATION fixing for 2014 the fishing opportunities for certain fish stocks and groups of fish stocks in the Black Sea&amp;lt;/Paragraph&amp;gt;&amp;lt;/FlowDocument&amp;gt;&lt;/xaml&gt;_x000d__x000a_  &lt;/metadata&gt;_x000d__x000a_  &lt;metadata key=&quot;md_SubjectFootnote&quot; /&gt;_x000d__x000a_  &lt;metadata key=&quot;md_DG&quot;&gt;_x000d__x000a_    &lt;text&gt;DGB 3A&lt;/text&gt;_x000d__x000a_  &lt;/metadata&gt;_x000d__x000a_  &lt;metadata key=&quot;md_Initials&quot;&gt;_x000d__x000a_    &lt;text&gt;KSH/z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Proposal for a _x000d__x000a_COUNCIL REGULATION&lt;/text&gt;_x000d__x000a_  &lt;/metadata&gt;_x000d__x000a_  &lt;metadata key=&quot;md_SourceDocTitle&quot;&gt;_x000d__x000a_    &lt;text&gt;fixing for 2014 the fishing opportunities for certain fish stocks and groups of fish stocks in the Black Sea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&lt;/metadataset&gt;"/>
    <w:docVar w:name="DQCDateTime" w:val="2015-11-16 11:51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2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A9091410891D48B7844A002C6C6AB386"/>
    <w:docVar w:name="LW_CROSSREFERENCE" w:val="&lt;UNUSED&gt;"/>
    <w:docVar w:name="LW_DocType" w:val="COM"/>
    <w:docVar w:name="LW_EMISSION" w:val="24.11.2015"/>
    <w:docVar w:name="LW_EMISSION_ISODATE" w:val="2015-11-24"/>
    <w:docVar w:name="LW_EMISSION_LOCATION" w:val="BRX"/>
    <w:docVar w:name="LW_EMISSION_PREFIX" w:val="\u1041?\u1088?\u1102?\u1082?\u1089?\u1077?\u1083?,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64"/>
    <w:docVar w:name="LW_REF.II.NEW.CP_YEAR" w:val="2015"/>
    <w:docVar w:name="LW_REF.INST.NEW" w:val="COM"/>
    <w:docVar w:name="LW_REF.INST.NEW_ADOPTED" w:val="final"/>
    <w:docVar w:name="LW_REF.INST.NEW_TEXT" w:val="(2015) 57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7?\u1076?\u1077?\u1083?\u1103?\u1085?\u1077? \u1085?\u1072? \u1074?\u1098?\u1079?\u1084?\u1086?\u1078?\u1085?\u1086?\u1089?\u1090?\u1080?\u1090?\u1077? \u1079?\u1072? \u1088?\u1080?\u1073?\u1086?\u1083?\u1086?\u1074? \u1079?\u1072? \u1085?\u1103?\u1082?\u1086?\u1080? \u1088?\u1080?\u1073?\u1085?\u1080? \u1079?\u1072?\u1087?\u1072?\u1089?\u1080? \u1074? \u1063?\u1077?\u1088?\u1085?\u1086? \u1084?\u1086?\u1088?\u1077? \u1079?\u1072? 2016 \u1075?\u1086?\u1076?\u1080?\u1085?\u1072? "/>
    <w:docVar w:name="LW_TYPE.DOC.CP" w:val="\u1056?\u1045?\u1043?\u1051?\u1040?\u1052?\u1045?\u1053?\u1058? \u1053?\u1040? \u1057?\u1066?\u1042?\u1045?\u1058?\u1040?"/>
  </w:docVars>
  <w:rsids>
    <w:rsidRoot w:val="00821C0B"/>
    <w:rsid w:val="00821C0B"/>
    <w:rsid w:val="009D3ADB"/>
    <w:rsid w:val="00B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2"/>
      <w:lang w:val="bg-BG" w:eastAsia="bg-BG" w:bidi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</w:pPr>
  </w:style>
  <w:style w:type="paragraph" w:customStyle="1" w:styleId="ListDash">
    <w:name w:val="List Dash"/>
    <w:basedOn w:val="Normal"/>
    <w:pPr>
      <w:numPr>
        <w:numId w:val="2"/>
      </w:numPr>
    </w:pPr>
  </w:style>
  <w:style w:type="paragraph" w:customStyle="1" w:styleId="ListBullet1">
    <w:name w:val="List Bullet 1"/>
    <w:basedOn w:val="Normal"/>
    <w:pPr>
      <w:numPr>
        <w:numId w:val="3"/>
      </w:numPr>
    </w:p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Bullet3">
    <w:name w:val="List Bullet 3"/>
    <w:basedOn w:val="Normal"/>
    <w:pPr>
      <w:numPr>
        <w:numId w:val="5"/>
      </w:numPr>
      <w:contextualSpacing/>
    </w:pPr>
  </w:style>
  <w:style w:type="paragraph" w:styleId="ListBullet4">
    <w:name w:val="List Bullet 4"/>
    <w:basedOn w:val="Normal"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TableofFigures">
    <w:name w:val="table of figures"/>
    <w:basedOn w:val="Normal"/>
    <w:next w:val="Normal"/>
  </w:style>
  <w:style w:type="paragraph" w:styleId="ListNumber">
    <w:name w:val="List Number"/>
    <w:basedOn w:val="Normal"/>
    <w:pPr>
      <w:numPr>
        <w:numId w:val="7"/>
      </w:numPr>
      <w:contextualSpacing/>
    </w:pPr>
  </w:style>
  <w:style w:type="paragraph" w:styleId="ListNumber2">
    <w:name w:val="List Number 2"/>
    <w:basedOn w:val="Normal"/>
    <w:pPr>
      <w:numPr>
        <w:numId w:val="8"/>
      </w:numPr>
      <w:contextualSpacing/>
    </w:pPr>
  </w:style>
  <w:style w:type="paragraph" w:styleId="ListNumber3">
    <w:name w:val="List Number 3"/>
    <w:basedOn w:val="Normal"/>
    <w:pPr>
      <w:numPr>
        <w:numId w:val="9"/>
      </w:numPr>
      <w:contextualSpacing/>
    </w:pPr>
  </w:style>
  <w:style w:type="paragraph" w:styleId="ListNumber4">
    <w:name w:val="List Number 4"/>
    <w:basedOn w:val="Normal"/>
    <w:pPr>
      <w:numPr>
        <w:numId w:val="10"/>
      </w:numPr>
      <w:contextualSpacing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pPr>
      <w:spacing w:after="200" w:line="276" w:lineRule="auto"/>
    </w:pPr>
    <w:rPr>
      <w:sz w:val="24"/>
      <w:szCs w:val="24"/>
      <w:lang w:val="bg-BG" w:eastAsia="bg-BG" w:bidi="bg-BG"/>
    </w:rPr>
  </w:style>
  <w:style w:type="paragraph" w:customStyle="1" w:styleId="TechnicalBlock">
    <w:name w:val="Technical Block"/>
    <w:basedOn w:val="Normal"/>
    <w:link w:val="TechnicalBlockChar"/>
    <w:pPr>
      <w:jc w:val="center"/>
    </w:pPr>
    <w:rPr>
      <w:noProof/>
    </w:rPr>
  </w:style>
  <w:style w:type="character" w:customStyle="1" w:styleId="TechnicalBlockChar">
    <w:name w:val="Technical Block Char"/>
    <w:link w:val="TechnicalBlock"/>
    <w:rPr>
      <w:noProof/>
      <w:sz w:val="24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  <w:szCs w:val="24"/>
    </w:rPr>
  </w:style>
  <w:style w:type="paragraph" w:customStyle="1" w:styleId="EntText">
    <w:name w:val="EntText"/>
    <w:basedOn w:val="Normal"/>
    <w:pPr>
      <w:spacing w:line="360" w:lineRule="auto"/>
      <w:jc w:val="left"/>
    </w:pPr>
    <w:rPr>
      <w:szCs w:val="24"/>
    </w:rPr>
  </w:style>
  <w:style w:type="paragraph" w:customStyle="1" w:styleId="pj">
    <w:name w:val="p.j."/>
    <w:basedOn w:val="Normal"/>
    <w:link w:val="pjChar"/>
    <w:pPr>
      <w:spacing w:before="1200"/>
      <w:ind w:left="1440" w:hanging="1440"/>
      <w:jc w:val="left"/>
    </w:pPr>
  </w:style>
  <w:style w:type="character" w:customStyle="1" w:styleId="pjChar">
    <w:name w:val="p.j. Char"/>
    <w:link w:val="pj"/>
    <w:rPr>
      <w:noProof/>
      <w:sz w:val="24"/>
    </w:rPr>
  </w:style>
  <w:style w:type="paragraph" w:customStyle="1" w:styleId="HeaderCouncil">
    <w:name w:val="Header Council"/>
    <w:basedOn w:val="Normal"/>
    <w:link w:val="HeaderCouncilChar"/>
    <w:pPr>
      <w:spacing w:before="0" w:after="0"/>
    </w:pPr>
    <w:rPr>
      <w:noProof/>
      <w:sz w:val="2"/>
    </w:rPr>
  </w:style>
  <w:style w:type="character" w:customStyle="1" w:styleId="HeaderCouncilChar">
    <w:name w:val="Header Council Char"/>
    <w:link w:val="HeaderCouncil"/>
    <w:rPr>
      <w:noProof/>
      <w:sz w:val="2"/>
    </w:rPr>
  </w:style>
  <w:style w:type="paragraph" w:customStyle="1" w:styleId="HeaderCouncilLarge">
    <w:name w:val="Header Council Large"/>
    <w:basedOn w:val="Normal"/>
    <w:link w:val="HeaderCouncilLargeChar"/>
    <w:pPr>
      <w:spacing w:before="0" w:after="440"/>
    </w:pPr>
    <w:rPr>
      <w:noProof/>
      <w:sz w:val="2"/>
    </w:rPr>
  </w:style>
  <w:style w:type="character" w:customStyle="1" w:styleId="HeaderCouncilLargeChar">
    <w:name w:val="Header Council Large Char"/>
    <w:link w:val="HeaderCouncilLarge"/>
    <w:rPr>
      <w:noProof/>
      <w:sz w:val="2"/>
    </w:rPr>
  </w:style>
  <w:style w:type="paragraph" w:customStyle="1" w:styleId="FooterCouncil">
    <w:name w:val="Footer Council"/>
    <w:basedOn w:val="Normal"/>
    <w:link w:val="FooterCouncilChar"/>
    <w:pPr>
      <w:spacing w:before="0" w:after="0"/>
    </w:pPr>
    <w:rPr>
      <w:noProof/>
      <w:sz w:val="2"/>
    </w:rPr>
  </w:style>
  <w:style w:type="character" w:customStyle="1" w:styleId="FooterCouncilChar">
    <w:name w:val="Footer Council Char"/>
    <w:link w:val="FooterCouncil"/>
    <w:rPr>
      <w:noProof/>
      <w:sz w:val="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pPr>
      <w:spacing w:before="0" w:after="0"/>
      <w:jc w:val="left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BD3920"/>
    <w:pPr>
      <w:tabs>
        <w:tab w:val="center" w:pos="4535"/>
        <w:tab w:val="right" w:pos="9071"/>
      </w:tabs>
      <w:spacing w:before="0"/>
    </w:pPr>
    <w:rPr>
      <w:rFonts w:eastAsia="Calibri"/>
      <w:lang w:eastAsia="en-US" w:bidi="ar-SA"/>
    </w:rPr>
  </w:style>
  <w:style w:type="character" w:customStyle="1" w:styleId="HeaderChar">
    <w:name w:val="Header Char"/>
    <w:link w:val="Header"/>
    <w:uiPriority w:val="99"/>
    <w:rsid w:val="00BD3920"/>
    <w:rPr>
      <w:rFonts w:eastAsia="Calibri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eastAsia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eastAsia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D3920"/>
    <w:pPr>
      <w:tabs>
        <w:tab w:val="center" w:pos="7285"/>
        <w:tab w:val="right" w:pos="14003"/>
      </w:tabs>
      <w:spacing w:before="0"/>
    </w:pPr>
    <w:rPr>
      <w:rFonts w:eastAsia="Calibr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24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490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3308">
                                          <w:marLeft w:val="450"/>
                                          <w:marRight w:val="4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112449"/>
                                            <w:left w:val="single" w:sz="6" w:space="8" w:color="112449"/>
                                            <w:bottom w:val="single" w:sz="6" w:space="8" w:color="112449"/>
                                            <w:right w:val="single" w:sz="6" w:space="8" w:color="11244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C78A-D250-4422-A285-65E96883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12</Pages>
  <Words>3044</Words>
  <Characters>17138</Characters>
  <Application>Microsoft Office Word</Application>
  <DocSecurity>0</DocSecurity>
  <Lines>349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LAGES CARVALHO Patrick (SG)</cp:lastModifiedBy>
  <cp:revision>18</cp:revision>
  <cp:lastPrinted>2015-10-08T13:54:00Z</cp:lastPrinted>
  <dcterms:created xsi:type="dcterms:W3CDTF">2015-11-05T09:25:00Z</dcterms:created>
  <dcterms:modified xsi:type="dcterms:W3CDTF">2015-11-16T11:30:00Z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5.8.64.0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DocuWrite 2.5.3, Build 20131115</vt:lpwstr>
  </property>
  <property fmtid="{D5CDD505-2E9C-101B-9397-08002B2CF9AE}" pid="7" name="LWTemplateID">
    <vt:lpwstr>SJ-016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_NewReviewCycle">
    <vt:lpwstr/>
  </property>
  <property fmtid="{D5CDD505-2E9C-101B-9397-08002B2CF9AE}" pid="11" name="DQCStatus">
    <vt:lpwstr>Yellow (DQC version 03)</vt:lpwstr>
  </property>
</Properties>
</file>