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55C2A6175FA0422E9AFF26835EBA7886" style="width:450.4pt;height:393.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keepNext/>
        <w:tabs>
          <w:tab w:val="left" w:pos="4252"/>
        </w:tabs>
        <w:spacing w:before="720" w:after="0" w:line="240" w:lineRule="auto"/>
        <w:jc w:val="both"/>
        <w:rPr>
          <w:rFonts w:ascii="Times New Roman" w:hAnsi="Times New Roman" w:cs="Times New Roman"/>
          <w:i/>
          <w:noProof/>
          <w:sz w:val="24"/>
        </w:rPr>
      </w:pPr>
      <w:bookmarkStart w:id="1" w:name="DQCErrorScopeB4998F4F562A4C459B70D325561"/>
      <w:bookmarkStart w:id="2" w:name="_GoBack"/>
      <w:bookmarkEnd w:id="2"/>
    </w:p>
    <w:tbl>
      <w:tblPr>
        <w:tblpPr w:leftFromText="180" w:rightFromText="180" w:vertAnchor="page" w:horzAnchor="margin" w:tblpY="2656"/>
        <w:tblW w:w="9043" w:type="dxa"/>
        <w:tblLook w:val="04A0" w:firstRow="1" w:lastRow="0" w:firstColumn="1" w:lastColumn="0" w:noHBand="0" w:noVBand="1"/>
      </w:tblPr>
      <w:tblGrid>
        <w:gridCol w:w="2136"/>
        <w:gridCol w:w="2573"/>
        <w:gridCol w:w="1522"/>
        <w:gridCol w:w="2812"/>
      </w:tblGrid>
      <w:tr>
        <w:trPr>
          <w:trHeight w:val="74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bookmarkEnd w:id="1"/>
          <w:p>
            <w:pPr>
              <w:spacing w:before="120" w:after="0" w:line="240" w:lineRule="auto"/>
              <w:jc w:val="center"/>
              <w:rPr>
                <w:rFonts w:ascii="Verdana" w:eastAsia="+mn-ea" w:hAnsi="Verdana" w:cs="+mn-cs"/>
                <w:b/>
                <w:bCs/>
                <w:noProof/>
                <w:color w:val="AF3C6C"/>
                <w:sz w:val="18"/>
              </w:rPr>
            </w:pPr>
            <w:r>
              <w:rPr>
                <w:rFonts w:ascii="Verdana" w:hAnsi="Verdana"/>
                <w:b/>
                <w:noProof/>
                <w:color w:val="AF3C6C"/>
                <w:sz w:val="18"/>
              </w:rPr>
              <w:t>État membre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Verdana" w:eastAsia="+mn-ea" w:hAnsi="Verdana" w:cs="+mn-cs"/>
                <w:b/>
                <w:bCs/>
                <w:noProof/>
                <w:color w:val="AF3C6C"/>
                <w:sz w:val="18"/>
              </w:rPr>
            </w:pPr>
            <w:r>
              <w:rPr>
                <w:rFonts w:ascii="Verdana" w:hAnsi="Verdana"/>
                <w:b/>
                <w:noProof/>
                <w:color w:val="AF3C6C"/>
                <w:sz w:val="18"/>
              </w:rPr>
              <w:t>1 % du revenu national brut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Verdana" w:eastAsia="+mn-ea" w:hAnsi="Verdana" w:cs="+mn-cs"/>
                <w:b/>
                <w:bCs/>
                <w:noProof/>
                <w:color w:val="AF3C6C"/>
                <w:sz w:val="18"/>
              </w:rPr>
            </w:pPr>
            <w:r>
              <w:rPr>
                <w:rFonts w:ascii="Verdana" w:hAnsi="Verdana"/>
                <w:b/>
                <w:noProof/>
                <w:color w:val="AF3C6C"/>
                <w:sz w:val="18"/>
              </w:rPr>
              <w:t>Clé RNB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0" w:line="240" w:lineRule="auto"/>
              <w:jc w:val="center"/>
              <w:rPr>
                <w:rFonts w:ascii="Verdana" w:eastAsia="+mn-ea" w:hAnsi="Verdana" w:cs="+mn-cs"/>
                <w:b/>
                <w:bCs/>
                <w:noProof/>
                <w:color w:val="AF3C6C"/>
                <w:sz w:val="18"/>
              </w:rPr>
            </w:pPr>
            <w:r>
              <w:rPr>
                <w:rFonts w:ascii="Verdana" w:hAnsi="Verdana"/>
                <w:b/>
                <w:noProof/>
                <w:color w:val="AF3C6C"/>
                <w:sz w:val="18"/>
              </w:rPr>
              <w:t>Contribution nationale à la facilité pour la Turquie en faveur des réfugiés</w:t>
            </w:r>
          </w:p>
        </w:tc>
      </w:tr>
      <w:tr>
        <w:trPr>
          <w:trHeight w:val="207"/>
        </w:trPr>
        <w:tc>
          <w:tcPr>
            <w:tcW w:w="2136" w:type="dxa"/>
            <w:tcBorders>
              <w:left w:val="single" w:sz="4" w:space="0" w:color="auto"/>
            </w:tcBorders>
            <w:vAlign w:val="center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Belgique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4 044 908 000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2,88 %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72 055 025,81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Bulgarie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412 388 025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0,29 %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7 346 181,86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République tchèque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1 429 950 658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1,02 %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25 472 799,77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Danemark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2 691 551 852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1,92 %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47 946 662,36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Allemagne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29 998 426 500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21,38 %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534 384 810,63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Estonie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195 941 500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0,14 %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3 490 455,12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Irlande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1 605 484 000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1,14 %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28 599 708,83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Grèce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1 758 757 000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1,25 %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31 330 077,48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Espagne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10 723 591 000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7,64 %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191 027 490,92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France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21 697 735 000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15,46 %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386 518 273,19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Croatie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414 701 663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0,30 %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7 387 396,46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Italie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15 782 177 500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11,25 %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281 139 943,61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Chypre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162 048 000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0,12 %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2 886 684,40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Lettonie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245 937 500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0,18 %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4 381 071,93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Lituanie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363 756 951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0,26 %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6 479 879,52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Luxembourg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302 768 000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0,22 %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5 393 436,90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Hongrie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1 028 794 578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0,73 %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18 326 701,09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Malte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79 473 735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0,06 %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1 415 726,15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Pays-Bas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6 589 010 000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4,70 %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117 375 051,69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Autriche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3 201 701 000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2,28 %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57 034 337,54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Pologne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3 997 275 344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2,85 %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71 206 509,04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Portugal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1 708 890 500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1,22 %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30 441 767,55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Roumanie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1 517 506 692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1,08 %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27 032 502,06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Slovénie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366 916 000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0,26 %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6 536 154,06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République slovaque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737 276 500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0,53 %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13 133 667,62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Finlande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1 992 220 500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1,42 %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35 488 940,55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Suède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4 301 727 510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3,07 %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76 629 947,27 EUR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Royaume-Uni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22 990 023 751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16,38 %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tabs>
                <w:tab w:val="left" w:pos="228"/>
                <w:tab w:val="right" w:pos="2596"/>
              </w:tabs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409 538 796,60 EUR</w:t>
            </w:r>
          </w:p>
        </w:tc>
      </w:tr>
      <w:tr>
        <w:trPr>
          <w:trHeight w:val="223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 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  </w:t>
            </w:r>
          </w:p>
        </w:tc>
      </w:tr>
      <w:tr>
        <w:trPr>
          <w:trHeight w:val="382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Total  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140 340 939 259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2 500 000 000,00 EUR</w:t>
            </w:r>
          </w:p>
        </w:tc>
      </w:tr>
    </w:tbl>
    <w:p>
      <w:pPr>
        <w:spacing w:before="120" w:after="120" w:line="240" w:lineRule="auto"/>
        <w:jc w:val="both"/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de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55C2A6175FA0422E9AFF26835EBA7886"/>
    <w:docVar w:name="LW_CROSSREFERENCE" w:val="&lt;UNUSED&gt;"/>
    <w:docVar w:name="LW_DocType" w:val="NORMAL"/>
    <w:docVar w:name="LW_EMISSION" w:val="24.11.2015"/>
    <w:docVar w:name="LW_EMISSION_ISODATE" w:val="2015-11-24"/>
    <w:docVar w:name="LW_EMISSION_LOCATION" w:val="STR"/>
    <w:docVar w:name="LW_EMISSION_PREFIX" w:val="Strasbourg, le "/>
    <w:docVar w:name="LW_EMISSION_SUFFIX" w:val=" "/>
    <w:docVar w:name="LW_ID_DOCTYPE_NONLW" w:val="CP-038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relative à la coordination des actions de l'Union et des États membres au moyen d'un mécanisme de coordination - la facilité pour la Turquie en faveur des réfugiés_x000b_"/>
    <w:docVar w:name="LW_PART_NBR" w:val="1"/>
    <w:docVar w:name="LW_PART_NBR_TOTAL" w:val="1"/>
    <w:docVar w:name="LW_REF.INST.NEW" w:val="C"/>
    <w:docVar w:name="LW_REF.INST.NEW_ADOPTED" w:val="final"/>
    <w:docVar w:name="LW_REF.INST.NEW_TEXT" w:val="(2015) 9500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décision de la Commis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364</Words>
  <Characters>1280</Characters>
  <Application>Microsoft Office Word</Application>
  <DocSecurity>0</DocSecurity>
  <Lines>160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GUIHENEUF Emmanuelle (EMPL)</dc:creator>
  <cp:lastModifiedBy>DIGIT/A3</cp:lastModifiedBy>
  <cp:revision>7</cp:revision>
  <dcterms:created xsi:type="dcterms:W3CDTF">2015-11-19T18:14:00Z</dcterms:created>
  <dcterms:modified xsi:type="dcterms:W3CDTF">2015-11-30T17:17:00Z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