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21F3AB68C954ADA98F61E739E66C638" style="width:450.75pt;height:416.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2013/0246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във връзка с приемането на Директива на Европейския парламент и на Съвета относно пакетните туристически пътувания и свързаните пътнически услуги, за изменение на Регламент (ЕО) № 2006/2004 и Директива 2011/83/ЕС и за отмяна на Директива 90/314/ЕИО на Съвета</w:t>
      </w:r>
    </w:p>
    <w:p>
      <w:pPr>
        <w:pStyle w:val="ManualHeading1"/>
        <w:rPr>
          <w:rFonts w:eastAsia="Times New Roman"/>
          <w:noProof/>
          <w:sz w:val="22"/>
        </w:rPr>
      </w:pPr>
      <w:r>
        <w:rPr>
          <w:noProof/>
        </w:rPr>
        <w:t>1.</w:t>
      </w:r>
      <w:r>
        <w:rPr>
          <w:noProof/>
        </w:rPr>
        <w:tab/>
        <w:t>Контекст</w:t>
      </w:r>
    </w:p>
    <w:tbl>
      <w:tblPr>
        <w:tblW w:w="0" w:type="auto"/>
        <w:tblLayout w:type="fixed"/>
        <w:tblLook w:val="0000" w:firstRow="0" w:lastRow="0" w:firstColumn="0" w:lastColumn="0" w:noHBand="0" w:noVBand="0"/>
      </w:tblPr>
      <w:tblGrid>
        <w:gridCol w:w="6804"/>
        <w:gridCol w:w="2483"/>
      </w:tblGrid>
      <w:tr>
        <w:tc>
          <w:tcPr>
            <w:tcW w:w="6804" w:type="dxa"/>
          </w:tcPr>
          <w:p>
            <w:pPr>
              <w:jc w:val="left"/>
              <w:rPr>
                <w:rFonts w:eastAsia="Times New Roman"/>
                <w:noProof/>
              </w:rPr>
            </w:pPr>
            <w:r>
              <w:rPr>
                <w:noProof/>
              </w:rPr>
              <w:t>Дата на предаване на предложението на Европейския парламент и на Съвета</w:t>
            </w:r>
            <w:r>
              <w:rPr>
                <w:noProof/>
              </w:rPr>
              <w:br/>
              <w:t>COM(2013) 512 final, 2013/0246 (COD)</w:t>
            </w:r>
          </w:p>
        </w:tc>
        <w:tc>
          <w:tcPr>
            <w:tcW w:w="2483" w:type="dxa"/>
          </w:tcPr>
          <w:p>
            <w:pPr>
              <w:jc w:val="left"/>
              <w:rPr>
                <w:rFonts w:eastAsia="Times New Roman"/>
                <w:noProof/>
              </w:rPr>
            </w:pPr>
            <w:r>
              <w:rPr>
                <w:noProof/>
              </w:rPr>
              <w:t>9 юли 2013 г.</w:t>
            </w:r>
          </w:p>
        </w:tc>
      </w:tr>
      <w:tr>
        <w:tc>
          <w:tcPr>
            <w:tcW w:w="6804" w:type="dxa"/>
          </w:tcPr>
          <w:p>
            <w:pPr>
              <w:rPr>
                <w:rFonts w:eastAsia="Times New Roman"/>
                <w:noProof/>
              </w:rPr>
            </w:pPr>
            <w:r>
              <w:rPr>
                <w:noProof/>
              </w:rPr>
              <w:t>Дата на становището на Европейския икономически и социален комитет</w:t>
            </w:r>
            <w:r>
              <w:rPr>
                <w:noProof/>
              </w:rPr>
              <w:br/>
              <w:t>INT/710 - CES5087-2013</w:t>
            </w:r>
          </w:p>
        </w:tc>
        <w:tc>
          <w:tcPr>
            <w:tcW w:w="2483" w:type="dxa"/>
          </w:tcPr>
          <w:p>
            <w:pPr>
              <w:jc w:val="left"/>
              <w:rPr>
                <w:rFonts w:eastAsia="Times New Roman"/>
                <w:noProof/>
              </w:rPr>
            </w:pPr>
            <w:r>
              <w:rPr>
                <w:noProof/>
              </w:rPr>
              <w:t>11 декември 2013 г.</w:t>
            </w:r>
          </w:p>
        </w:tc>
      </w:tr>
      <w:tr>
        <w:tc>
          <w:tcPr>
            <w:tcW w:w="6804" w:type="dxa"/>
          </w:tcPr>
          <w:p>
            <w:pPr>
              <w:rPr>
                <w:rFonts w:eastAsia="Times New Roman"/>
                <w:noProof/>
              </w:rPr>
            </w:pPr>
            <w:r>
              <w:rPr>
                <w:noProof/>
              </w:rPr>
              <w:t>Дата на позицията на Европейския парламент на първо четене:</w:t>
            </w:r>
          </w:p>
        </w:tc>
        <w:tc>
          <w:tcPr>
            <w:tcW w:w="2483" w:type="dxa"/>
          </w:tcPr>
          <w:p>
            <w:pPr>
              <w:jc w:val="left"/>
              <w:rPr>
                <w:rFonts w:eastAsia="Times New Roman"/>
                <w:noProof/>
              </w:rPr>
            </w:pPr>
            <w:r>
              <w:rPr>
                <w:noProof/>
              </w:rPr>
              <w:t>12 март 2014 г.</w:t>
            </w:r>
          </w:p>
        </w:tc>
      </w:tr>
      <w:tr>
        <w:tc>
          <w:tcPr>
            <w:tcW w:w="6804" w:type="dxa"/>
          </w:tcPr>
          <w:p>
            <w:pPr>
              <w:rPr>
                <w:rFonts w:eastAsia="Times New Roman"/>
                <w:noProof/>
              </w:rPr>
            </w:pPr>
            <w:r>
              <w:rPr>
                <w:noProof/>
              </w:rPr>
              <w:t>Дата на предаване на измененото предложение:</w:t>
            </w:r>
          </w:p>
        </w:tc>
        <w:tc>
          <w:tcPr>
            <w:tcW w:w="2483" w:type="dxa"/>
          </w:tcPr>
          <w:p>
            <w:pPr>
              <w:jc w:val="left"/>
              <w:rPr>
                <w:rFonts w:eastAsia="Times New Roman"/>
                <w:noProof/>
              </w:rPr>
            </w:pPr>
            <w:r>
              <w:rPr>
                <w:noProof/>
              </w:rPr>
              <w:t>Не е приложимо</w:t>
            </w:r>
          </w:p>
        </w:tc>
      </w:tr>
      <w:tr>
        <w:tc>
          <w:tcPr>
            <w:tcW w:w="6804" w:type="dxa"/>
          </w:tcPr>
          <w:p>
            <w:pPr>
              <w:rPr>
                <w:rFonts w:eastAsia="Times New Roman"/>
                <w:noProof/>
              </w:rPr>
            </w:pPr>
            <w:r>
              <w:rPr>
                <w:noProof/>
              </w:rPr>
              <w:t>Дата на приемане на позицията на Съвета:</w:t>
            </w:r>
          </w:p>
        </w:tc>
        <w:tc>
          <w:tcPr>
            <w:tcW w:w="2483" w:type="dxa"/>
          </w:tcPr>
          <w:p>
            <w:pPr>
              <w:jc w:val="left"/>
              <w:rPr>
                <w:rFonts w:eastAsia="Times New Roman"/>
                <w:noProof/>
              </w:rPr>
            </w:pPr>
            <w:r>
              <w:rPr>
                <w:noProof/>
              </w:rPr>
              <w:t>18 септември 2015 г.</w:t>
            </w:r>
          </w:p>
        </w:tc>
      </w:tr>
    </w:tbl>
    <w:p>
      <w:pPr>
        <w:pStyle w:val="ManualHeading1"/>
        <w:rPr>
          <w:rFonts w:eastAsia="Times New Roman"/>
          <w:noProof/>
        </w:rPr>
      </w:pPr>
      <w:r>
        <w:rPr>
          <w:noProof/>
        </w:rPr>
        <w:t>2.</w:t>
      </w:r>
      <w:r>
        <w:rPr>
          <w:noProof/>
        </w:rPr>
        <w:tab/>
        <w:t>Цел на предложението на Комисията</w:t>
      </w:r>
    </w:p>
    <w:p>
      <w:pPr>
        <w:spacing w:before="100" w:beforeAutospacing="1"/>
        <w:rPr>
          <w:rFonts w:eastAsia="Times New Roman"/>
          <w:noProof/>
        </w:rPr>
      </w:pPr>
      <w:r>
        <w:rPr>
          <w:noProof/>
        </w:rPr>
        <w:t xml:space="preserve">С предложението се цели осъвременяване на правилата относно пакетните туристически пътувания, съдържащи се понастоящем в Директива 90/314/ЕИО. Включването на индивидуализирани комбинации от пътнически услуги, по-специално тези, закупени онлайн, в обхвата на новата директива следва да повиши правната сигурност и прозрачност както за пътуващите, така и за предприятията, да намали загубите за потребителите, свързани с такива комбинации, и да осигури по-лоялна конкуренция между туристическите предприятия. </w:t>
      </w:r>
    </w:p>
    <w:p>
      <w:pPr>
        <w:spacing w:before="100" w:beforeAutospacing="1"/>
        <w:rPr>
          <w:rFonts w:eastAsia="Times New Roman"/>
          <w:noProof/>
        </w:rPr>
      </w:pPr>
      <w:r>
        <w:rPr>
          <w:noProof/>
        </w:rPr>
        <w:t xml:space="preserve">Определянето на комбинации от пътнически услуги като туристически пакети, предоставящи пълна защита, за разлика от свързаните пътнически услуги, предоставящи ограничена защита под формата на защита при несъстоятелност, или от единични пътнически услуги, зависи от начина, по който на пътуващия се представя резервацията на съответните услуги. Например сключването на един-единствен договор за всички услуги, провеждането на една-единствена резервационна процедура или определянето на пакетна или обща цена водят до създаването на туристически пакет. В същото време на пътуващите следва да се предоставя ясна информация за </w:t>
      </w:r>
      <w:r>
        <w:rPr>
          <w:noProof/>
        </w:rPr>
        <w:lastRenderedPageBreak/>
        <w:t>естеството на пътническия продукт, който им се предлага, и за вида защита, която могат да очакват.</w:t>
      </w:r>
    </w:p>
    <w:p>
      <w:pPr>
        <w:spacing w:before="100" w:beforeAutospacing="1"/>
        <w:rPr>
          <w:rFonts w:eastAsia="Times New Roman"/>
          <w:noProof/>
        </w:rPr>
      </w:pPr>
      <w:r>
        <w:rPr>
          <w:noProof/>
        </w:rPr>
        <w:t xml:space="preserve">Освен това с предложението се цели да бъдат улеснени трансграничните трансакции посредством по-голяма хармонизация и конкретен механизъм за взаимно признаване на защитата при несъстоятелност. То е насочено също към премахване ненужните разходи за предприятията за привеждане в съответствие, свързани с разпоредби, които са остарели в ерата на цифровите технологии (напр. отнасящите се до изискванията за информация под формата на брошури). </w:t>
      </w:r>
    </w:p>
    <w:p>
      <w:pPr>
        <w:spacing w:before="100" w:beforeAutospacing="1"/>
        <w:rPr>
          <w:rFonts w:eastAsia="Times New Roman"/>
          <w:noProof/>
        </w:rPr>
      </w:pPr>
      <w:r>
        <w:rPr>
          <w:noProof/>
        </w:rPr>
        <w:t>С предложението се цели също да бъдат запълнени правни празноти в защитата на потребителите, напр. посредством допълнителни права за прекратяване на договорите и по-строги правила за увеличаването на цените.</w:t>
      </w:r>
    </w:p>
    <w:p>
      <w:pPr>
        <w:spacing w:before="100" w:beforeAutospacing="1"/>
        <w:rPr>
          <w:rFonts w:eastAsia="Times New Roman"/>
          <w:noProof/>
        </w:rPr>
      </w:pPr>
      <w:r>
        <w:rPr>
          <w:noProof/>
        </w:rPr>
        <w:t>Според прогнозите новата директива ще удвои дела на защитените пътувания на пазара на пътнически услуги на ЕС от 23 % на 46 %. Чрез засилването на защитата на потребителите, закупуващи комбинации от пътнически услуги онлайн, предложението има за цел да повиши доверието на потребителите и би могло косвено да допринесе за постигане на целта на Комисията за стимулиране на цифровия единен пазар.</w:t>
      </w:r>
    </w:p>
    <w:p>
      <w:pPr>
        <w:pStyle w:val="ManualHeading1"/>
        <w:rPr>
          <w:rFonts w:eastAsia="Times New Roman"/>
          <w:noProof/>
        </w:rPr>
      </w:pPr>
      <w:r>
        <w:rPr>
          <w:noProof/>
        </w:rPr>
        <w:t>3.</w:t>
      </w:r>
      <w:r>
        <w:rPr>
          <w:noProof/>
        </w:rPr>
        <w:tab/>
        <w:t>Коментари относно позицията на Съвета</w:t>
      </w:r>
    </w:p>
    <w:p>
      <w:pPr>
        <w:widowControl w:val="0"/>
        <w:rPr>
          <w:rFonts w:eastAsia="Times New Roman"/>
          <w:noProof/>
        </w:rPr>
      </w:pPr>
      <w:r>
        <w:rPr>
          <w:noProof/>
        </w:rPr>
        <w:t xml:space="preserve">Позицията на Съвета отразява политическото споразумение, постигнато между Европейския парламент и Съвета на неформалните тристранни срещи на 5 май 2015 г. и впоследствие одобрено от Съвета по конкурентоспособност на 28 май 2015 г. </w:t>
      </w:r>
    </w:p>
    <w:p>
      <w:pPr>
        <w:widowControl w:val="0"/>
        <w:rPr>
          <w:rFonts w:eastAsia="Times New Roman"/>
          <w:noProof/>
        </w:rPr>
      </w:pPr>
      <w:r>
        <w:rPr>
          <w:noProof/>
        </w:rPr>
        <w:t xml:space="preserve">Комисията подкрепя това споразумение, тъй като то е в съответствие с целите на предложението на Комисията. </w:t>
      </w:r>
    </w:p>
    <w:p>
      <w:pPr>
        <w:widowControl w:val="0"/>
        <w:rPr>
          <w:rFonts w:eastAsia="Times New Roman"/>
          <w:noProof/>
        </w:rPr>
      </w:pPr>
      <w:r>
        <w:rPr>
          <w:noProof/>
        </w:rPr>
        <w:t>Споразумението запазва диференцирания подход по отношение на туристическите пакети и свързаните пътнически услуги (наречени в предложението на Комисията „комбинирани пътнически услуги с помощта на посредник“). В него е запазено по същество определението за туристически пакети и съответното ниво на защита, като в същото време се правят някои корекции по отношение на определението за свързани пътнически услуги и защитата при несъстоятелност, предоставяна на пътуващите, които закупуват такива комбинации. В същото време то допълнително засилва прозрачността за пътуващите, като добавя задължителни формуляри за предоставяне на информация.</w:t>
      </w:r>
    </w:p>
    <w:p>
      <w:pPr>
        <w:widowControl w:val="0"/>
        <w:rPr>
          <w:rFonts w:eastAsia="Times New Roman"/>
          <w:noProof/>
        </w:rPr>
      </w:pPr>
      <w:r>
        <w:rPr>
          <w:noProof/>
        </w:rPr>
        <w:t>Според позицията на Съвета е ясно, че новата директива ще се основава на пълна хармонизация, с някои ограничени изключения, при които, поради различните правни традиции и подходи, държавите членки ще имат право да запазят различни решения. Това се отнася по-специално до възможността освен от организаторите отговорност за изпълнението на туристическия пакет да се носи и от търговците на дребно или да се предвиди право на отказ от договори, сключени извън търговския обект, но не и от онлайн или други договори, сключени от разстояние.</w:t>
      </w:r>
    </w:p>
    <w:p>
      <w:pPr>
        <w:spacing w:after="100" w:afterAutospacing="1"/>
        <w:rPr>
          <w:rFonts w:eastAsia="Times New Roman"/>
          <w:noProof/>
        </w:rPr>
      </w:pPr>
      <w:r>
        <w:rPr>
          <w:noProof/>
        </w:rPr>
        <w:t xml:space="preserve">Някои разяснения на правилата за договорната отговорност и възможностите за защита при липса на съответствие при изпълнението на договора ще повишат защитата на потребителите, а подробните критерии за режимите за защита при несъстоятелност следва да гарантират, че действителната защита, предоставяна съгласно правилата на </w:t>
      </w:r>
      <w:r>
        <w:rPr>
          <w:noProof/>
        </w:rPr>
        <w:lastRenderedPageBreak/>
        <w:t xml:space="preserve">държавите членки, ще стане сравнима в по-голяма степен, като по този начин ще се укрепи основата за взаимно признаване. </w:t>
      </w:r>
    </w:p>
    <w:p>
      <w:pPr>
        <w:spacing w:after="100" w:afterAutospacing="1"/>
        <w:rPr>
          <w:rFonts w:eastAsia="Times New Roman"/>
          <w:noProof/>
        </w:rPr>
      </w:pPr>
      <w:r>
        <w:rPr>
          <w:noProof/>
        </w:rPr>
        <w:t>Обстоятелството, че договореният текст задължава Комисията да изготви доклад относно онлайн резервациите, правени на различни пунктове за продажба, и по-специално относно член 3, точка 2, буква б), подточка v) от предложението за директива три години след влизането ѝ в сила, ще представлява сложна за изпълнение задача поради краткия период, през който към този момент директивата ще се е прилагала. Същевременно обаче Комисията признава, че това решение е било необходимо за постигането на съгласие между Съвета и Парламента и следователно е приемливо.</w:t>
      </w:r>
    </w:p>
    <w:p>
      <w:pPr>
        <w:pStyle w:val="ManualHeading1"/>
        <w:rPr>
          <w:rFonts w:eastAsia="Times New Roman"/>
          <w:noProof/>
        </w:rPr>
      </w:pPr>
      <w:r>
        <w:rPr>
          <w:noProof/>
        </w:rPr>
        <w:t>4.</w:t>
      </w:r>
      <w:r>
        <w:rPr>
          <w:noProof/>
        </w:rPr>
        <w:tab/>
        <w:t>Заключение</w:t>
      </w:r>
    </w:p>
    <w:p>
      <w:pPr>
        <w:rPr>
          <w:rFonts w:eastAsia="Times New Roman"/>
          <w:noProof/>
        </w:rPr>
      </w:pPr>
      <w:r>
        <w:rPr>
          <w:noProof/>
        </w:rPr>
        <w:t>Комисията подкрепя резултатите от междуинституционалните преговори и следователно може да приеме позицията на Съвета на първо четене.</w:t>
      </w:r>
    </w:p>
    <w:p>
      <w:pPr>
        <w:pStyle w:val="ManualHeading1"/>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1783C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B090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4418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EEE9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5ECA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80826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74E10A"/>
    <w:lvl w:ilvl="0">
      <w:start w:val="1"/>
      <w:numFmt w:val="decimal"/>
      <w:pStyle w:val="ListNumber"/>
      <w:lvlText w:val="%1."/>
      <w:lvlJc w:val="left"/>
      <w:pPr>
        <w:tabs>
          <w:tab w:val="num" w:pos="360"/>
        </w:tabs>
        <w:ind w:left="360" w:hanging="360"/>
      </w:pPr>
    </w:lvl>
  </w:abstractNum>
  <w:abstractNum w:abstractNumId="7">
    <w:nsid w:val="FFFFFF89"/>
    <w:multiLevelType w:val="singleLevel"/>
    <w:tmpl w:val="C794F25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01 17:05: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21F3AB68C954ADA98F61E739E66C638"/>
    <w:docVar w:name="LW_CROSSREFERENCE" w:val="&lt;UNUSED&gt;"/>
    <w:docVar w:name="LW_DocType" w:val="COM"/>
    <w:docVar w:name="LW_EMISSION" w:val="5.10.2015"/>
    <w:docVar w:name="LW_EMISSION_ISODATE" w:val="2015-10-05"/>
    <w:docVar w:name="LW_EMISSION_LOCATION" w:val="BRX"/>
    <w:docVar w:name="LW_EMISSION_PREFIX" w:val="\u1041?\u1088?\u1102?\u1082?\u1089?\u1077?\u1083?,"/>
    <w:docVar w:name="LW_EMISSION_SUFFIX" w:val=" \u1075?."/>
    <w:docVar w:name="LW_ID_DOCMODEL" w:val="SJ-028"/>
    <w:docVar w:name="LW_ID_DOCSTRUCTURE" w:val="COM/PL/CODEC"/>
    <w:docVar w:name="LW_ID_DOCTYPE" w:val="SJ-028"/>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46"/>
    <w:docVar w:name="LW_REF.II.NEW.CP_YEAR" w:val="2013"/>
    <w:docVar w:name="LW_REF.INST.NEW" w:val="COM"/>
    <w:docVar w:name="LW_REF.INST.NEW_ADOPTED" w:val="final"/>
    <w:docVar w:name="LW_REF.INST.NEW_TEXT" w:val="(2015) 493"/>
    <w:docVar w:name="LW_REF.INTERNE" w:val="&lt;UNUSED&gt;"/>
    <w:docVar w:name="LW_SOUS.TITRE.OBJ.CP" w:val="&lt;UNUSED&gt;"/>
    <w:docVar w:name="LW_SUPERTITRE" w:val="&lt;UNUSED&gt;"/>
    <w:docVar w:name="LW_TITRE.OBJ.CP" w:val="\u1087?\u1086?\u1079?\u1080?\u1094?\u1080?\u1103?\u1090?\u1072? \u1085?\u1072? \u1057?\u1098?\u1074?\u1077?\u1090?\u1072? \u1074?\u1098?\u1074? \u1074?\u1088?\u1098?\u1079?\u1082?\u1072? \u1089? \u1087?\u1088?\u1080?\u1077?\u1084?\u1072?\u1085?\u1077?\u1090?\u1086? \u1085?\u1072? \u1044?\u1080?\u1088?\u1077?\u1082?\u1090?\u1080?\u1074?\u1072? \u1085?\u1072? \u1045?\u1074?\u1088?\u1086?\u1087?\u1077?\u1081?\u1089?\u1082?\u1080?\u1103? \u1087?\u1072?\u1088?\u1083?\u1072?\u1084?\u1077?\u1085?\u1090? \u1080? \u1085?\u1072? \u1057?\u1098?\u1074?\u1077?\u1090?\u1072? \u1086?\u1090?\u1085?\u1086?\u1089?\u1085?\u1086? \u1087?\u1072?\u1082?\u1077?\u1090?\u1085?\u1080?\u1090?\u1077? \u1090?\u1091?\u1088?\u1080?\u1089?\u1090?\u1080?\u1095?\u1077?\u1089?\u1082?\u1080? \u1087?\u1098?\u1090?\u1091?\u1074?\u1072?\u1085?\u1080?\u1103? \u1080? \u1089?\u1074?\u1098?\u1088?\u1079?\u1072?\u1085?\u1080?\u1090?\u1077? \u1087?\u1098?\u1090?\u1085?\u1080?\u1095?\u1077?\u1089?\u1082?\u1080? \u1091?\u1089?\u1083?\u1091?\u1075?\u1080?, \u1079?\u1072? \u1080?\u1079?\u1084?\u1077?\u1085?\u1077?\u1085?\u1080?\u1077? \u1085?\u1072? \u1056?\u1077?\u1075?\u1083?\u1072?\u1084?\u1077?\u1085?\u1090? (\u1045?\u1054?) \u8470? 2006/2004 \u1080? \u1044?\u1080?\u1088?\u1077?\u1082?\u1090?\u1080?\u1074?\u1072? 2011/83/\u1045?\u1057? \u1080? \u1079?\u1072? \u1086?\u1090?\u1084?\u1103?\u1085?\u1072? \u1085?\u1072? \u1044?\u1080?\u1088?\u1077?\u1082?\u1090?\u1080?\u1074?\u1072? 90/314/\u1045?\u1048?\u1054? \u1085?\u1072? \u1057?\u1098?\u1074?\u1077?\u1090?\u1072?"/>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839</Words>
  <Characters>5064</Characters>
  <Application>Microsoft Office Word</Application>
  <DocSecurity>0</DocSecurity>
  <Lines>99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dcterms:created xsi:type="dcterms:W3CDTF">2015-10-01T08:44:00Z</dcterms:created>
  <dcterms:modified xsi:type="dcterms:W3CDTF">2015-10-01T15:05:00Z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