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95" w:rsidRDefault="00BE2D3A" w:rsidP="00BE2D3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690FA613B2448F5A0B3F9A34BBC985B" style="width:450.75pt;height:348pt">
            <v:imagedata r:id="rId8" o:title=""/>
          </v:shape>
        </w:pict>
      </w:r>
    </w:p>
    <w:bookmarkEnd w:id="0"/>
    <w:p w:rsidR="00BD4195" w:rsidRDefault="00BD4195">
      <w:pPr>
        <w:rPr>
          <w:noProof/>
        </w:rPr>
        <w:sectPr w:rsidR="00BD4195" w:rsidSect="00BE2D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BD4195" w:rsidRDefault="00B33EF0">
      <w:pPr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COMMUNICATION DE LA COMMISSION</w:t>
      </w:r>
    </w:p>
    <w:p w:rsidR="00BD4195" w:rsidRDefault="00B33EF0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Évaluation de l'action engagée par le ROYAUME-UNI</w:t>
      </w:r>
      <w:r>
        <w:rPr>
          <w:rFonts w:ascii="Times New Roman" w:hAnsi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 xml:space="preserve">à la suite de la </w:t>
      </w:r>
      <w:r>
        <w:rPr>
          <w:rFonts w:ascii="Times New Roman" w:hAnsi="Times New Roman"/>
          <w:b/>
          <w:noProof/>
          <w:sz w:val="24"/>
        </w:rPr>
        <w:t>recommandation du Conseil du 19 juin 2015 visant à ce que soit mis un terme à la situation de déficit public excessif</w:t>
      </w:r>
    </w:p>
    <w:p w:rsidR="00BD4195" w:rsidRDefault="00B33EF0">
      <w:pPr>
        <w:pStyle w:val="Heading1"/>
        <w:numPr>
          <w:ilvl w:val="0"/>
          <w:numId w:val="1"/>
        </w:numPr>
        <w:tabs>
          <w:tab w:val="clear" w:pos="850"/>
          <w:tab w:val="left" w:pos="567"/>
        </w:tabs>
        <w:ind w:left="567" w:hanging="567"/>
        <w:rPr>
          <w:noProof/>
        </w:rPr>
      </w:pPr>
      <w:r>
        <w:rPr>
          <w:noProof/>
        </w:rPr>
        <w:t>Introduction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Le 19 juin 2015, le Conseil a adress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une recommandation au Royaume-Uni au titre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article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126, paragraphe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7, du trait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, v</w:t>
      </w:r>
      <w:r>
        <w:rPr>
          <w:rFonts w:ascii="Times New Roman"/>
          <w:noProof/>
          <w:sz w:val="24"/>
        </w:rPr>
        <w:t xml:space="preserve">isant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ce qu'il soit mis un terme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la situation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excessif au plus tard en 2016-17. Il lui a recommand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d'atteindre un objectif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nominal de 4,1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2015-2016 et de 2,7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2016-2017. Sur la base des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visions macro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</w:t>
      </w:r>
      <w:r>
        <w:rPr>
          <w:rFonts w:ascii="Times New Roman"/>
          <w:noProof/>
          <w:sz w:val="24"/>
        </w:rPr>
        <w:t xml:space="preserve">omiques qui sous-tendaient la recommandation du Conseil, cela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quivalait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une am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lioration du solde structurel de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2015-2016 et de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1,1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2016-2017.</w:t>
      </w:r>
      <w:r>
        <w:rPr>
          <w:noProof/>
        </w:rPr>
        <w:t xml:space="preserve"> </w:t>
      </w:r>
      <w:r>
        <w:rPr>
          <w:rFonts w:ascii="Times New Roman"/>
          <w:noProof/>
          <w:sz w:val="24"/>
        </w:rPr>
        <w:t>Le Conseil n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 pas exig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de mesures suppl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mentaires en sus de celles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j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incluses</w:t>
      </w:r>
      <w:r>
        <w:rPr>
          <w:rFonts w:ascii="Times New Roman"/>
          <w:noProof/>
          <w:sz w:val="24"/>
        </w:rPr>
        <w:t xml:space="preserve"> dans l'ensemble des budgets et des notes de conjoncture d'automne (Autumn statements) du Royaume-Uni jusqu'au budget 2015 inclus.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Conform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ment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article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3, paragraphe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i/>
          <w:noProof/>
          <w:sz w:val="24"/>
        </w:rPr>
        <w:t>bis</w:t>
      </w:r>
      <w:r>
        <w:rPr>
          <w:rFonts w:ascii="Times New Roman"/>
          <w:noProof/>
          <w:sz w:val="24"/>
        </w:rPr>
        <w:t>, du r</w:t>
      </w:r>
      <w:r>
        <w:rPr>
          <w:rFonts w:ascii="Times New Roman"/>
          <w:noProof/>
          <w:sz w:val="24"/>
        </w:rPr>
        <w:t>è</w:t>
      </w:r>
      <w:r>
        <w:rPr>
          <w:rFonts w:ascii="Times New Roman"/>
          <w:noProof/>
          <w:sz w:val="24"/>
        </w:rPr>
        <w:t>glement (CE) n</w:t>
      </w:r>
      <w:r>
        <w:rPr>
          <w:rFonts w:ascii="Times New Roman"/>
          <w:noProof/>
          <w:sz w:val="24"/>
        </w:rPr>
        <w:t>º </w:t>
      </w:r>
      <w:r>
        <w:rPr>
          <w:rFonts w:ascii="Times New Roman"/>
          <w:noProof/>
          <w:sz w:val="24"/>
        </w:rPr>
        <w:t>1467/97 du Conseil, le Conseil a fix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au 15 octobre 2015 l</w:t>
      </w:r>
      <w:r>
        <w:rPr>
          <w:rFonts w:ascii="Times New Roman"/>
          <w:noProof/>
          <w:sz w:val="24"/>
        </w:rPr>
        <w:t>a date limite de remise par le Royaume-Uni d'un rapport sur l'action engag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dans le cadre de sa strat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gie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 xml:space="preserve">assainissement.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l'expiration de ce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lai, les autorit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s britanniques ont remis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la Commission un rapport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sentant les mesures prises pour atte</w:t>
      </w:r>
      <w:r>
        <w:rPr>
          <w:rFonts w:ascii="Times New Roman"/>
          <w:noProof/>
          <w:sz w:val="24"/>
        </w:rPr>
        <w:t>indre les objectifs fix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s par le Conseil. </w:t>
      </w:r>
    </w:p>
    <w:p w:rsidR="00BD4195" w:rsidRDefault="00B33EF0">
      <w:pPr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Sur la base des informations figurant dans ce rapport et des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visions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conomiques de l'Office for Budget Responsibility (bureau pour la responsabilit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budg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taire), la Commission a examin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la strat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gie budg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taire</w:t>
      </w:r>
      <w:r>
        <w:rPr>
          <w:rFonts w:ascii="Times New Roman"/>
          <w:noProof/>
          <w:sz w:val="24"/>
        </w:rPr>
        <w:t xml:space="preserve"> du Royaume-Uni afin de v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rifier s'il s</w:t>
      </w:r>
      <w:r>
        <w:rPr>
          <w:rFonts w:ascii="Times New Roman"/>
          <w:noProof/>
          <w:sz w:val="24"/>
        </w:rPr>
        <w:t>’é</w:t>
      </w:r>
      <w:r>
        <w:rPr>
          <w:rFonts w:ascii="Times New Roman"/>
          <w:noProof/>
          <w:sz w:val="24"/>
        </w:rPr>
        <w:t>tait conform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la recommandation du Conseil du 19 juin 2015. </w:t>
      </w:r>
    </w:p>
    <w:p w:rsidR="00BD4195" w:rsidRDefault="00B33EF0">
      <w:pPr>
        <w:pStyle w:val="Heading1"/>
        <w:numPr>
          <w:ilvl w:val="0"/>
          <w:numId w:val="1"/>
        </w:numPr>
        <w:tabs>
          <w:tab w:val="clear" w:pos="850"/>
          <w:tab w:val="left" w:pos="567"/>
        </w:tabs>
        <w:ind w:left="567" w:hanging="567"/>
        <w:rPr>
          <w:noProof/>
        </w:rPr>
      </w:pPr>
      <w:r>
        <w:rPr>
          <w:noProof/>
        </w:rPr>
        <w:t>Mesures présentées dans le rapport sur l'action engagée et projections budgétaires actualisées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Le rapport sur l'action engag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confirme la strat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gie bud</w:t>
      </w:r>
      <w:r>
        <w:rPr>
          <w:rFonts w:ascii="Times New Roman"/>
          <w:noProof/>
          <w:sz w:val="24"/>
        </w:rPr>
        <w:t>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taire expos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dans le budget du nouveau gouvernement publi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le 8 juillet, qui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voit de corriger le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excessif d'ici 2016-2017, c'est-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>-dire dans le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lai fix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par le Conseil. Il ne mentionne aucune nouvelle mesure par rapport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ce budget de juill</w:t>
      </w:r>
      <w:r>
        <w:rPr>
          <w:rFonts w:ascii="Times New Roman"/>
          <w:noProof/>
          <w:sz w:val="24"/>
        </w:rPr>
        <w:t>et. Il donne cependant une vue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ensemble des mesures adopt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es en 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ponse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la recommandation du Conseil du 19 juin 2015. La recommandation ne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conisait pas de mesures suppl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mentaires pour ramener le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excessif en dessous de 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PIB; 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anmoins, </w:t>
      </w:r>
      <w:r>
        <w:rPr>
          <w:rFonts w:ascii="Times New Roman"/>
          <w:noProof/>
          <w:sz w:val="24"/>
        </w:rPr>
        <w:t xml:space="preserve">de nouvelles mesures ont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annonc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es dans le budget en vue de 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duire de fa</w:t>
      </w:r>
      <w:r>
        <w:rPr>
          <w:rFonts w:ascii="Times New Roman"/>
          <w:noProof/>
          <w:sz w:val="24"/>
        </w:rPr>
        <w:t>ç</w:t>
      </w:r>
      <w:r>
        <w:rPr>
          <w:rFonts w:ascii="Times New Roman"/>
          <w:noProof/>
          <w:sz w:val="24"/>
        </w:rPr>
        <w:t>on plus marqu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le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en 2016-2017, notamment 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milliards de GBP (0,25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PIB) d'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conomies sur les prestations sociales et un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milliard de GBP (0,05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PIB) d'augmentatio</w:t>
      </w:r>
      <w:r>
        <w:rPr>
          <w:rFonts w:ascii="Times New Roman"/>
          <w:noProof/>
          <w:sz w:val="24"/>
        </w:rPr>
        <w:t>n des recettes fiscales nettes.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L'am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lioration due aux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conomies sur les prestations sociales en 2016-2017 provient pour l'essentiel d'un abaissement des plafonds de revenus pour les cr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dits d'imp</w:t>
      </w:r>
      <w:r>
        <w:rPr>
          <w:rFonts w:ascii="Times New Roman"/>
          <w:noProof/>
          <w:sz w:val="24"/>
        </w:rPr>
        <w:t>ô</w:t>
      </w:r>
      <w:r>
        <w:rPr>
          <w:rFonts w:ascii="Times New Roman"/>
          <w:noProof/>
          <w:sz w:val="24"/>
        </w:rPr>
        <w:t>ts et des allocations pour l'emploi dans le cadre du cr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dit</w:t>
      </w:r>
      <w:r>
        <w:rPr>
          <w:rFonts w:ascii="Times New Roman"/>
          <w:noProof/>
          <w:sz w:val="24"/>
        </w:rPr>
        <w:t xml:space="preserve"> universel (Universal Credit) (2,9 milliards de GBP) et d'un rel</w:t>
      </w:r>
      <w:r>
        <w:rPr>
          <w:rFonts w:ascii="Times New Roman"/>
          <w:noProof/>
          <w:sz w:val="24"/>
        </w:rPr>
        <w:t>è</w:t>
      </w:r>
      <w:r>
        <w:rPr>
          <w:rFonts w:ascii="Times New Roman"/>
          <w:noProof/>
          <w:sz w:val="24"/>
        </w:rPr>
        <w:t xml:space="preserve">vement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48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taux de diminution (taper rate) de ces cr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dits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imp</w:t>
      </w:r>
      <w:r>
        <w:rPr>
          <w:rFonts w:ascii="Times New Roman"/>
          <w:noProof/>
          <w:sz w:val="24"/>
        </w:rPr>
        <w:t>ô</w:t>
      </w:r>
      <w:r>
        <w:rPr>
          <w:rFonts w:ascii="Times New Roman"/>
          <w:noProof/>
          <w:sz w:val="24"/>
        </w:rPr>
        <w:t>t (1,5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milliard de GBP). La principale nouvelle mesure fiscale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sent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dans le budget est une augmentation de la taxe s</w:t>
      </w:r>
      <w:r>
        <w:rPr>
          <w:rFonts w:ascii="Times New Roman"/>
          <w:noProof/>
          <w:sz w:val="24"/>
        </w:rPr>
        <w:t>ur les primes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assurance, qui passe de 6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9,5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%. Cette augmentation prenant effet le 1</w:t>
      </w:r>
      <w:r>
        <w:rPr>
          <w:rFonts w:ascii="Times New Roman"/>
          <w:noProof/>
          <w:sz w:val="24"/>
          <w:vertAlign w:val="superscript"/>
        </w:rPr>
        <w:t>er</w:t>
      </w:r>
      <w:r>
        <w:rPr>
          <w:rFonts w:ascii="Times New Roman"/>
          <w:noProof/>
          <w:sz w:val="24"/>
        </w:rPr>
        <w:t xml:space="preserve"> novembre 2015, la mesure doit </w:t>
      </w:r>
      <w:r>
        <w:rPr>
          <w:rFonts w:ascii="Times New Roman"/>
          <w:noProof/>
          <w:sz w:val="24"/>
        </w:rPr>
        <w:t>ê</w:t>
      </w:r>
      <w:r>
        <w:rPr>
          <w:rFonts w:ascii="Times New Roman"/>
          <w:noProof/>
          <w:sz w:val="24"/>
        </w:rPr>
        <w:t>tre imput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e pour partie sur </w:t>
      </w:r>
      <w:r>
        <w:rPr>
          <w:rFonts w:ascii="Times New Roman"/>
          <w:noProof/>
          <w:sz w:val="24"/>
        </w:rPr>
        <w:lastRenderedPageBreak/>
        <w:t>la p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riode 2015-16 et pour le reste sur la p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riode 2016-17: respectivement 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milliard de GBP et 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milliard de GBP.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Compte tenu des informations fournies dans le rapport sur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action engag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e, la Commission table dans ses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visions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automne 2015 sur un recul du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ficit public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3,9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du PIB en 2015-2016 et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2,4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du PIB en 2016-2017, soit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un nive</w:t>
      </w:r>
      <w:r>
        <w:rPr>
          <w:rFonts w:ascii="Times New Roman"/>
          <w:noProof/>
          <w:sz w:val="24"/>
        </w:rPr>
        <w:t>au inf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rieur aux objectifs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nominal fix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s respectivement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4,1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et 2,7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 xml:space="preserve">% du PIB par le Conseil. 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mallCaps/>
          <w:noProof/>
          <w:sz w:val="24"/>
          <w:szCs w:val="24"/>
        </w:rPr>
      </w:pPr>
      <w:r>
        <w:rPr>
          <w:rFonts w:ascii="Times New Roman"/>
          <w:noProof/>
          <w:sz w:val="24"/>
        </w:rPr>
        <w:t>Les al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as entourant les perspectives budg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taires pour 2015-2016 et 2016-2017 donn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es dans les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visions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automne 2015 des services de la Commis</w:t>
      </w:r>
      <w:r>
        <w:rPr>
          <w:rFonts w:ascii="Times New Roman"/>
          <w:noProof/>
          <w:sz w:val="24"/>
        </w:rPr>
        <w:t>sion semblent globalement s'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quilibrer,</w:t>
      </w:r>
      <w:r>
        <w:rPr>
          <w:noProof/>
        </w:rPr>
        <w:t xml:space="preserve"> </w:t>
      </w:r>
      <w:r>
        <w:rPr>
          <w:rFonts w:ascii="Times New Roman"/>
          <w:noProof/>
          <w:sz w:val="24"/>
        </w:rPr>
        <w:t xml:space="preserve">mis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part certains risques entourant la mise en </w:t>
      </w:r>
      <w:r>
        <w:rPr>
          <w:rFonts w:ascii="Times New Roman"/>
          <w:noProof/>
          <w:sz w:val="24"/>
        </w:rPr>
        <w:t>œ</w:t>
      </w:r>
      <w:r>
        <w:rPr>
          <w:rFonts w:ascii="Times New Roman"/>
          <w:noProof/>
          <w:sz w:val="24"/>
        </w:rPr>
        <w:t>uvre. Aucun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passement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penses de grande ampleur n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est attendu, mais des incertitudes aussi bien positives que 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gatives entourent les 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sultats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conomiques. D'u</w:t>
      </w:r>
      <w:r>
        <w:rPr>
          <w:rFonts w:ascii="Times New Roman"/>
          <w:noProof/>
          <w:sz w:val="24"/>
        </w:rPr>
        <w:t>n c</w:t>
      </w:r>
      <w:r>
        <w:rPr>
          <w:rFonts w:ascii="Times New Roman"/>
          <w:noProof/>
          <w:sz w:val="24"/>
        </w:rPr>
        <w:t>ô</w:t>
      </w:r>
      <w:r>
        <w:rPr>
          <w:rFonts w:ascii="Times New Roman"/>
          <w:noProof/>
          <w:sz w:val="24"/>
        </w:rPr>
        <w:t>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, des investissements plus dynamiques que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vu pourraient signifier une croissance plus soutenue, tandis que de l'autre, une monnaie forte pourrait faire baisser plus qu'escompt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les exportations.  </w:t>
      </w:r>
    </w:p>
    <w:p w:rsidR="00BD4195" w:rsidRDefault="00B33EF0">
      <w:pPr>
        <w:pStyle w:val="Heading1"/>
        <w:numPr>
          <w:ilvl w:val="0"/>
          <w:numId w:val="1"/>
        </w:numPr>
        <w:tabs>
          <w:tab w:val="clear" w:pos="850"/>
          <w:tab w:val="left" w:pos="567"/>
        </w:tabs>
        <w:ind w:left="567" w:hanging="567"/>
        <w:rPr>
          <w:noProof/>
        </w:rPr>
      </w:pPr>
      <w:r>
        <w:rPr>
          <w:noProof/>
        </w:rPr>
        <w:t>Évaluation de l’action engagée</w:t>
      </w:r>
    </w:p>
    <w:p w:rsidR="00BD4195" w:rsidRDefault="00B33EF0">
      <w:pPr>
        <w:spacing w:before="120" w:after="120" w:line="240" w:lineRule="auto"/>
        <w:jc w:val="both"/>
        <w:rPr>
          <w:noProof/>
        </w:rPr>
      </w:pPr>
      <w:r>
        <w:rPr>
          <w:rFonts w:ascii="Times New Roman"/>
          <w:noProof/>
          <w:sz w:val="24"/>
        </w:rPr>
        <w:t>Sur la base des inf</w:t>
      </w:r>
      <w:r>
        <w:rPr>
          <w:rFonts w:ascii="Times New Roman"/>
          <w:noProof/>
          <w:sz w:val="24"/>
        </w:rPr>
        <w:t>ormations figurant dans le rapport sur l'action engag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e, les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visions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automne de la Commission annoncent un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nominal de 3,9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2015-2016 et de 2,4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2016-2017, en de</w:t>
      </w:r>
      <w:r>
        <w:rPr>
          <w:rFonts w:ascii="Times New Roman"/>
          <w:noProof/>
          <w:sz w:val="24"/>
        </w:rPr>
        <w:t>çà</w:t>
      </w:r>
      <w:r>
        <w:rPr>
          <w:rFonts w:ascii="Times New Roman"/>
          <w:noProof/>
          <w:sz w:val="24"/>
        </w:rPr>
        <w:t xml:space="preserve"> des objectifs fix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s par le Conseil.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 xml:space="preserve">ajustement du solde </w:t>
      </w:r>
      <w:r>
        <w:rPr>
          <w:rFonts w:ascii="Times New Roman"/>
          <w:noProof/>
          <w:sz w:val="24"/>
        </w:rPr>
        <w:t xml:space="preserve">structurel devrait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galement, selon les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visions, </w:t>
      </w:r>
      <w:r>
        <w:rPr>
          <w:rFonts w:ascii="Times New Roman"/>
          <w:noProof/>
          <w:sz w:val="24"/>
        </w:rPr>
        <w:t>ê</w:t>
      </w:r>
      <w:r>
        <w:rPr>
          <w:rFonts w:ascii="Times New Roman"/>
          <w:noProof/>
          <w:sz w:val="24"/>
        </w:rPr>
        <w:t>tre sup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rieur, pour les deux ann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es,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celui recommand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par le Conseil.</w:t>
      </w:r>
    </w:p>
    <w:p w:rsidR="00BD4195" w:rsidRDefault="00B33EF0">
      <w:pPr>
        <w:spacing w:before="120" w:after="24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lioration du solde structurel, sur la base des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visions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automne 2015 de la Commission, s'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</w:t>
      </w:r>
      <w:r>
        <w:rPr>
          <w:rFonts w:ascii="Times New Roman"/>
          <w:noProof/>
          <w:sz w:val="24"/>
        </w:rPr>
        <w:t>è</w:t>
      </w:r>
      <w:r>
        <w:rPr>
          <w:rFonts w:ascii="Times New Roman"/>
          <w:noProof/>
          <w:sz w:val="24"/>
        </w:rPr>
        <w:t xml:space="preserve">ve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0,7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2015-1</w:t>
      </w:r>
      <w:r>
        <w:rPr>
          <w:rFonts w:ascii="Times New Roman"/>
          <w:noProof/>
          <w:sz w:val="24"/>
        </w:rPr>
        <w:t xml:space="preserve">6 et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1,3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en 2016-17, ce qui est sup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rieur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effort de respectivement 0,5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et 1,1</w:t>
      </w:r>
      <w:r>
        <w:rPr>
          <w:rFonts w:ascii="Times New Roman"/>
          <w:noProof/>
          <w:sz w:val="24"/>
        </w:rPr>
        <w:t> </w:t>
      </w:r>
      <w:r>
        <w:rPr>
          <w:rFonts w:ascii="Times New Roman"/>
          <w:noProof/>
          <w:sz w:val="24"/>
        </w:rPr>
        <w:t>% du PIB recommand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par le Conseil. </w:t>
      </w:r>
    </w:p>
    <w:p w:rsidR="00BD4195" w:rsidRDefault="00B33EF0">
      <w:pPr>
        <w:spacing w:before="120" w:after="240" w:line="240" w:lineRule="auto"/>
        <w:jc w:val="both"/>
        <w:rPr>
          <w:rFonts w:ascii="Times New Roman"/>
          <w:noProof/>
          <w:sz w:val="24"/>
          <w:szCs w:val="24"/>
        </w:rPr>
      </w:pPr>
      <w:r>
        <w:rPr>
          <w:rFonts w:ascii="Times New Roman"/>
          <w:noProof/>
          <w:sz w:val="24"/>
        </w:rPr>
        <w:t>Puisque les objectifs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nominal et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ajustement du solde structurel recommand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s par le Conseil devraient, se</w:t>
      </w:r>
      <w:r>
        <w:rPr>
          <w:rFonts w:ascii="Times New Roman"/>
          <w:noProof/>
          <w:sz w:val="24"/>
        </w:rPr>
        <w:t>lon les pr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visions, </w:t>
      </w:r>
      <w:r>
        <w:rPr>
          <w:rFonts w:ascii="Times New Roman"/>
          <w:noProof/>
          <w:sz w:val="24"/>
        </w:rPr>
        <w:t>ê</w:t>
      </w:r>
      <w:r>
        <w:rPr>
          <w:rFonts w:ascii="Times New Roman"/>
          <w:noProof/>
          <w:sz w:val="24"/>
        </w:rPr>
        <w:t>tre atteints en 2015-2016 et en 2016-2017, une analyse approfondie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effort budg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taire n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est pas n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cessaire. En effet, d'apr</w:t>
      </w:r>
      <w:r>
        <w:rPr>
          <w:rFonts w:ascii="Times New Roman"/>
          <w:noProof/>
          <w:sz w:val="24"/>
        </w:rPr>
        <w:t>è</w:t>
      </w:r>
      <w:r>
        <w:rPr>
          <w:rFonts w:ascii="Times New Roman"/>
          <w:noProof/>
          <w:sz w:val="24"/>
        </w:rPr>
        <w:t>s la 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thode d'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valuation convenue, le respect de l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objectif de d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ficit nominal conjugu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une am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lioration</w:t>
      </w:r>
      <w:r>
        <w:rPr>
          <w:rFonts w:ascii="Times New Roman"/>
          <w:noProof/>
          <w:sz w:val="24"/>
        </w:rPr>
        <w:t xml:space="preserve"> sous-jacente du solde structurel suffit pour conclure qu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>une action suivie d</w:t>
      </w:r>
      <w:r>
        <w:rPr>
          <w:rFonts w:ascii="Times New Roman"/>
          <w:noProof/>
          <w:sz w:val="24"/>
        </w:rPr>
        <w:t>’</w:t>
      </w:r>
      <w:r>
        <w:rPr>
          <w:rFonts w:ascii="Times New Roman"/>
          <w:noProof/>
          <w:sz w:val="24"/>
        </w:rPr>
        <w:t xml:space="preserve">effets a 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t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 engag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>e en r</w:t>
      </w:r>
      <w:r>
        <w:rPr>
          <w:rFonts w:ascii="Times New Roman"/>
          <w:noProof/>
          <w:sz w:val="24"/>
        </w:rPr>
        <w:t>é</w:t>
      </w:r>
      <w:r>
        <w:rPr>
          <w:rFonts w:ascii="Times New Roman"/>
          <w:noProof/>
          <w:sz w:val="24"/>
        </w:rPr>
        <w:t xml:space="preserve">ponse </w:t>
      </w:r>
      <w:r>
        <w:rPr>
          <w:rFonts w:ascii="Times New Roman"/>
          <w:noProof/>
          <w:sz w:val="24"/>
        </w:rPr>
        <w:t>à</w:t>
      </w:r>
      <w:r>
        <w:rPr>
          <w:rFonts w:ascii="Times New Roman"/>
          <w:noProof/>
          <w:sz w:val="24"/>
        </w:rPr>
        <w:t xml:space="preserve"> la recommandation du Conseil.</w:t>
      </w:r>
    </w:p>
    <w:p w:rsidR="00BD4195" w:rsidRDefault="00B33EF0">
      <w:pPr>
        <w:tabs>
          <w:tab w:val="left" w:pos="360"/>
        </w:tabs>
        <w:spacing w:before="120" w:after="120" w:line="240" w:lineRule="auto"/>
        <w:jc w:val="center"/>
        <w:rPr>
          <w:rFonts w:ascii="Times New Roman"/>
          <w:b/>
          <w:bCs/>
          <w:noProof/>
          <w:sz w:val="24"/>
          <w:szCs w:val="24"/>
        </w:rPr>
      </w:pPr>
      <w:r>
        <w:rPr>
          <w:rFonts w:ascii="Times New Roman"/>
          <w:b/>
          <w:noProof/>
          <w:sz w:val="24"/>
        </w:rPr>
        <w:t>Tableau 1. Comparaison des projections budg</w:t>
      </w:r>
      <w:r>
        <w:rPr>
          <w:rFonts w:ascii="Times New Roman"/>
          <w:b/>
          <w:noProof/>
          <w:sz w:val="24"/>
        </w:rPr>
        <w:t>é</w:t>
      </w:r>
      <w:r>
        <w:rPr>
          <w:rFonts w:ascii="Times New Roman"/>
          <w:b/>
          <w:noProof/>
          <w:sz w:val="24"/>
        </w:rPr>
        <w:t>taires</w:t>
      </w:r>
    </w:p>
    <w:p w:rsidR="00BD4195" w:rsidRDefault="00BE2D3A">
      <w:pPr>
        <w:tabs>
          <w:tab w:val="left" w:pos="360"/>
        </w:tabs>
        <w:spacing w:before="120" w:after="120" w:line="240" w:lineRule="auto"/>
        <w:jc w:val="both"/>
        <w:rPr>
          <w:noProof/>
        </w:rPr>
      </w:pPr>
      <w:r>
        <w:rPr>
          <w:noProof/>
        </w:rPr>
        <w:pict>
          <v:shape id="_x0000_i1026" type="#_x0000_t75" style="width:453pt;height:125.25pt">
            <v:imagedata r:id="rId15" o:title=""/>
          </v:shape>
        </w:pict>
      </w:r>
    </w:p>
    <w:p w:rsidR="00BD4195" w:rsidRDefault="00B33EF0">
      <w:pPr>
        <w:pStyle w:val="Heading1"/>
        <w:numPr>
          <w:ilvl w:val="0"/>
          <w:numId w:val="1"/>
        </w:numPr>
        <w:tabs>
          <w:tab w:val="clear" w:pos="850"/>
          <w:tab w:val="left" w:pos="567"/>
        </w:tabs>
        <w:ind w:left="567" w:hanging="567"/>
        <w:rPr>
          <w:noProof/>
        </w:rPr>
      </w:pPr>
      <w:r>
        <w:rPr>
          <w:noProof/>
        </w:rPr>
        <w:br w:type="page"/>
        <w:t>Conclusions</w:t>
      </w:r>
    </w:p>
    <w:p w:rsidR="00BD4195" w:rsidRDefault="00B33EF0">
      <w:pPr>
        <w:spacing w:before="120"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Le rapport sur l'action engagée remis par le Roy</w:t>
      </w:r>
      <w:r>
        <w:rPr>
          <w:rFonts w:ascii="Times New Roman" w:hAnsi="Times New Roman"/>
          <w:noProof/>
          <w:sz w:val="24"/>
        </w:rPr>
        <w:t>aume-Uni le 19 octobre 2015 confirme l'intention du gouvernement britannique de corriger le déficit excessif au plus tard en 2016-17, c'est-à-dire dans le délai fixé par le Conseil, et détaille les mesures qui sous-tendent sa stratégie budgétaire. Des mesu</w:t>
      </w:r>
      <w:r>
        <w:rPr>
          <w:rFonts w:ascii="Times New Roman" w:hAnsi="Times New Roman"/>
          <w:noProof/>
          <w:sz w:val="24"/>
        </w:rPr>
        <w:t xml:space="preserve">res supplémentaires n’étaient pas nécessaires pour se conformer à la recommandation du Conseil, mais de nouvelles mesures ont néanmoins été annoncées dans le budget du mois de juillet et figurent également dans le rapport sur l'action engagée. </w:t>
      </w:r>
    </w:p>
    <w:p w:rsidR="00BD4195" w:rsidRDefault="00B33EF0">
      <w:pPr>
        <w:spacing w:before="120" w:after="120"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Globalement</w:t>
      </w:r>
      <w:r>
        <w:rPr>
          <w:rFonts w:ascii="Times New Roman" w:hAnsi="Times New Roman"/>
          <w:noProof/>
          <w:sz w:val="24"/>
        </w:rPr>
        <w:t>, d’après les informations disponibles, le déficit public devrait atteindre 3,9 % du PIB en 2015-2016 et 2,4 % du PIB en 2016-2017, ce qui serait conforme aux objectifs recommandés par le Conseil le 19 juin 2015. L’amélioration du solde structurel, estimée</w:t>
      </w:r>
      <w:r>
        <w:rPr>
          <w:rFonts w:ascii="Times New Roman" w:hAnsi="Times New Roman"/>
          <w:noProof/>
          <w:sz w:val="24"/>
        </w:rPr>
        <w:t xml:space="preserve"> par la Commission, sur la base de ses prévisions d’automne, à 0,7 % du PIB en 2015-2016 et à 1,3 % du PIB en 2016-2017, s’avère également conforme aux objectifs fixés respectivement à 0,5 % du PIB et 1,1 % du PIB pour ces années. Conformément à la méthode</w:t>
      </w:r>
      <w:r>
        <w:rPr>
          <w:rFonts w:ascii="Times New Roman" w:hAnsi="Times New Roman"/>
          <w:noProof/>
          <w:sz w:val="24"/>
        </w:rPr>
        <w:t xml:space="preserve"> pour évaluer si une action suivie d’effets a été engagée, étant donné que le Royaume-Uni respecte les objectifs de déficit nominal et les améliorations sous-jacentes du solde structurel recommandés pour 2015-2016 et pour 2016-2017, la Commission considère</w:t>
      </w:r>
      <w:r>
        <w:rPr>
          <w:rFonts w:ascii="Times New Roman" w:hAnsi="Times New Roman"/>
          <w:noProof/>
          <w:sz w:val="24"/>
        </w:rPr>
        <w:t xml:space="preserve"> dès lors que la procédure doit être suspendue.</w:t>
      </w:r>
    </w:p>
    <w:sectPr w:rsidR="00BD41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95" w:rsidRDefault="00B33EF0">
      <w:pPr>
        <w:spacing w:after="0" w:line="240" w:lineRule="auto"/>
      </w:pPr>
      <w:r>
        <w:separator/>
      </w:r>
    </w:p>
  </w:endnote>
  <w:endnote w:type="continuationSeparator" w:id="0">
    <w:p w:rsidR="00BD4195" w:rsidRDefault="00B3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0" w:rsidRDefault="00B33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3A" w:rsidRPr="00BE2D3A" w:rsidRDefault="00BE2D3A" w:rsidP="00BE2D3A">
    <w:pPr>
      <w:pStyle w:val="FooterCoverPage"/>
      <w:rPr>
        <w:rFonts w:ascii="Arial" w:hAnsi="Arial" w:cs="Arial"/>
        <w:b/>
        <w:sz w:val="48"/>
      </w:rPr>
    </w:pPr>
    <w:r w:rsidRPr="00BE2D3A">
      <w:rPr>
        <w:rFonts w:ascii="Arial" w:hAnsi="Arial" w:cs="Arial"/>
        <w:b/>
        <w:sz w:val="48"/>
      </w:rPr>
      <w:t>FR</w:t>
    </w:r>
    <w:r w:rsidRPr="00BE2D3A">
      <w:rPr>
        <w:rFonts w:ascii="Arial" w:hAnsi="Arial" w:cs="Arial"/>
        <w:b/>
        <w:sz w:val="48"/>
      </w:rPr>
      <w:tab/>
    </w:r>
    <w:r w:rsidRPr="00BE2D3A">
      <w:rPr>
        <w:rFonts w:ascii="Arial" w:hAnsi="Arial" w:cs="Arial"/>
        <w:b/>
        <w:sz w:val="48"/>
      </w:rPr>
      <w:tab/>
    </w:r>
    <w:fldSimple w:instr=" DOCVARIABLE &quot;LW_Confidence&quot; \* MERGEFORMAT ">
      <w:r w:rsidR="00B33EF0">
        <w:t xml:space="preserve"> </w:t>
      </w:r>
    </w:fldSimple>
    <w:r w:rsidRPr="00BE2D3A">
      <w:tab/>
    </w:r>
    <w:r w:rsidRPr="00BE2D3A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0" w:rsidRDefault="00B33E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33E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D4195" w:rsidRDefault="00BD419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95" w:rsidRDefault="00B33EF0">
      <w:pPr>
        <w:spacing w:after="0" w:line="240" w:lineRule="auto"/>
      </w:pPr>
      <w:r>
        <w:separator/>
      </w:r>
    </w:p>
  </w:footnote>
  <w:footnote w:type="continuationSeparator" w:id="0">
    <w:p w:rsidR="00BD4195" w:rsidRDefault="00B3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0" w:rsidRDefault="00B33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0" w:rsidRDefault="00B33E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F0" w:rsidRDefault="00B33E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4DB1"/>
    <w:multiLevelType w:val="multilevel"/>
    <w:tmpl w:val="2ACEA1A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0690FA613B2448F5A0B3F9A34BBC985B"/>
    <w:docVar w:name="LW_CROSSREFERENCE" w:val="{SWD(2015) 615 final}"/>
    <w:docVar w:name="LW_DocType" w:val="NORMAL"/>
    <w:docVar w:name="LW_EMISSION" w:val="16.11.2015"/>
    <w:docVar w:name="LW_EMISSION_ISODATE" w:val="2015-11-16"/>
    <w:docVar w:name="LW_EMISSION_LOCATION" w:val="BRX"/>
    <w:docVar w:name="LW_EMISSION_PREFIX" w:val="Bruxelles, le "/>
    <w:docVar w:name="LW_EMISSION_SUFFIX" w:val=" "/>
    <w:docVar w:name="LW_ID_DOCTYPE_NONLW" w:val="CP-009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804"/>
    <w:docVar w:name="LW_REF.INTERNE" w:val="&lt;UNUSED&gt;"/>
    <w:docVar w:name="LW_SOUS.TITRE.OBJ.CP" w:val="&lt;UNUSED&gt;"/>
    <w:docVar w:name="LW_SUPERTITRE" w:val="&lt;UNUSED&gt;"/>
    <w:docVar w:name="LW_TITRE.OBJ.CP" w:val="Évaluation de l'action engagée par le ROYAUME-UNI_x000b__x000b_à la suite de la recommandation du Conseil du 19 juin 2015 visant à ce que soit mis un terme à la situation de déficit public excessif"/>
    <w:docVar w:name="LW_TYPE.DOC.CP" w:val="COMMUNICATION DE LA COMMISSION"/>
    <w:docVar w:name="LW_TYPE.DOC.CP.USERTEXT" w:val="&lt;EMPTY&gt;"/>
  </w:docVars>
  <w:rsids>
    <w:rsidRoot w:val="00BD4195"/>
    <w:rsid w:val="00B33EF0"/>
    <w:rsid w:val="00BD4195"/>
    <w:rsid w:val="00B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Times New Roman" w:hAnsi="Times New Roman"/>
      <w:b/>
      <w:bCs/>
      <w:smallCap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mallCaps/>
      <w:color w:val="000000"/>
      <w:sz w:val="24"/>
      <w:szCs w:val="24"/>
      <w:u w:color="000000"/>
      <w:bdr w:val="nil"/>
      <w:lang w:val="fr-FR" w:eastAsia="fr-FR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rker">
    <w:name w:val="Imported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1138</Words>
  <Characters>5919</Characters>
  <Application>Microsoft Office Word</Application>
  <DocSecurity>0</DocSecurity>
  <Lines>95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ANTONACCIO Raimondo (SG)</cp:lastModifiedBy>
  <cp:revision>20</cp:revision>
  <cp:lastPrinted>2015-11-16T15:34:00Z</cp:lastPrinted>
  <dcterms:created xsi:type="dcterms:W3CDTF">2015-11-13T17:48:00Z</dcterms:created>
  <dcterms:modified xsi:type="dcterms:W3CDTF">2015-11-16T15:35:00Z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