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45" w:rsidRDefault="00034468" w:rsidP="0003446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8D69E46BB7A41FDAC841661FCAC8B41" style="width:451.25pt;height:362.5pt">
            <v:imagedata r:id="rId8" o:title=""/>
          </v:shape>
        </w:pict>
      </w:r>
    </w:p>
    <w:bookmarkEnd w:id="0"/>
    <w:p w:rsidR="00E11E45" w:rsidRDefault="00E11E45">
      <w:pPr>
        <w:rPr>
          <w:noProof/>
        </w:rPr>
        <w:sectPr w:rsidR="00E11E45" w:rsidSect="0003446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rsidR="00E11E45" w:rsidRDefault="00034468">
      <w:pPr>
        <w:jc w:val="center"/>
        <w:rPr>
          <w:rFonts w:ascii="Times New Roman" w:hAnsi="Times New Roman"/>
          <w:b/>
          <w:noProof/>
          <w:sz w:val="24"/>
          <w:szCs w:val="24"/>
        </w:rPr>
      </w:pPr>
      <w:bookmarkStart w:id="1" w:name="_GoBack"/>
      <w:bookmarkEnd w:id="1"/>
      <w:r>
        <w:rPr>
          <w:rFonts w:ascii="Times New Roman" w:hAnsi="Times New Roman"/>
          <w:b/>
          <w:noProof/>
          <w:sz w:val="24"/>
        </w:rPr>
        <w:lastRenderedPageBreak/>
        <w:t>СЪОБЩЕНИЕ НА КОМИСИЯТА</w:t>
      </w:r>
    </w:p>
    <w:p w:rsidR="00E11E45" w:rsidRDefault="00034468">
      <w:pPr>
        <w:jc w:val="center"/>
        <w:rPr>
          <w:rFonts w:ascii="Times New Roman" w:hAnsi="Times New Roman"/>
          <w:b/>
          <w:noProof/>
          <w:sz w:val="24"/>
        </w:rPr>
      </w:pPr>
      <w:r>
        <w:rPr>
          <w:rFonts w:ascii="Times New Roman" w:hAnsi="Times New Roman"/>
          <w:b/>
          <w:noProof/>
          <w:sz w:val="24"/>
        </w:rPr>
        <w:t>Оценка на предприетите от ОБЕДИНЕНОТО КРАЛСТВО действия</w:t>
      </w:r>
    </w:p>
    <w:p w:rsidR="00E11E45" w:rsidRDefault="00034468">
      <w:pPr>
        <w:jc w:val="center"/>
        <w:rPr>
          <w:rFonts w:ascii="Times New Roman" w:hAnsi="Times New Roman"/>
          <w:b/>
          <w:noProof/>
          <w:sz w:val="24"/>
          <w:szCs w:val="24"/>
        </w:rPr>
      </w:pPr>
      <w:r>
        <w:rPr>
          <w:rFonts w:ascii="Times New Roman" w:hAnsi="Times New Roman"/>
          <w:b/>
          <w:noProof/>
          <w:sz w:val="24"/>
          <w:szCs w:val="24"/>
        </w:rPr>
        <w:br/>
      </w:r>
      <w:r>
        <w:rPr>
          <w:rFonts w:ascii="Times New Roman" w:hAnsi="Times New Roman"/>
          <w:b/>
          <w:noProof/>
          <w:sz w:val="24"/>
        </w:rPr>
        <w:t xml:space="preserve">в отговор на </w:t>
      </w:r>
      <w:r>
        <w:rPr>
          <w:rFonts w:ascii="Times New Roman" w:hAnsi="Times New Roman"/>
          <w:b/>
          <w:noProof/>
          <w:sz w:val="24"/>
        </w:rPr>
        <w:t>Препоръката на Съвета от 19 юни 2015 г. с оглед прекратяването на съществуващия прекомерен бюджетен дефицит</w:t>
      </w:r>
    </w:p>
    <w:p w:rsidR="00E11E45" w:rsidRDefault="00034468">
      <w:pPr>
        <w:pStyle w:val="Heading1"/>
        <w:numPr>
          <w:ilvl w:val="0"/>
          <w:numId w:val="1"/>
        </w:numPr>
        <w:tabs>
          <w:tab w:val="clear" w:pos="850"/>
          <w:tab w:val="left" w:pos="567"/>
        </w:tabs>
        <w:ind w:left="567" w:hanging="567"/>
        <w:rPr>
          <w:noProof/>
        </w:rPr>
      </w:pPr>
      <w:r>
        <w:rPr>
          <w:noProof/>
        </w:rPr>
        <w:t>Въведение</w:t>
      </w:r>
    </w:p>
    <w:p w:rsidR="00E11E45" w:rsidRDefault="00034468">
      <w:pPr>
        <w:tabs>
          <w:tab w:val="left" w:pos="360"/>
        </w:tabs>
        <w:spacing w:before="120" w:after="120" w:line="240" w:lineRule="auto"/>
        <w:jc w:val="both"/>
        <w:rPr>
          <w:rFonts w:ascii="Times New Roman" w:hAnsi="Times New Roman"/>
          <w:noProof/>
          <w:sz w:val="24"/>
        </w:rPr>
      </w:pPr>
      <w:r>
        <w:rPr>
          <w:rFonts w:ascii="Times New Roman" w:hAnsi="Times New Roman"/>
          <w:noProof/>
          <w:sz w:val="24"/>
        </w:rPr>
        <w:t>На 19 юни 2015 г. Съветът отправи препоръка към Обединеното кралство съгласно член 126, параграф 7 от Договора с оглед преодоляване на пре</w:t>
      </w:r>
      <w:r>
        <w:rPr>
          <w:rFonts w:ascii="Times New Roman" w:hAnsi="Times New Roman"/>
          <w:noProof/>
          <w:sz w:val="24"/>
        </w:rPr>
        <w:t>комерния дефицит до 2016—2017 г. На Обединеното кралство беше препоръчано да постигне номинален дефицит от 4,1 % от БВП през 2015—2016 г. и от 2,7 % от БВП през 2016—2017 г. Въз основа на макроикономическата прогноза, залегнала в препоръката на Съвета, тов</w:t>
      </w:r>
      <w:r>
        <w:rPr>
          <w:rFonts w:ascii="Times New Roman" w:hAnsi="Times New Roman"/>
          <w:noProof/>
          <w:sz w:val="24"/>
        </w:rPr>
        <w:t>а беше счетено за съответстващо на подобрение на структурното салдо от 0,5 % от БВП през 2015—2016 г. и от 1,1 % от БВП през 2016—2017 г.</w:t>
      </w:r>
      <w:r>
        <w:rPr>
          <w:rFonts w:ascii="Times New Roman" w:hAnsi="Times New Roman"/>
          <w:noProof/>
        </w:rPr>
        <w:t xml:space="preserve"> </w:t>
      </w:r>
      <w:r>
        <w:rPr>
          <w:rFonts w:ascii="Times New Roman" w:hAnsi="Times New Roman"/>
          <w:noProof/>
          <w:sz w:val="24"/>
        </w:rPr>
        <w:t>Съветът не е изискал допълнителни мерки, различни от вече включените във всички бюджети и в есенните отчети на  Обедин</w:t>
      </w:r>
      <w:r>
        <w:rPr>
          <w:rFonts w:ascii="Times New Roman" w:hAnsi="Times New Roman"/>
          <w:noProof/>
          <w:sz w:val="24"/>
        </w:rPr>
        <w:t>еното кралство — до и включително бюджета за 2015 година.</w:t>
      </w:r>
    </w:p>
    <w:p w:rsidR="00E11E45" w:rsidRDefault="00034468">
      <w:pPr>
        <w:tabs>
          <w:tab w:val="left" w:pos="360"/>
        </w:tabs>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съответствие с член 3, параграф 4, буква а) от Регламент (ЕО) № 1467/97 на Съвета, Съветът определи 15 октомври 2015 г. като краен срок за Обединеното кралство да докладва подробно за предприетите</w:t>
      </w:r>
      <w:r>
        <w:rPr>
          <w:rFonts w:ascii="Times New Roman" w:hAnsi="Times New Roman"/>
          <w:noProof/>
          <w:sz w:val="24"/>
        </w:rPr>
        <w:t xml:space="preserve"> действия по своята консолидационна стратегия. В рамките на установения срок органите на Обединеното кралство представиха на Комисията доклад, съдържащ предприетите от тях мерки за постигане на определените от Съвета цели. </w:t>
      </w:r>
    </w:p>
    <w:p w:rsidR="00E11E45" w:rsidRDefault="00034468">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Комисията разгледа бюджетната стратегия на Обединеното кралство въз основа на информацията, включена в доклада за предприетите действия, и икономическата прогноза на Службата за бюджетна отговорност (OBR), за да прецени дали Обединеното кралство е спазило </w:t>
      </w:r>
      <w:r>
        <w:rPr>
          <w:rFonts w:ascii="Times New Roman" w:hAnsi="Times New Roman"/>
          <w:noProof/>
          <w:sz w:val="24"/>
        </w:rPr>
        <w:t xml:space="preserve">препоръката на Съвета от 19 юни 2015 г. </w:t>
      </w:r>
    </w:p>
    <w:p w:rsidR="00E11E45" w:rsidRDefault="00034468">
      <w:pPr>
        <w:pStyle w:val="Heading1"/>
        <w:numPr>
          <w:ilvl w:val="0"/>
          <w:numId w:val="1"/>
        </w:numPr>
        <w:tabs>
          <w:tab w:val="clear" w:pos="850"/>
          <w:tab w:val="left" w:pos="567"/>
        </w:tabs>
        <w:ind w:left="567" w:hanging="567"/>
        <w:rPr>
          <w:noProof/>
        </w:rPr>
      </w:pPr>
      <w:r>
        <w:rPr>
          <w:noProof/>
        </w:rPr>
        <w:t>Включени в доклада предприети действия и актуализирани бюджетни прогнози</w:t>
      </w:r>
    </w:p>
    <w:p w:rsidR="00E11E45" w:rsidRDefault="00034468">
      <w:pPr>
        <w:tabs>
          <w:tab w:val="left" w:pos="360"/>
        </w:tabs>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В доклада за предприетите действия се потвърждава бюджетната стратегия, очертана в бюджета на новото правителство, публикуван на 8 юли, която </w:t>
      </w:r>
      <w:r>
        <w:rPr>
          <w:rFonts w:ascii="Times New Roman" w:hAnsi="Times New Roman"/>
          <w:noProof/>
          <w:sz w:val="24"/>
          <w:szCs w:val="24"/>
        </w:rPr>
        <w:t>има за цел да коригира прекомерния дефицит до определения от Съвета краен срок 2016—2017 г. Докладът не включва нови мерки по отношение на посочения бюджет от месец юли. В доклада обаче са разгледани мерките, които са в съответствие с препоръката на Съвета</w:t>
      </w:r>
      <w:r>
        <w:rPr>
          <w:rFonts w:ascii="Times New Roman" w:hAnsi="Times New Roman"/>
          <w:noProof/>
          <w:sz w:val="24"/>
          <w:szCs w:val="24"/>
        </w:rPr>
        <w:t xml:space="preserve"> от 19 юни 2015 г. Въпреки че в препоръката не се изискват допълнителни мерки за свеждането на прекомерния дефицит до под 3 % от БВП, с цел по-съществено намаляване на дефицита през 2016—2017 г. в бюджета бяха обявени допълнителни мерки — спестени социални</w:t>
      </w:r>
      <w:r>
        <w:rPr>
          <w:rFonts w:ascii="Times New Roman" w:hAnsi="Times New Roman"/>
          <w:noProof/>
          <w:sz w:val="24"/>
          <w:szCs w:val="24"/>
        </w:rPr>
        <w:t xml:space="preserve"> разходи в размер на 5 млрд. британски лири (0,25 % от БВП) и нетни увеличения на данъците в размер на 1 млрд. британски лири (0,05 % от БВП).</w:t>
      </w:r>
    </w:p>
    <w:p w:rsidR="00E11E45" w:rsidRDefault="00034468">
      <w:pPr>
        <w:tabs>
          <w:tab w:val="left" w:pos="360"/>
        </w:tabs>
        <w:spacing w:before="120" w:after="120" w:line="240" w:lineRule="auto"/>
        <w:jc w:val="both"/>
        <w:rPr>
          <w:rFonts w:ascii="Times New Roman" w:hAnsi="Times New Roman"/>
          <w:noProof/>
          <w:sz w:val="24"/>
          <w:szCs w:val="24"/>
        </w:rPr>
      </w:pPr>
      <w:r>
        <w:rPr>
          <w:rFonts w:ascii="Times New Roman" w:hAnsi="Times New Roman"/>
          <w:noProof/>
          <w:sz w:val="24"/>
          <w:szCs w:val="24"/>
        </w:rPr>
        <w:t>Подобрението вследствие на спестените социални разходи през 2016—2017 г. произтича по същество от намаляване на п</w:t>
      </w:r>
      <w:r>
        <w:rPr>
          <w:rFonts w:ascii="Times New Roman" w:hAnsi="Times New Roman"/>
          <w:noProof/>
          <w:sz w:val="24"/>
          <w:szCs w:val="24"/>
        </w:rPr>
        <w:t>раговете на доходите, допустими за данъчни кредити, и на надбавките за работа в рамките на Universal Credit (2,9 млрд. британски лири), както и от увеличаване на 48 % на процента на намаляване на тези данъчни кредити (1,5 млрд. британски лири). Основната н</w:t>
      </w:r>
      <w:r>
        <w:rPr>
          <w:rFonts w:ascii="Times New Roman" w:hAnsi="Times New Roman"/>
          <w:noProof/>
          <w:sz w:val="24"/>
          <w:szCs w:val="24"/>
        </w:rPr>
        <w:t xml:space="preserve">ова данъчна мярка, представена в </w:t>
      </w:r>
      <w:r>
        <w:rPr>
          <w:rFonts w:ascii="Times New Roman" w:hAnsi="Times New Roman"/>
          <w:noProof/>
          <w:sz w:val="24"/>
          <w:szCs w:val="24"/>
        </w:rPr>
        <w:lastRenderedPageBreak/>
        <w:t>бюджета, е увеличението на данъка върху застрахователните премии: от 6 % на 9,5 %. Това поражда действие от 1 ноември 2015 г., т.е. част от мярката следва да се отчете през 2015—2016 г., а остатъкът — през 2016—2017 г.; съо</w:t>
      </w:r>
      <w:r>
        <w:rPr>
          <w:rFonts w:ascii="Times New Roman" w:hAnsi="Times New Roman"/>
          <w:noProof/>
          <w:sz w:val="24"/>
          <w:szCs w:val="24"/>
        </w:rPr>
        <w:t>тветно 0,5 млрд. британски лири и 1 млрд. британски лири.</w:t>
      </w:r>
    </w:p>
    <w:p w:rsidR="00E11E45" w:rsidRDefault="00034468">
      <w:pPr>
        <w:tabs>
          <w:tab w:val="left" w:pos="360"/>
        </w:tabs>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Предвид информацията, предоставена в доклада за предприетите действия, в прогнозата на Комисията от есента на 2015 г. се предвижда дефицитът по консолидирания държавен бюджет да намалее до 3,9 % от </w:t>
      </w:r>
      <w:r>
        <w:rPr>
          <w:rFonts w:ascii="Times New Roman" w:hAnsi="Times New Roman"/>
          <w:noProof/>
          <w:sz w:val="24"/>
          <w:szCs w:val="24"/>
        </w:rPr>
        <w:t xml:space="preserve">БВП през 2015—2016 г. и до 2,4 % от БВП през 2016—2017 г. — под заложените в препоръката на Съвета цели за номиналния дефицит съответно от 4,1 % от БВП и 2,7 % от БВП. </w:t>
      </w:r>
    </w:p>
    <w:p w:rsidR="00E11E45" w:rsidRDefault="00034468">
      <w:pPr>
        <w:tabs>
          <w:tab w:val="left" w:pos="360"/>
        </w:tabs>
        <w:spacing w:before="120" w:after="120" w:line="240" w:lineRule="auto"/>
        <w:jc w:val="both"/>
        <w:rPr>
          <w:rFonts w:ascii="Times New Roman" w:eastAsia="Times New Roman" w:hAnsi="Times New Roman"/>
          <w:b/>
          <w:bCs/>
          <w:smallCaps/>
          <w:noProof/>
          <w:sz w:val="24"/>
          <w:szCs w:val="24"/>
        </w:rPr>
      </w:pPr>
      <w:r>
        <w:rPr>
          <w:rFonts w:ascii="Times New Roman" w:hAnsi="Times New Roman"/>
          <w:noProof/>
          <w:sz w:val="24"/>
          <w:szCs w:val="24"/>
        </w:rPr>
        <w:t>Рисковете за бюджетните прогнози за 2015—2016 г. и 2016—2017 г., както се предвижда в п</w:t>
      </w:r>
      <w:r>
        <w:rPr>
          <w:rFonts w:ascii="Times New Roman" w:hAnsi="Times New Roman"/>
          <w:noProof/>
          <w:sz w:val="24"/>
          <w:szCs w:val="24"/>
        </w:rPr>
        <w:t>рогнозата на Комисията от есента на 2015 г., изглеждат като цяло уравновесени, при условие че няма рискове при правоприлагането. Макар че не се очаква съществен преразход спрямо планираното, икономическите резултати са изложени както на положителни, така и</w:t>
      </w:r>
      <w:r>
        <w:rPr>
          <w:rFonts w:ascii="Times New Roman" w:hAnsi="Times New Roman"/>
          <w:noProof/>
          <w:sz w:val="24"/>
          <w:szCs w:val="24"/>
        </w:rPr>
        <w:t xml:space="preserve"> на отрицателни рискове. От една страна, по-добрите от очакваните инвестиции може да доведат до по-висок растеж, но от друга страна, една по-силна парична единица може да намали вноса повече от очакваното.</w:t>
      </w:r>
    </w:p>
    <w:p w:rsidR="00E11E45" w:rsidRDefault="00034468">
      <w:pPr>
        <w:pStyle w:val="Heading1"/>
        <w:numPr>
          <w:ilvl w:val="0"/>
          <w:numId w:val="1"/>
        </w:numPr>
        <w:tabs>
          <w:tab w:val="clear" w:pos="850"/>
          <w:tab w:val="left" w:pos="567"/>
        </w:tabs>
        <w:ind w:left="567" w:hanging="567"/>
        <w:rPr>
          <w:noProof/>
        </w:rPr>
      </w:pPr>
      <w:r>
        <w:rPr>
          <w:noProof/>
        </w:rPr>
        <w:t>Оценка на предприетите действия</w:t>
      </w:r>
    </w:p>
    <w:p w:rsidR="00E11E45" w:rsidRDefault="00034468">
      <w:pPr>
        <w:spacing w:before="120" w:after="120" w:line="240" w:lineRule="auto"/>
        <w:jc w:val="both"/>
        <w:rPr>
          <w:rFonts w:ascii="Times New Roman" w:hAnsi="Times New Roman"/>
          <w:noProof/>
        </w:rPr>
      </w:pPr>
      <w:r>
        <w:rPr>
          <w:rFonts w:ascii="Times New Roman" w:hAnsi="Times New Roman"/>
          <w:noProof/>
          <w:sz w:val="24"/>
        </w:rPr>
        <w:t>Въз основа на инфо</w:t>
      </w:r>
      <w:r>
        <w:rPr>
          <w:rFonts w:ascii="Times New Roman" w:hAnsi="Times New Roman"/>
          <w:noProof/>
          <w:sz w:val="24"/>
        </w:rPr>
        <w:t>рмацията, представена в доклада за предприетите действия, в прогнозата на Комисията от есента се предвижда номинален дефицит от 3,9 % от БВП през 2015—2016 г. и 2,4 % през 2016—2017 г., което е под определените от Съвета цели. През двете години се очаква к</w:t>
      </w:r>
      <w:r>
        <w:rPr>
          <w:rFonts w:ascii="Times New Roman" w:hAnsi="Times New Roman"/>
          <w:noProof/>
          <w:sz w:val="24"/>
        </w:rPr>
        <w:t>орекцията на структурното салдо да надхвърли препоръчаната от Съвета корекция.</w:t>
      </w:r>
    </w:p>
    <w:p w:rsidR="00E11E45" w:rsidRDefault="00034468">
      <w:pPr>
        <w:spacing w:before="120" w:after="240" w:line="240" w:lineRule="auto"/>
        <w:jc w:val="both"/>
        <w:rPr>
          <w:rFonts w:ascii="Times New Roman" w:hAnsi="Times New Roman"/>
          <w:noProof/>
          <w:sz w:val="24"/>
          <w:szCs w:val="24"/>
        </w:rPr>
      </w:pPr>
      <w:r>
        <w:rPr>
          <w:rFonts w:ascii="Times New Roman" w:hAnsi="Times New Roman"/>
          <w:noProof/>
          <w:sz w:val="24"/>
        </w:rPr>
        <w:t>Подобрението на структурното салдо в прогнозата на Комисията от есента на 2015 г. възлиза на 0,7 % от БВП през 2015—2016 г. и на 1,3 % през 2016—2017 г., което е над подобрениет</w:t>
      </w:r>
      <w:r>
        <w:rPr>
          <w:rFonts w:ascii="Times New Roman" w:hAnsi="Times New Roman"/>
          <w:noProof/>
          <w:sz w:val="24"/>
        </w:rPr>
        <w:t>о съответно от 0,5 % от БВП и 1,1 % от БВП, препоръчано от Съвета.</w:t>
      </w:r>
    </w:p>
    <w:p w:rsidR="00E11E45" w:rsidRDefault="00034468">
      <w:pPr>
        <w:spacing w:before="120" w:after="240" w:line="240" w:lineRule="auto"/>
        <w:jc w:val="both"/>
        <w:rPr>
          <w:rFonts w:ascii="Times New Roman" w:hAnsi="Times New Roman"/>
          <w:noProof/>
          <w:sz w:val="24"/>
          <w:szCs w:val="24"/>
        </w:rPr>
      </w:pPr>
      <w:r>
        <w:rPr>
          <w:rFonts w:ascii="Times New Roman" w:hAnsi="Times New Roman"/>
          <w:noProof/>
          <w:sz w:val="24"/>
        </w:rPr>
        <w:t>Тъй като се очаква целите за номиналния дефицит и корекцията на структурното салдо да бъдат изпълнени през 2015—2016 г. и през 2016—2017 г., не е необходим задълбочен анализ на фискалната к</w:t>
      </w:r>
      <w:r>
        <w:rPr>
          <w:rFonts w:ascii="Times New Roman" w:hAnsi="Times New Roman"/>
          <w:noProof/>
          <w:sz w:val="24"/>
        </w:rPr>
        <w:t>орекция. В действителност, въз основа на договорената методика, спазването на целта за номиналния дефицит, в съчетание с очакваното подобрение на структурното салдо, е достатъчно, за да се установи, че в отговор на препоръката на Съвета са предприети ефект</w:t>
      </w:r>
      <w:r>
        <w:rPr>
          <w:rFonts w:ascii="Times New Roman" w:hAnsi="Times New Roman"/>
          <w:noProof/>
          <w:sz w:val="24"/>
        </w:rPr>
        <w:t>ивни действия.</w:t>
      </w:r>
    </w:p>
    <w:p w:rsidR="00E11E45" w:rsidRDefault="00034468">
      <w:pPr>
        <w:tabs>
          <w:tab w:val="left" w:pos="360"/>
        </w:tabs>
        <w:spacing w:before="120" w:after="120" w:line="240" w:lineRule="auto"/>
        <w:jc w:val="center"/>
        <w:rPr>
          <w:rFonts w:ascii="Times New Roman"/>
          <w:b/>
          <w:bCs/>
          <w:noProof/>
          <w:sz w:val="24"/>
          <w:szCs w:val="24"/>
          <w:lang w:val="en-US"/>
        </w:rPr>
      </w:pPr>
      <w:r>
        <w:rPr>
          <w:rFonts w:ascii="Times New Roman"/>
          <w:b/>
          <w:noProof/>
          <w:sz w:val="24"/>
        </w:rPr>
        <w:t>Таблица</w:t>
      </w:r>
      <w:r>
        <w:rPr>
          <w:rFonts w:ascii="Times New Roman"/>
          <w:b/>
          <w:noProof/>
          <w:sz w:val="24"/>
        </w:rPr>
        <w:t xml:space="preserve"> 1. </w:t>
      </w:r>
      <w:r>
        <w:rPr>
          <w:rFonts w:ascii="Times New Roman"/>
          <w:b/>
          <w:noProof/>
          <w:sz w:val="24"/>
        </w:rPr>
        <w:t>Съпоставка</w:t>
      </w:r>
      <w:r>
        <w:rPr>
          <w:rFonts w:ascii="Times New Roman"/>
          <w:b/>
          <w:noProof/>
          <w:sz w:val="24"/>
        </w:rPr>
        <w:t xml:space="preserve"> </w:t>
      </w:r>
      <w:r>
        <w:rPr>
          <w:rFonts w:ascii="Times New Roman"/>
          <w:b/>
          <w:noProof/>
          <w:sz w:val="24"/>
        </w:rPr>
        <w:t>на</w:t>
      </w:r>
      <w:r>
        <w:rPr>
          <w:rFonts w:ascii="Times New Roman"/>
          <w:b/>
          <w:noProof/>
          <w:sz w:val="24"/>
        </w:rPr>
        <w:t xml:space="preserve"> </w:t>
      </w:r>
      <w:r>
        <w:rPr>
          <w:rFonts w:ascii="Times New Roman"/>
          <w:b/>
          <w:noProof/>
          <w:sz w:val="24"/>
        </w:rPr>
        <w:t>бюджетните</w:t>
      </w:r>
      <w:r>
        <w:rPr>
          <w:rFonts w:ascii="Times New Roman"/>
          <w:b/>
          <w:noProof/>
          <w:sz w:val="24"/>
        </w:rPr>
        <w:t xml:space="preserve"> </w:t>
      </w:r>
      <w:r>
        <w:rPr>
          <w:rFonts w:ascii="Times New Roman"/>
          <w:b/>
          <w:noProof/>
          <w:sz w:val="24"/>
        </w:rPr>
        <w:t>прогнози</w:t>
      </w:r>
    </w:p>
    <w:p w:rsidR="00E11E45" w:rsidRDefault="00034468">
      <w:pPr>
        <w:tabs>
          <w:tab w:val="left" w:pos="360"/>
        </w:tabs>
        <w:spacing w:before="120" w:after="120" w:line="240" w:lineRule="auto"/>
        <w:jc w:val="both"/>
        <w:rPr>
          <w:noProof/>
        </w:rPr>
      </w:pPr>
      <w:r>
        <w:rPr>
          <w:noProof/>
        </w:rPr>
        <w:pict>
          <v:shape id="_x0000_i1026" type="#_x0000_t75" style="width:453.75pt;height:135.65pt">
            <v:imagedata r:id="rId15" o:title=""/>
          </v:shape>
        </w:pict>
      </w:r>
    </w:p>
    <w:p w:rsidR="00E11E45" w:rsidRDefault="00034468">
      <w:pPr>
        <w:pStyle w:val="Heading1"/>
        <w:numPr>
          <w:ilvl w:val="0"/>
          <w:numId w:val="1"/>
        </w:numPr>
        <w:tabs>
          <w:tab w:val="clear" w:pos="850"/>
          <w:tab w:val="left" w:pos="567"/>
        </w:tabs>
        <w:ind w:left="567" w:hanging="567"/>
        <w:rPr>
          <w:noProof/>
        </w:rPr>
      </w:pPr>
      <w:r>
        <w:rPr>
          <w:noProof/>
        </w:rPr>
        <w:br w:type="page"/>
        <w:t>Заключение</w:t>
      </w:r>
    </w:p>
    <w:p w:rsidR="00E11E45" w:rsidRDefault="00034468">
      <w:pPr>
        <w:spacing w:before="120" w:after="120" w:line="240" w:lineRule="auto"/>
        <w:jc w:val="both"/>
        <w:rPr>
          <w:rFonts w:ascii="Times New Roman" w:hAnsi="Times New Roman"/>
          <w:noProof/>
          <w:sz w:val="24"/>
          <w:szCs w:val="24"/>
        </w:rPr>
      </w:pPr>
      <w:r>
        <w:rPr>
          <w:rFonts w:ascii="Times New Roman" w:hAnsi="Times New Roman"/>
          <w:noProof/>
          <w:sz w:val="24"/>
        </w:rPr>
        <w:t>В доклада за предприетите действия, представен от Обединеното кралство на 19 октомври 2015 г., се потвърждава планът на правителството на Обединеното кралство за коригиране на преком</w:t>
      </w:r>
      <w:r>
        <w:rPr>
          <w:rFonts w:ascii="Times New Roman" w:hAnsi="Times New Roman"/>
          <w:noProof/>
          <w:sz w:val="24"/>
        </w:rPr>
        <w:t>ерния дефицит до определения от Съвета краен срок 2016—2017 г. и се предоставя подробна информация за мерките, залегнали в бюджетната стратегия. Не са необходими допълнителни мерки с цел спазване на препоръката на Съвета, но въпреки това в бюджета от месец</w:t>
      </w:r>
      <w:r>
        <w:rPr>
          <w:rFonts w:ascii="Times New Roman" w:hAnsi="Times New Roman"/>
          <w:noProof/>
          <w:sz w:val="24"/>
        </w:rPr>
        <w:t xml:space="preserve"> юли бяха обявени допълнителни мерки, които също са включени в доклада за предприетите действия. </w:t>
      </w:r>
    </w:p>
    <w:p w:rsidR="00E11E45" w:rsidRDefault="00034468">
      <w:pPr>
        <w:spacing w:before="120" w:after="120" w:line="240" w:lineRule="auto"/>
        <w:jc w:val="both"/>
        <w:rPr>
          <w:noProof/>
        </w:rPr>
      </w:pPr>
      <w:r>
        <w:rPr>
          <w:rFonts w:ascii="Times New Roman" w:hAnsi="Times New Roman"/>
          <w:noProof/>
          <w:sz w:val="24"/>
        </w:rPr>
        <w:t>Като цяло, въз основа на наличната информация, дефицитът по консолидирания държавен бюджет се очаква да достигне 3,9 % от БВП през 2015—2016 г. и 2,4 % през 2</w:t>
      </w:r>
      <w:r>
        <w:rPr>
          <w:rFonts w:ascii="Times New Roman" w:hAnsi="Times New Roman"/>
          <w:noProof/>
          <w:sz w:val="24"/>
        </w:rPr>
        <w:t>016—2017 г. — в съответствие с целите, препоръчани от Съвета на 19 юни 2015 г. Подобрението на структурното салдо, според оценката в прогнозата на Комисията от есента на 2015 г., от 0,7 % от БВП през 2015—2016 г. и от 1,3 % през 2016—2017 г., също изглежда</w:t>
      </w:r>
      <w:r>
        <w:rPr>
          <w:rFonts w:ascii="Times New Roman" w:hAnsi="Times New Roman"/>
          <w:noProof/>
          <w:sz w:val="24"/>
        </w:rPr>
        <w:t xml:space="preserve"> в съответствие с целите съответно от 0,5 % от БВП и 1,1 % от БВП. Съгласно методиката за оценяване на ефективността на действията, като се има предвид, че Обединеното кралство изпълнява целите за номинален дефицит и очакваните подобрения на структурното с</w:t>
      </w:r>
      <w:r>
        <w:rPr>
          <w:rFonts w:ascii="Times New Roman" w:hAnsi="Times New Roman"/>
          <w:noProof/>
          <w:sz w:val="24"/>
        </w:rPr>
        <w:t>алдо, препоръчани за 2015—2016 г., както и за 2016—2017 г., Комисията счита, че процедурата следва да се прекрати.</w:t>
      </w:r>
    </w:p>
    <w:sectPr w:rsidR="00E11E4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E45" w:rsidRDefault="00034468">
      <w:pPr>
        <w:spacing w:after="0" w:line="240" w:lineRule="auto"/>
      </w:pPr>
      <w:r>
        <w:separator/>
      </w:r>
    </w:p>
  </w:endnote>
  <w:endnote w:type="continuationSeparator" w:id="0">
    <w:p w:rsidR="00E11E45" w:rsidRDefault="0003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68" w:rsidRPr="00034468" w:rsidRDefault="00034468" w:rsidP="000344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68" w:rsidRPr="00034468" w:rsidRDefault="00034468" w:rsidP="00034468">
    <w:pPr>
      <w:pStyle w:val="FooterCoverPage"/>
      <w:rPr>
        <w:rFonts w:ascii="Arial" w:hAnsi="Arial" w:cs="Arial"/>
        <w:b/>
        <w:sz w:val="48"/>
      </w:rPr>
    </w:pPr>
    <w:r w:rsidRPr="00034468">
      <w:rPr>
        <w:rFonts w:ascii="Arial" w:hAnsi="Arial" w:cs="Arial"/>
        <w:b/>
        <w:sz w:val="48"/>
      </w:rPr>
      <w:t>BG</w:t>
    </w:r>
    <w:r w:rsidRPr="00034468">
      <w:rPr>
        <w:rFonts w:ascii="Arial" w:hAnsi="Arial" w:cs="Arial"/>
        <w:b/>
        <w:sz w:val="48"/>
      </w:rPr>
      <w:tab/>
    </w:r>
    <w:r w:rsidRPr="00034468">
      <w:rPr>
        <w:rFonts w:ascii="Arial" w:hAnsi="Arial" w:cs="Arial"/>
        <w:b/>
        <w:sz w:val="48"/>
      </w:rPr>
      <w:tab/>
    </w:r>
    <w:fldSimple w:instr=" DOCVARIABLE &quot;LW_Confidence&quot; \* MERGEFORMAT ">
      <w:r>
        <w:t xml:space="preserve"> </w:t>
      </w:r>
    </w:fldSimple>
    <w:r w:rsidRPr="00034468">
      <w:tab/>
    </w:r>
    <w:r w:rsidRPr="00034468">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68" w:rsidRPr="00034468" w:rsidRDefault="00034468" w:rsidP="0003446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45" w:rsidRDefault="00E11E4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45" w:rsidRDefault="00034468">
    <w:pPr>
      <w:pStyle w:val="Footer"/>
      <w:jc w:val="center"/>
    </w:pPr>
    <w:r>
      <w:fldChar w:fldCharType="begin"/>
    </w:r>
    <w:r>
      <w:instrText xml:space="preserve"> PAGE   \* MERGEFORMAT </w:instrText>
    </w:r>
    <w:r>
      <w:fldChar w:fldCharType="separate"/>
    </w:r>
    <w:r>
      <w:rPr>
        <w:noProof/>
      </w:rPr>
      <w:t>2</w:t>
    </w:r>
    <w:r>
      <w:rPr>
        <w:noProof/>
      </w:rPr>
      <w:fldChar w:fldCharType="end"/>
    </w:r>
  </w:p>
  <w:p w:rsidR="00E11E45" w:rsidRDefault="00E11E4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45" w:rsidRDefault="00E11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E45" w:rsidRDefault="00034468">
      <w:pPr>
        <w:spacing w:after="0" w:line="240" w:lineRule="auto"/>
      </w:pPr>
      <w:r>
        <w:separator/>
      </w:r>
    </w:p>
  </w:footnote>
  <w:footnote w:type="continuationSeparator" w:id="0">
    <w:p w:rsidR="00E11E45" w:rsidRDefault="00034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68" w:rsidRPr="00034468" w:rsidRDefault="00034468" w:rsidP="000344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68" w:rsidRPr="00034468" w:rsidRDefault="00034468" w:rsidP="0003446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68" w:rsidRPr="00034468" w:rsidRDefault="00034468" w:rsidP="0003446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45" w:rsidRDefault="00E11E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45" w:rsidRDefault="00E11E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45" w:rsidRDefault="00E11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34DB1"/>
    <w:multiLevelType w:val="multilevel"/>
    <w:tmpl w:val="2ACEA1A2"/>
    <w:styleLink w:val="ImportedStyle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EU RESTRICTED"/>
    <w:docVar w:name="LW_CORRIGENDUM" w:val="&lt;UNUSED&gt;"/>
    <w:docVar w:name="LW_COVERPAGE_GUID" w:val="08D69E46BB7A41FDAC841661FCAC8B41"/>
    <w:docVar w:name="LW_CROSSREFERENCE" w:val="{SWD(2015) 615 final}"/>
    <w:docVar w:name="LW_DocType" w:val="NORMAL"/>
    <w:docVar w:name="LW_EMISSION" w:val="16.11.2015"/>
    <w:docVar w:name="LW_EMISSION_ISODATE" w:val="2015-11-16"/>
    <w:docVar w:name="LW_EMISSION_LOCATION" w:val="BRX"/>
    <w:docVar w:name="LW_EMISSION_PREFIX" w:val="\u1041?\u1088?\u1102?\u1082?\u1089?\u1077?\u1083?, "/>
    <w:docVar w:name="LW_EMISSION_SUFFIX" w:val=" \u1075?."/>
    <w:docVar w:name="LW_ID_DOCTYPE_NONLW" w:val="CP-009"/>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804"/>
    <w:docVar w:name="LW_REF.INTERNE" w:val="&lt;UNUSED&gt;"/>
    <w:docVar w:name="LW_SOUS.TITRE.OBJ.CP" w:val="&lt;UNUSED&gt;"/>
    <w:docVar w:name="LW_SUPERTITRE" w:val="&lt;UNUSED&gt;"/>
    <w:docVar w:name="LW_TITRE.OBJ.CP" w:val="\u1054?\u1094?\u1077?\u1085?\u1082?\u1072? \u1085?\u1072? \u1087?\u1088?\u1077?\u1076?\u1087?\u1088?\u1080?\u1077?\u1090?\u1080?\u1090?\u1077? \u1086?\u1090? \u1054?\u1041?\u1045?\u1044?\u1048?\u1053?\u1045?\u1053?\u1054?\u1058?\u1054? \u1050?\u1056?\u1040?\u1051?\u1057?\u1058?\u1042?\u1054? \u1076?\u1077?\u1081?\u1089?\u1090?\u1074?\u1080?\u1103?_x000b__x000b_\u1074? \u1086?\u1090?\u1075?\u1086?\u1074?\u1086?\u1088? \u1085?\u1072? \u1055?\u1088?\u1077?\u1087?\u1086?\u1088?\u1098?\u1082?\u1072?\u1090?\u1072? \u1085?\u1072? \u1057?\u1098?\u1074?\u1077?\u1090?\u1072? \u1086?\u1090? 19 \u1102?\u1085?\u1080? 2015 \u1075?. \u1089? \u1086?\u1075?\u1083?\u1077?\u1076? \u1087?\u1088?\u1077?\u1082?\u1088?\u1072?\u1090?\u1103?\u1074?\u1072?\u1085?\u1077?\u1090?\u1086? \u1085?\u1072? \u1089?\u1098?\u1097?\u1077?\u1089?\u1090?\u1074?\u1091?\u1074?\u1072?\u1097?\u1080?\u1103? \u1087?\u1088?\u1077?\u1082?\u1086?\u1084?\u1077?\u1088?\u1077?\u1085? \u1073?\u1102?\u1076?\u1078?\u1077?\u1090?\u1077?\u1085? \u1076?\u1077?\u1092?\u1080?\u1094?\u1080?\u1090?"/>
    <w:docVar w:name="LW_TYPE.DOC.CP" w:val="\u1057?\u1066?\u1054?\u1041?\u1065?\u1045?\u1053?\u1048?\u1045? \u1053?\u1040? \u1050?\u1054?\u1052?\u1048?\u1057?\u1048?\u1071?\u1058?\u1040?"/>
    <w:docVar w:name="LW_TYPE.DOC.CP.USERTEXT" w:val="_x000b_"/>
  </w:docVars>
  <w:rsids>
    <w:rsidRoot w:val="00E11E45"/>
    <w:rsid w:val="00034468"/>
    <w:rsid w:val="00E1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next w:val="Normal"/>
    <w:link w:val="Heading1Char"/>
    <w:pPr>
      <w:keepNext/>
      <w:pBdr>
        <w:top w:val="nil"/>
        <w:left w:val="nil"/>
        <w:bottom w:val="nil"/>
        <w:right w:val="nil"/>
        <w:between w:val="nil"/>
        <w:bar w:val="nil"/>
      </w:pBdr>
      <w:tabs>
        <w:tab w:val="left" w:pos="850"/>
      </w:tabs>
      <w:spacing w:before="360" w:after="120"/>
      <w:ind w:left="850" w:hanging="850"/>
      <w:jc w:val="both"/>
      <w:outlineLvl w:val="0"/>
    </w:pPr>
    <w:rPr>
      <w:rFonts w:ascii="Times New Roman" w:eastAsia="Times New Roman" w:hAnsi="Times New Roman"/>
      <w:b/>
      <w:bCs/>
      <w:smallCaps/>
      <w:color w:val="000000"/>
      <w:sz w:val="24"/>
      <w:szCs w:val="24"/>
      <w:u w:color="000000"/>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rPr>
      <w:rFonts w:ascii="Times New Roman" w:eastAsia="Times New Roman" w:hAnsi="Times New Roman" w:cs="Times New Roman"/>
      <w:b/>
      <w:bCs/>
      <w:smallCaps/>
      <w:color w:val="000000"/>
      <w:sz w:val="24"/>
      <w:szCs w:val="24"/>
      <w:u w:color="000000"/>
      <w:bdr w:val="nil"/>
      <w:lang w:val="bg-BG" w:eastAsia="bg-BG"/>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arker">
    <w:name w:val="ImportedStyle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1069</Words>
  <Characters>5510</Characters>
  <Application>Microsoft Office Word</Application>
  <DocSecurity>0</DocSecurity>
  <Lines>96</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ANTONACCIO Raimondo (SG)</cp:lastModifiedBy>
  <cp:revision>25</cp:revision>
  <dcterms:created xsi:type="dcterms:W3CDTF">2015-11-13T17:48:00Z</dcterms:created>
  <dcterms:modified xsi:type="dcterms:W3CDTF">2015-11-17T07:41:00Z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