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C557DFED1F44BCF8742EA7D7381744B" style="width:450.7pt;height:403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rPr>
          <w:b/>
          <w:noProof/>
        </w:rPr>
      </w:pPr>
      <w:bookmarkStart w:id="1" w:name="_GoBack"/>
      <w:bookmarkEnd w:id="1"/>
      <w:r>
        <w:rPr>
          <w:b/>
          <w:noProof/>
        </w:rPr>
        <w:lastRenderedPageBreak/>
        <w:t xml:space="preserve">Rapport concernant la période supplémentaire pour l'accomplissement des engagements au titre du protocole de Kyoto </w:t>
      </w:r>
    </w:p>
    <w:p>
      <w:pPr>
        <w:rPr>
          <w:noProof/>
        </w:rPr>
      </w:pPr>
      <w:r>
        <w:rPr>
          <w:noProof/>
        </w:rPr>
        <w:t>Le présent rapport et les documents de travail des services de la Commission qui l’accompagnent constituent le rapport de l’Union concernant la période supplémentaire pour l’accomplissement des engagements au titre de l’article 3, paragraphe 1, du protocole de Kyoto pour la première période d’engagement du protocole de Kyoto, requis au titre de l’article 22 du règlement (UE) n° 525/2013</w:t>
      </w:r>
      <w:r>
        <w:rPr>
          <w:rStyle w:val="FootnoteReference"/>
          <w:noProof/>
        </w:rPr>
        <w:footnoteReference w:id="1"/>
      </w:r>
      <w:r>
        <w:rPr>
          <w:noProof/>
        </w:rPr>
        <w:t>, conformément à la décision 13/CMP.1 de la conférence des parties agissant comme réunion des parties au protocole de Kyoto. Ils seront transmis à la CCNUCC.</w:t>
      </w:r>
    </w:p>
    <w:p>
      <w:pPr>
        <w:autoSpaceDE w:val="0"/>
        <w:autoSpaceDN w:val="0"/>
        <w:adjustRightInd w:val="0"/>
        <w:spacing w:after="0"/>
        <w:rPr>
          <w:noProof/>
        </w:rPr>
      </w:pPr>
      <w:r>
        <w:rPr>
          <w:noProof/>
        </w:rPr>
        <w:t>Les informations contenues dans le rapport faciliteront l’évaluation du respect par l’Union de ses engagements au titre de l’article 3, paragraphe 1, du protocole de Kyoto pour la première période d’engagement. Cette évaluation sera effectuée sur la base d’une confrontation de la quantité d’unités valables pour la première période d’engagement retirées à la fin de la période supplémentaire pour l’accomplissement des engagements, d'une part, et du total des émissions pour la première période d’engagement, d'autre part.</w:t>
      </w:r>
    </w:p>
    <w:p>
      <w:pPr>
        <w:rPr>
          <w:noProof/>
        </w:rPr>
      </w:pPr>
    </w:p>
    <w:p>
      <w:pPr>
        <w:rPr>
          <w:b/>
          <w:noProof/>
        </w:rPr>
      </w:pPr>
      <w:r>
        <w:rPr>
          <w:b/>
          <w:noProof/>
        </w:rPr>
        <w:t>Retrait d'unités de Kyoto</w:t>
      </w:r>
    </w:p>
    <w:p>
      <w:pPr>
        <w:rPr>
          <w:noProof/>
        </w:rPr>
      </w:pPr>
      <w:r>
        <w:rPr>
          <w:noProof/>
        </w:rPr>
        <w:t xml:space="preserve">Le protocole de Kyoto a été ratifié par l’Union européenne, à l'époque la Communauté européenne, et ses États membres le 31 mai 2002. L’UE et ses États membres tiennent conjointement leurs engagements conformément à l’article 3, paragraphe 1, du protocole, dans le respect des dispositions de l’article 4 de ce dernier. Au moment de la ratification, les 15 États membres de l'Union étaient les suivants: Allemagne, Autriche, Belgique, Danemark, Espagne, Finlande, France, Grèce, Irlande, Italie, Luxembourg, Pays-Bas, Portugal, Royaume-Uni et Suède. Ces 15 pays étaient déjà membres de l'Union lorsque le protocole de Kyoto a été adopté en décembre 1997. Conformément à l’article 4, paragraphe 4, du protocole de Kyoto, l’adhésion de 13 États membres après l’adoption du protocole n’a pas d’incidence sur les engagements au titre de la première période d’engagement. </w:t>
      </w:r>
    </w:p>
    <w:p>
      <w:pPr>
        <w:spacing w:before="0" w:after="0"/>
        <w:rPr>
          <w:noProof/>
        </w:rPr>
      </w:pPr>
      <w:r>
        <w:rPr>
          <w:noProof/>
        </w:rPr>
        <w:t xml:space="preserve">La quantité d’unités retirées pour l’UE est calculée comme étant la somme des quantités d’unités dans les comptes de retrait des registres des 15 États membres. La quantité totale d’unités retirées pour l’UE à la fin de la période supplémentaire pour l’accomplissement des engagements au titre de l’article 3, paragraphe 1, pour la première période d’engagement du protocole de Kyoto s’élève à 18 843 518 768. Le tableau ci-dessous présente les informations spécifiques pour chacun des 15 États membres. </w:t>
      </w:r>
    </w:p>
    <w:p>
      <w:pPr>
        <w:spacing w:before="0" w:after="0"/>
        <w:rPr>
          <w:noProof/>
        </w:rPr>
      </w:pPr>
    </w:p>
    <w:tbl>
      <w:tblPr>
        <w:tblStyle w:val="TableGrid"/>
        <w:tblW w:w="0" w:type="auto"/>
        <w:tblInd w:w="1101" w:type="dxa"/>
        <w:tblLook w:val="04A0" w:firstRow="1" w:lastRow="0" w:firstColumn="1" w:lastColumn="0" w:noHBand="0" w:noVBand="1"/>
      </w:tblPr>
      <w:tblGrid>
        <w:gridCol w:w="2835"/>
        <w:gridCol w:w="4394"/>
      </w:tblGrid>
      <w:tr>
        <w:trPr>
          <w:cantSplit/>
          <w:trHeight w:val="470"/>
        </w:trPr>
        <w:tc>
          <w:tcPr>
            <w:tcW w:w="2835" w:type="dxa"/>
          </w:tcPr>
          <w:p>
            <w:pPr>
              <w:jc w:val="left"/>
              <w:rPr>
                <w:noProof/>
              </w:rPr>
            </w:pPr>
          </w:p>
        </w:tc>
        <w:tc>
          <w:tcPr>
            <w:tcW w:w="4394" w:type="dxa"/>
          </w:tcPr>
          <w:p>
            <w:pPr>
              <w:jc w:val="left"/>
              <w:rPr>
                <w:noProof/>
              </w:rPr>
            </w:pPr>
            <w:r>
              <w:rPr>
                <w:noProof/>
              </w:rPr>
              <w:t xml:space="preserve">Quantité totale d’unités dans le compte de retrait </w:t>
            </w:r>
          </w:p>
        </w:tc>
      </w:tr>
      <w:tr>
        <w:trPr>
          <w:cantSplit/>
          <w:trHeight w:val="470"/>
        </w:trPr>
        <w:tc>
          <w:tcPr>
            <w:tcW w:w="2835" w:type="dxa"/>
          </w:tcPr>
          <w:p>
            <w:pPr>
              <w:jc w:val="left"/>
              <w:rPr>
                <w:noProof/>
              </w:rPr>
            </w:pPr>
            <w:r>
              <w:rPr>
                <w:noProof/>
              </w:rPr>
              <w:t>Autriche</w:t>
            </w:r>
          </w:p>
        </w:tc>
        <w:tc>
          <w:tcPr>
            <w:tcW w:w="4394" w:type="dxa"/>
            <w:vAlign w:val="center"/>
          </w:tcPr>
          <w:p>
            <w:pPr>
              <w:jc w:val="left"/>
              <w:rPr>
                <w:noProof/>
              </w:rPr>
            </w:pPr>
            <w:r>
              <w:rPr>
                <w:noProof/>
              </w:rPr>
              <w:t>414 658 054</w:t>
            </w:r>
          </w:p>
        </w:tc>
      </w:tr>
      <w:tr>
        <w:trPr>
          <w:cantSplit/>
          <w:trHeight w:val="470"/>
        </w:trPr>
        <w:tc>
          <w:tcPr>
            <w:tcW w:w="2835" w:type="dxa"/>
            <w:vAlign w:val="center"/>
          </w:tcPr>
          <w:p>
            <w:pPr>
              <w:jc w:val="left"/>
              <w:rPr>
                <w:noProof/>
              </w:rPr>
            </w:pPr>
            <w:r>
              <w:rPr>
                <w:noProof/>
              </w:rPr>
              <w:t>Belgique</w:t>
            </w:r>
          </w:p>
        </w:tc>
        <w:tc>
          <w:tcPr>
            <w:tcW w:w="4394" w:type="dxa"/>
            <w:vAlign w:val="center"/>
          </w:tcPr>
          <w:p>
            <w:pPr>
              <w:jc w:val="left"/>
              <w:rPr>
                <w:noProof/>
              </w:rPr>
            </w:pPr>
            <w:r>
              <w:rPr>
                <w:noProof/>
              </w:rPr>
              <w:t>626 316 229</w:t>
            </w:r>
          </w:p>
        </w:tc>
      </w:tr>
      <w:tr>
        <w:trPr>
          <w:cantSplit/>
          <w:trHeight w:val="470"/>
        </w:trPr>
        <w:tc>
          <w:tcPr>
            <w:tcW w:w="2835" w:type="dxa"/>
            <w:vAlign w:val="center"/>
          </w:tcPr>
          <w:p>
            <w:pPr>
              <w:jc w:val="left"/>
              <w:rPr>
                <w:noProof/>
              </w:rPr>
            </w:pPr>
            <w:r>
              <w:rPr>
                <w:noProof/>
              </w:rPr>
              <w:t>Danemark</w:t>
            </w:r>
          </w:p>
        </w:tc>
        <w:tc>
          <w:tcPr>
            <w:tcW w:w="4394" w:type="dxa"/>
            <w:vAlign w:val="center"/>
          </w:tcPr>
          <w:p>
            <w:pPr>
              <w:jc w:val="left"/>
              <w:rPr>
                <w:noProof/>
              </w:rPr>
            </w:pPr>
            <w:r>
              <w:rPr>
                <w:noProof/>
              </w:rPr>
              <w:t>297 984 143</w:t>
            </w:r>
          </w:p>
        </w:tc>
      </w:tr>
      <w:tr>
        <w:trPr>
          <w:cantSplit/>
          <w:trHeight w:val="470"/>
        </w:trPr>
        <w:tc>
          <w:tcPr>
            <w:tcW w:w="2835" w:type="dxa"/>
            <w:vAlign w:val="center"/>
          </w:tcPr>
          <w:p>
            <w:pPr>
              <w:jc w:val="left"/>
              <w:rPr>
                <w:noProof/>
              </w:rPr>
            </w:pPr>
            <w:r>
              <w:rPr>
                <w:noProof/>
              </w:rPr>
              <w:t>Finlande</w:t>
            </w:r>
          </w:p>
        </w:tc>
        <w:tc>
          <w:tcPr>
            <w:tcW w:w="4394" w:type="dxa"/>
            <w:vAlign w:val="center"/>
          </w:tcPr>
          <w:p>
            <w:pPr>
              <w:jc w:val="left"/>
              <w:rPr>
                <w:noProof/>
              </w:rPr>
            </w:pPr>
            <w:r>
              <w:rPr>
                <w:noProof/>
              </w:rPr>
              <w:t>338 353 531</w:t>
            </w:r>
          </w:p>
        </w:tc>
      </w:tr>
      <w:tr>
        <w:trPr>
          <w:cantSplit/>
          <w:trHeight w:val="470"/>
        </w:trPr>
        <w:tc>
          <w:tcPr>
            <w:tcW w:w="2835" w:type="dxa"/>
            <w:vAlign w:val="center"/>
          </w:tcPr>
          <w:p>
            <w:pPr>
              <w:jc w:val="left"/>
              <w:rPr>
                <w:noProof/>
              </w:rPr>
            </w:pPr>
            <w:r>
              <w:rPr>
                <w:noProof/>
              </w:rPr>
              <w:lastRenderedPageBreak/>
              <w:t>France</w:t>
            </w:r>
          </w:p>
        </w:tc>
        <w:tc>
          <w:tcPr>
            <w:tcW w:w="4394" w:type="dxa"/>
            <w:vAlign w:val="center"/>
          </w:tcPr>
          <w:p>
            <w:pPr>
              <w:jc w:val="left"/>
              <w:rPr>
                <w:noProof/>
              </w:rPr>
            </w:pPr>
            <w:r>
              <w:rPr>
                <w:noProof/>
              </w:rPr>
              <w:t>2 538 856 531</w:t>
            </w:r>
          </w:p>
        </w:tc>
      </w:tr>
      <w:tr>
        <w:trPr>
          <w:cantSplit/>
          <w:trHeight w:val="470"/>
        </w:trPr>
        <w:tc>
          <w:tcPr>
            <w:tcW w:w="2835" w:type="dxa"/>
            <w:vAlign w:val="center"/>
          </w:tcPr>
          <w:p>
            <w:pPr>
              <w:jc w:val="left"/>
              <w:rPr>
                <w:noProof/>
              </w:rPr>
            </w:pPr>
            <w:r>
              <w:rPr>
                <w:noProof/>
              </w:rPr>
              <w:t>Allemagne</w:t>
            </w:r>
          </w:p>
        </w:tc>
        <w:tc>
          <w:tcPr>
            <w:tcW w:w="4394" w:type="dxa"/>
            <w:vAlign w:val="center"/>
          </w:tcPr>
          <w:p>
            <w:pPr>
              <w:jc w:val="left"/>
              <w:rPr>
                <w:noProof/>
              </w:rPr>
            </w:pPr>
            <w:r>
              <w:rPr>
                <w:noProof/>
              </w:rPr>
              <w:t>4 706 574 671</w:t>
            </w:r>
          </w:p>
        </w:tc>
      </w:tr>
      <w:tr>
        <w:trPr>
          <w:cantSplit/>
          <w:trHeight w:val="470"/>
        </w:trPr>
        <w:tc>
          <w:tcPr>
            <w:tcW w:w="2835" w:type="dxa"/>
            <w:vAlign w:val="center"/>
          </w:tcPr>
          <w:p>
            <w:pPr>
              <w:jc w:val="left"/>
              <w:rPr>
                <w:noProof/>
              </w:rPr>
            </w:pPr>
            <w:r>
              <w:rPr>
                <w:noProof/>
              </w:rPr>
              <w:t>Grèce</w:t>
            </w:r>
          </w:p>
        </w:tc>
        <w:tc>
          <w:tcPr>
            <w:tcW w:w="4394" w:type="dxa"/>
            <w:vAlign w:val="center"/>
          </w:tcPr>
          <w:p>
            <w:pPr>
              <w:jc w:val="left"/>
              <w:rPr>
                <w:noProof/>
              </w:rPr>
            </w:pPr>
            <w:r>
              <w:rPr>
                <w:noProof/>
              </w:rPr>
              <w:t>598 504 091</w:t>
            </w:r>
          </w:p>
        </w:tc>
      </w:tr>
      <w:tr>
        <w:trPr>
          <w:cantSplit/>
          <w:trHeight w:val="470"/>
        </w:trPr>
        <w:tc>
          <w:tcPr>
            <w:tcW w:w="2835" w:type="dxa"/>
            <w:vAlign w:val="center"/>
          </w:tcPr>
          <w:p>
            <w:pPr>
              <w:jc w:val="left"/>
              <w:rPr>
                <w:noProof/>
              </w:rPr>
            </w:pPr>
            <w:r>
              <w:rPr>
                <w:noProof/>
              </w:rPr>
              <w:t>Irlande</w:t>
            </w:r>
          </w:p>
        </w:tc>
        <w:tc>
          <w:tcPr>
            <w:tcW w:w="4394" w:type="dxa"/>
          </w:tcPr>
          <w:p>
            <w:pPr>
              <w:jc w:val="left"/>
              <w:rPr>
                <w:noProof/>
              </w:rPr>
            </w:pPr>
            <w:r>
              <w:rPr>
                <w:noProof/>
              </w:rPr>
              <w:t>308 508 846</w:t>
            </w:r>
          </w:p>
        </w:tc>
      </w:tr>
      <w:tr>
        <w:trPr>
          <w:cantSplit/>
          <w:trHeight w:val="470"/>
        </w:trPr>
        <w:tc>
          <w:tcPr>
            <w:tcW w:w="2835" w:type="dxa"/>
          </w:tcPr>
          <w:p>
            <w:pPr>
              <w:jc w:val="left"/>
              <w:rPr>
                <w:noProof/>
              </w:rPr>
            </w:pPr>
            <w:r>
              <w:rPr>
                <w:noProof/>
              </w:rPr>
              <w:t>Italie</w:t>
            </w:r>
          </w:p>
        </w:tc>
        <w:tc>
          <w:tcPr>
            <w:tcW w:w="4394" w:type="dxa"/>
          </w:tcPr>
          <w:p>
            <w:pPr>
              <w:jc w:val="left"/>
              <w:rPr>
                <w:noProof/>
              </w:rPr>
            </w:pPr>
            <w:r>
              <w:rPr>
                <w:noProof/>
              </w:rPr>
              <w:t>2 479 638 840</w:t>
            </w:r>
          </w:p>
        </w:tc>
      </w:tr>
      <w:tr>
        <w:trPr>
          <w:cantSplit/>
          <w:trHeight w:val="470"/>
        </w:trPr>
        <w:tc>
          <w:tcPr>
            <w:tcW w:w="2835" w:type="dxa"/>
          </w:tcPr>
          <w:p>
            <w:pPr>
              <w:jc w:val="left"/>
              <w:rPr>
                <w:noProof/>
              </w:rPr>
            </w:pPr>
            <w:r>
              <w:rPr>
                <w:noProof/>
              </w:rPr>
              <w:t>Luxembourg</w:t>
            </w:r>
          </w:p>
        </w:tc>
        <w:tc>
          <w:tcPr>
            <w:tcW w:w="4394" w:type="dxa"/>
          </w:tcPr>
          <w:p>
            <w:pPr>
              <w:jc w:val="left"/>
              <w:rPr>
                <w:noProof/>
              </w:rPr>
            </w:pPr>
            <w:r>
              <w:rPr>
                <w:noProof/>
              </w:rPr>
              <w:t>60 116 132</w:t>
            </w:r>
          </w:p>
        </w:tc>
      </w:tr>
      <w:tr>
        <w:trPr>
          <w:cantSplit/>
          <w:trHeight w:val="470"/>
        </w:trPr>
        <w:tc>
          <w:tcPr>
            <w:tcW w:w="2835" w:type="dxa"/>
          </w:tcPr>
          <w:p>
            <w:pPr>
              <w:jc w:val="left"/>
              <w:rPr>
                <w:noProof/>
              </w:rPr>
            </w:pPr>
            <w:r>
              <w:rPr>
                <w:noProof/>
              </w:rPr>
              <w:t>Pays-Bas</w:t>
            </w:r>
          </w:p>
        </w:tc>
        <w:tc>
          <w:tcPr>
            <w:tcW w:w="4394" w:type="dxa"/>
          </w:tcPr>
          <w:p>
            <w:pPr>
              <w:jc w:val="left"/>
              <w:rPr>
                <w:noProof/>
              </w:rPr>
            </w:pPr>
            <w:r>
              <w:rPr>
                <w:noProof/>
              </w:rPr>
              <w:t>997 119 267</w:t>
            </w:r>
          </w:p>
        </w:tc>
      </w:tr>
      <w:tr>
        <w:trPr>
          <w:cantSplit/>
          <w:trHeight w:val="470"/>
        </w:trPr>
        <w:tc>
          <w:tcPr>
            <w:tcW w:w="2835" w:type="dxa"/>
          </w:tcPr>
          <w:p>
            <w:pPr>
              <w:jc w:val="left"/>
              <w:rPr>
                <w:noProof/>
              </w:rPr>
            </w:pPr>
            <w:r>
              <w:rPr>
                <w:noProof/>
              </w:rPr>
              <w:t>Portugal</w:t>
            </w:r>
          </w:p>
        </w:tc>
        <w:tc>
          <w:tcPr>
            <w:tcW w:w="4394" w:type="dxa"/>
          </w:tcPr>
          <w:p>
            <w:pPr>
              <w:jc w:val="left"/>
              <w:rPr>
                <w:noProof/>
              </w:rPr>
            </w:pPr>
            <w:r>
              <w:rPr>
                <w:noProof/>
              </w:rPr>
              <w:t>362 098 075</w:t>
            </w:r>
          </w:p>
        </w:tc>
      </w:tr>
      <w:tr>
        <w:trPr>
          <w:cantSplit/>
          <w:trHeight w:val="470"/>
        </w:trPr>
        <w:tc>
          <w:tcPr>
            <w:tcW w:w="2835" w:type="dxa"/>
          </w:tcPr>
          <w:p>
            <w:pPr>
              <w:jc w:val="left"/>
              <w:rPr>
                <w:noProof/>
              </w:rPr>
            </w:pPr>
            <w:r>
              <w:rPr>
                <w:noProof/>
              </w:rPr>
              <w:t>Espagne</w:t>
            </w:r>
          </w:p>
        </w:tc>
        <w:tc>
          <w:tcPr>
            <w:tcW w:w="4394" w:type="dxa"/>
          </w:tcPr>
          <w:p>
            <w:pPr>
              <w:jc w:val="left"/>
              <w:rPr>
                <w:noProof/>
              </w:rPr>
            </w:pPr>
            <w:r>
              <w:rPr>
                <w:noProof/>
              </w:rPr>
              <w:t>1 791 980 049</w:t>
            </w:r>
          </w:p>
        </w:tc>
      </w:tr>
      <w:tr>
        <w:trPr>
          <w:cantSplit/>
          <w:trHeight w:val="470"/>
        </w:trPr>
        <w:tc>
          <w:tcPr>
            <w:tcW w:w="2835" w:type="dxa"/>
          </w:tcPr>
          <w:p>
            <w:pPr>
              <w:jc w:val="left"/>
              <w:rPr>
                <w:noProof/>
              </w:rPr>
            </w:pPr>
            <w:r>
              <w:rPr>
                <w:noProof/>
              </w:rPr>
              <w:t>Suède</w:t>
            </w:r>
          </w:p>
        </w:tc>
        <w:tc>
          <w:tcPr>
            <w:tcW w:w="4394" w:type="dxa"/>
          </w:tcPr>
          <w:p>
            <w:pPr>
              <w:jc w:val="left"/>
              <w:rPr>
                <w:noProof/>
              </w:rPr>
            </w:pPr>
            <w:r>
              <w:rPr>
                <w:noProof/>
              </w:rPr>
              <w:t>305 573 749</w:t>
            </w:r>
          </w:p>
        </w:tc>
      </w:tr>
      <w:tr>
        <w:trPr>
          <w:cantSplit/>
          <w:trHeight w:val="470"/>
        </w:trPr>
        <w:tc>
          <w:tcPr>
            <w:tcW w:w="2835" w:type="dxa"/>
          </w:tcPr>
          <w:p>
            <w:pPr>
              <w:jc w:val="left"/>
              <w:rPr>
                <w:noProof/>
              </w:rPr>
            </w:pPr>
            <w:r>
              <w:rPr>
                <w:noProof/>
              </w:rPr>
              <w:t>Royaume-Uni</w:t>
            </w:r>
          </w:p>
        </w:tc>
        <w:tc>
          <w:tcPr>
            <w:tcW w:w="4394" w:type="dxa"/>
          </w:tcPr>
          <w:p>
            <w:pPr>
              <w:jc w:val="left"/>
              <w:rPr>
                <w:noProof/>
              </w:rPr>
            </w:pPr>
            <w:r>
              <w:rPr>
                <w:noProof/>
              </w:rPr>
              <w:t>3 017 236 560</w:t>
            </w:r>
          </w:p>
        </w:tc>
      </w:tr>
    </w:tbl>
    <w:p>
      <w:pPr>
        <w:rPr>
          <w:noProof/>
        </w:rPr>
      </w:pPr>
    </w:p>
    <w:p>
      <w:pPr>
        <w:rPr>
          <w:b/>
          <w:noProof/>
        </w:rPr>
      </w:pPr>
      <w:r>
        <w:rPr>
          <w:b/>
          <w:noProof/>
        </w:rPr>
        <w:t>Report d'unités de Kyoto</w:t>
      </w:r>
    </w:p>
    <w:p>
      <w:pPr>
        <w:rPr>
          <w:noProof/>
        </w:rPr>
      </w:pPr>
      <w:r>
        <w:rPr>
          <w:noProof/>
        </w:rPr>
        <w:t>La quantité totale d’unités de quantité attribuée dans les comptes de dépôt du registre de l’UE dont l'UE a demandé le report de la première à la deuxième période d’engagement du protocole de Kyoto s’élève à 2 124 109 368.</w:t>
      </w:r>
    </w:p>
    <w:p>
      <w:pPr>
        <w:rPr>
          <w:noProof/>
        </w:rPr>
      </w:pPr>
      <w:r>
        <w:rPr>
          <w:noProof/>
        </w:rPr>
        <w:t>La quantité totale d’unités dans les comptes de dépôt des États membres dont le report a été demandé par les États membres sera communiquée dans les rapports des États membres concernant la période supplémentaire pour l’accomplissement des engagements au titre du protocole de Kyoto.</w:t>
      </w:r>
    </w:p>
    <w:p>
      <w:pPr>
        <w:rPr>
          <w:noProof/>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134" w:bottom="1134" w:left="1134" w:header="708" w:footer="708"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84E997" w15:done="0"/>
  <w15:commentEx w15:paraId="4950DFA0" w15:done="0"/>
  <w15:commentEx w15:paraId="57140EBF" w15:done="0"/>
  <w15:commentEx w15:paraId="4F6019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57011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bCs/>
          <w:color w:val="444444"/>
          <w:lang w:val="fr-BE"/>
        </w:rPr>
      </w:pPr>
      <w:r>
        <w:rPr>
          <w:rStyle w:val="FootnoteReference"/>
        </w:rPr>
        <w:footnoteRef/>
      </w:r>
      <w:r>
        <w:t xml:space="preserve"> </w:t>
      </w:r>
      <w:r>
        <w:rPr>
          <w:rStyle w:val="Strong"/>
          <w:b w:val="0"/>
          <w:color w:val="444444"/>
        </w:rPr>
        <w:t>Règlement (UE) n° 525/2013 du Parlement européen et du Conseil du 21 mai 2013 relatif à un mécanisme pour la surveillance et la déclaration des émissions de gaz à effet de serre et pour la déclaration, au niveau national et au niveau de l'Union, d'autres informations ayant trait au changement climatique et abrogeant la décision n° 280/2004/CE (JO L 165 du 18.6.2013,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oardo">
    <w15:presenceInfo w15:providerId="None" w15:userId="edo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8C557DFED1F44BCF8742EA7D7381744B"/>
    <w:docVar w:name="LW_CROSSREFERENCE" w:val="{SWD(2015) 288 final}"/>
    <w:docVar w:name="LW_DocType" w:val="NORMAL"/>
    <w:docVar w:name="LW_EMISSION" w:val="15.12.2015"/>
    <w:docVar w:name="LW_EMISSION_ISODATE" w:val="2015-12-15"/>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650"/>
    <w:docVar w:name="LW_REF.INTERNE" w:val="&lt;UNUSED&gt;"/>
    <w:docVar w:name="LW_SOUS.TITRE.OBJ.CP" w:val="&lt;UNUSED&gt;"/>
    <w:docVar w:name="LW_SUPERTITRE" w:val="&lt;UNUSED&gt;"/>
    <w:docVar w:name="LW_TITRE.OBJ.CP" w:val="Rapport concernant la période supplémentaire pour l'accomplissement des engagements au titre du protocole de Kyoto [requis au titre de l'article 22 du règlement (UE) n° 525/2013 du Parlement européen et du Conseil du 21 mai 2013 relatif à un mécanisme pour la surveillance et la déclaration des émissions de gaz à effet de serre et pour la déclaration, au niveau national et au niveau de l'Union, d'autres informations ayant trait au changement climatique et abrogeant la décision n° 280/2004/CE et de la décision 13/CMP.1 de la conférence des parties agissant comme réunion des parties au protocole de Kyoto] "/>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before="0" w:after="0"/>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fr-FR" w:eastAsia="fr-FR"/>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fr-FR"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fr-FR" w:eastAsia="fr-FR"/>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fr-FR"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before="0" w:after="0"/>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fr-FR" w:eastAsia="fr-FR"/>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fr-FR"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fr-FR" w:eastAsia="fr-FR"/>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fr-FR"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06000">
      <w:bodyDiv w:val="1"/>
      <w:marLeft w:val="0"/>
      <w:marRight w:val="0"/>
      <w:marTop w:val="0"/>
      <w:marBottom w:val="0"/>
      <w:divBdr>
        <w:top w:val="none" w:sz="0" w:space="0" w:color="auto"/>
        <w:left w:val="none" w:sz="0" w:space="0" w:color="auto"/>
        <w:bottom w:val="none" w:sz="0" w:space="0" w:color="auto"/>
        <w:right w:val="none" w:sz="0" w:space="0" w:color="auto"/>
      </w:divBdr>
    </w:div>
    <w:div w:id="1441876179">
      <w:bodyDiv w:val="1"/>
      <w:marLeft w:val="0"/>
      <w:marRight w:val="0"/>
      <w:marTop w:val="0"/>
      <w:marBottom w:val="0"/>
      <w:divBdr>
        <w:top w:val="none" w:sz="0" w:space="0" w:color="auto"/>
        <w:left w:val="none" w:sz="0" w:space="0" w:color="auto"/>
        <w:bottom w:val="none" w:sz="0" w:space="0" w:color="auto"/>
        <w:right w:val="none" w:sz="0" w:space="0" w:color="auto"/>
      </w:divBdr>
    </w:div>
    <w:div w:id="1447311939">
      <w:bodyDiv w:val="1"/>
      <w:marLeft w:val="0"/>
      <w:marRight w:val="0"/>
      <w:marTop w:val="0"/>
      <w:marBottom w:val="0"/>
      <w:divBdr>
        <w:top w:val="none" w:sz="0" w:space="0" w:color="auto"/>
        <w:left w:val="none" w:sz="0" w:space="0" w:color="auto"/>
        <w:bottom w:val="none" w:sz="0" w:space="0" w:color="auto"/>
        <w:right w:val="none" w:sz="0" w:space="0" w:color="auto"/>
      </w:divBdr>
      <w:divsChild>
        <w:div w:id="120657123">
          <w:marLeft w:val="0"/>
          <w:marRight w:val="0"/>
          <w:marTop w:val="0"/>
          <w:marBottom w:val="0"/>
          <w:divBdr>
            <w:top w:val="none" w:sz="0" w:space="0" w:color="auto"/>
            <w:left w:val="none" w:sz="0" w:space="0" w:color="auto"/>
            <w:bottom w:val="none" w:sz="0" w:space="0" w:color="auto"/>
            <w:right w:val="none" w:sz="0" w:space="0" w:color="auto"/>
          </w:divBdr>
          <w:divsChild>
            <w:div w:id="328871552">
              <w:marLeft w:val="0"/>
              <w:marRight w:val="0"/>
              <w:marTop w:val="0"/>
              <w:marBottom w:val="0"/>
              <w:divBdr>
                <w:top w:val="none" w:sz="0" w:space="0" w:color="auto"/>
                <w:left w:val="none" w:sz="0" w:space="0" w:color="auto"/>
                <w:bottom w:val="none" w:sz="0" w:space="0" w:color="auto"/>
                <w:right w:val="none" w:sz="0" w:space="0" w:color="auto"/>
              </w:divBdr>
              <w:divsChild>
                <w:div w:id="279148790">
                  <w:marLeft w:val="0"/>
                  <w:marRight w:val="0"/>
                  <w:marTop w:val="0"/>
                  <w:marBottom w:val="0"/>
                  <w:divBdr>
                    <w:top w:val="none" w:sz="0" w:space="0" w:color="auto"/>
                    <w:left w:val="none" w:sz="0" w:space="0" w:color="auto"/>
                    <w:bottom w:val="none" w:sz="0" w:space="0" w:color="auto"/>
                    <w:right w:val="none" w:sz="0" w:space="0" w:color="auto"/>
                  </w:divBdr>
                  <w:divsChild>
                    <w:div w:id="1442721128">
                      <w:marLeft w:val="1"/>
                      <w:marRight w:val="1"/>
                      <w:marTop w:val="0"/>
                      <w:marBottom w:val="0"/>
                      <w:divBdr>
                        <w:top w:val="none" w:sz="0" w:space="0" w:color="auto"/>
                        <w:left w:val="none" w:sz="0" w:space="0" w:color="auto"/>
                        <w:bottom w:val="none" w:sz="0" w:space="0" w:color="auto"/>
                        <w:right w:val="none" w:sz="0" w:space="0" w:color="auto"/>
                      </w:divBdr>
                      <w:divsChild>
                        <w:div w:id="1587616422">
                          <w:marLeft w:val="0"/>
                          <w:marRight w:val="0"/>
                          <w:marTop w:val="0"/>
                          <w:marBottom w:val="0"/>
                          <w:divBdr>
                            <w:top w:val="none" w:sz="0" w:space="0" w:color="auto"/>
                            <w:left w:val="none" w:sz="0" w:space="0" w:color="auto"/>
                            <w:bottom w:val="none" w:sz="0" w:space="0" w:color="auto"/>
                            <w:right w:val="none" w:sz="0" w:space="0" w:color="auto"/>
                          </w:divBdr>
                          <w:divsChild>
                            <w:div w:id="1491169530">
                              <w:marLeft w:val="0"/>
                              <w:marRight w:val="0"/>
                              <w:marTop w:val="0"/>
                              <w:marBottom w:val="360"/>
                              <w:divBdr>
                                <w:top w:val="none" w:sz="0" w:space="0" w:color="auto"/>
                                <w:left w:val="none" w:sz="0" w:space="0" w:color="auto"/>
                                <w:bottom w:val="none" w:sz="0" w:space="0" w:color="auto"/>
                                <w:right w:val="none" w:sz="0" w:space="0" w:color="auto"/>
                              </w:divBdr>
                              <w:divsChild>
                                <w:div w:id="1787384623">
                                  <w:marLeft w:val="0"/>
                                  <w:marRight w:val="0"/>
                                  <w:marTop w:val="0"/>
                                  <w:marBottom w:val="0"/>
                                  <w:divBdr>
                                    <w:top w:val="none" w:sz="0" w:space="0" w:color="auto"/>
                                    <w:left w:val="none" w:sz="0" w:space="0" w:color="auto"/>
                                    <w:bottom w:val="none" w:sz="0" w:space="0" w:color="auto"/>
                                    <w:right w:val="none" w:sz="0" w:space="0" w:color="auto"/>
                                  </w:divBdr>
                                  <w:divsChild>
                                    <w:div w:id="2329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242746">
      <w:bodyDiv w:val="1"/>
      <w:marLeft w:val="0"/>
      <w:marRight w:val="0"/>
      <w:marTop w:val="0"/>
      <w:marBottom w:val="0"/>
      <w:divBdr>
        <w:top w:val="none" w:sz="0" w:space="0" w:color="auto"/>
        <w:left w:val="none" w:sz="0" w:space="0" w:color="auto"/>
        <w:bottom w:val="none" w:sz="0" w:space="0" w:color="auto"/>
        <w:right w:val="none" w:sz="0" w:space="0" w:color="auto"/>
      </w:divBdr>
      <w:divsChild>
        <w:div w:id="1673676750">
          <w:marLeft w:val="0"/>
          <w:marRight w:val="0"/>
          <w:marTop w:val="0"/>
          <w:marBottom w:val="0"/>
          <w:divBdr>
            <w:top w:val="none" w:sz="0" w:space="0" w:color="auto"/>
            <w:left w:val="none" w:sz="0" w:space="0" w:color="auto"/>
            <w:bottom w:val="none" w:sz="0" w:space="0" w:color="auto"/>
            <w:right w:val="none" w:sz="0" w:space="0" w:color="auto"/>
          </w:divBdr>
          <w:divsChild>
            <w:div w:id="1402098833">
              <w:marLeft w:val="0"/>
              <w:marRight w:val="0"/>
              <w:marTop w:val="0"/>
              <w:marBottom w:val="0"/>
              <w:divBdr>
                <w:top w:val="none" w:sz="0" w:space="0" w:color="auto"/>
                <w:left w:val="none" w:sz="0" w:space="0" w:color="auto"/>
                <w:bottom w:val="none" w:sz="0" w:space="0" w:color="auto"/>
                <w:right w:val="none" w:sz="0" w:space="0" w:color="auto"/>
              </w:divBdr>
              <w:divsChild>
                <w:div w:id="1747452503">
                  <w:marLeft w:val="0"/>
                  <w:marRight w:val="0"/>
                  <w:marTop w:val="0"/>
                  <w:marBottom w:val="0"/>
                  <w:divBdr>
                    <w:top w:val="none" w:sz="0" w:space="0" w:color="auto"/>
                    <w:left w:val="none" w:sz="0" w:space="0" w:color="auto"/>
                    <w:bottom w:val="none" w:sz="0" w:space="0" w:color="auto"/>
                    <w:right w:val="none" w:sz="0" w:space="0" w:color="auto"/>
                  </w:divBdr>
                  <w:divsChild>
                    <w:div w:id="871695753">
                      <w:marLeft w:val="1"/>
                      <w:marRight w:val="1"/>
                      <w:marTop w:val="0"/>
                      <w:marBottom w:val="0"/>
                      <w:divBdr>
                        <w:top w:val="none" w:sz="0" w:space="0" w:color="auto"/>
                        <w:left w:val="none" w:sz="0" w:space="0" w:color="auto"/>
                        <w:bottom w:val="none" w:sz="0" w:space="0" w:color="auto"/>
                        <w:right w:val="none" w:sz="0" w:space="0" w:color="auto"/>
                      </w:divBdr>
                      <w:divsChild>
                        <w:div w:id="1798983323">
                          <w:marLeft w:val="0"/>
                          <w:marRight w:val="0"/>
                          <w:marTop w:val="0"/>
                          <w:marBottom w:val="0"/>
                          <w:divBdr>
                            <w:top w:val="none" w:sz="0" w:space="0" w:color="auto"/>
                            <w:left w:val="none" w:sz="0" w:space="0" w:color="auto"/>
                            <w:bottom w:val="none" w:sz="0" w:space="0" w:color="auto"/>
                            <w:right w:val="none" w:sz="0" w:space="0" w:color="auto"/>
                          </w:divBdr>
                          <w:divsChild>
                            <w:div w:id="648746195">
                              <w:marLeft w:val="0"/>
                              <w:marRight w:val="0"/>
                              <w:marTop w:val="0"/>
                              <w:marBottom w:val="360"/>
                              <w:divBdr>
                                <w:top w:val="none" w:sz="0" w:space="0" w:color="auto"/>
                                <w:left w:val="none" w:sz="0" w:space="0" w:color="auto"/>
                                <w:bottom w:val="none" w:sz="0" w:space="0" w:color="auto"/>
                                <w:right w:val="none" w:sz="0" w:space="0" w:color="auto"/>
                              </w:divBdr>
                              <w:divsChild>
                                <w:div w:id="1799906799">
                                  <w:marLeft w:val="0"/>
                                  <w:marRight w:val="0"/>
                                  <w:marTop w:val="0"/>
                                  <w:marBottom w:val="0"/>
                                  <w:divBdr>
                                    <w:top w:val="none" w:sz="0" w:space="0" w:color="auto"/>
                                    <w:left w:val="none" w:sz="0" w:space="0" w:color="auto"/>
                                    <w:bottom w:val="none" w:sz="0" w:space="0" w:color="auto"/>
                                    <w:right w:val="none" w:sz="0" w:space="0" w:color="auto"/>
                                  </w:divBdr>
                                  <w:divsChild>
                                    <w:div w:id="15995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823527">
      <w:bodyDiv w:val="1"/>
      <w:marLeft w:val="0"/>
      <w:marRight w:val="0"/>
      <w:marTop w:val="0"/>
      <w:marBottom w:val="0"/>
      <w:divBdr>
        <w:top w:val="none" w:sz="0" w:space="0" w:color="auto"/>
        <w:left w:val="none" w:sz="0" w:space="0" w:color="auto"/>
        <w:bottom w:val="none" w:sz="0" w:space="0" w:color="auto"/>
        <w:right w:val="none" w:sz="0" w:space="0" w:color="auto"/>
      </w:divBdr>
      <w:divsChild>
        <w:div w:id="632948139">
          <w:marLeft w:val="0"/>
          <w:marRight w:val="0"/>
          <w:marTop w:val="0"/>
          <w:marBottom w:val="0"/>
          <w:divBdr>
            <w:top w:val="none" w:sz="0" w:space="0" w:color="auto"/>
            <w:left w:val="none" w:sz="0" w:space="0" w:color="auto"/>
            <w:bottom w:val="none" w:sz="0" w:space="0" w:color="auto"/>
            <w:right w:val="none" w:sz="0" w:space="0" w:color="auto"/>
          </w:divBdr>
          <w:divsChild>
            <w:div w:id="1106736571">
              <w:marLeft w:val="0"/>
              <w:marRight w:val="0"/>
              <w:marTop w:val="0"/>
              <w:marBottom w:val="0"/>
              <w:divBdr>
                <w:top w:val="none" w:sz="0" w:space="0" w:color="auto"/>
                <w:left w:val="none" w:sz="0" w:space="0" w:color="auto"/>
                <w:bottom w:val="none" w:sz="0" w:space="0" w:color="auto"/>
                <w:right w:val="none" w:sz="0" w:space="0" w:color="auto"/>
              </w:divBdr>
              <w:divsChild>
                <w:div w:id="1081756449">
                  <w:marLeft w:val="0"/>
                  <w:marRight w:val="0"/>
                  <w:marTop w:val="0"/>
                  <w:marBottom w:val="0"/>
                  <w:divBdr>
                    <w:top w:val="none" w:sz="0" w:space="0" w:color="auto"/>
                    <w:left w:val="none" w:sz="0" w:space="0" w:color="auto"/>
                    <w:bottom w:val="none" w:sz="0" w:space="0" w:color="auto"/>
                    <w:right w:val="none" w:sz="0" w:space="0" w:color="auto"/>
                  </w:divBdr>
                  <w:divsChild>
                    <w:div w:id="1972441021">
                      <w:marLeft w:val="1"/>
                      <w:marRight w:val="1"/>
                      <w:marTop w:val="0"/>
                      <w:marBottom w:val="0"/>
                      <w:divBdr>
                        <w:top w:val="none" w:sz="0" w:space="0" w:color="auto"/>
                        <w:left w:val="none" w:sz="0" w:space="0" w:color="auto"/>
                        <w:bottom w:val="none" w:sz="0" w:space="0" w:color="auto"/>
                        <w:right w:val="none" w:sz="0" w:space="0" w:color="auto"/>
                      </w:divBdr>
                      <w:divsChild>
                        <w:div w:id="1160123003">
                          <w:marLeft w:val="0"/>
                          <w:marRight w:val="0"/>
                          <w:marTop w:val="0"/>
                          <w:marBottom w:val="0"/>
                          <w:divBdr>
                            <w:top w:val="none" w:sz="0" w:space="0" w:color="auto"/>
                            <w:left w:val="none" w:sz="0" w:space="0" w:color="auto"/>
                            <w:bottom w:val="none" w:sz="0" w:space="0" w:color="auto"/>
                            <w:right w:val="none" w:sz="0" w:space="0" w:color="auto"/>
                          </w:divBdr>
                          <w:divsChild>
                            <w:div w:id="395664339">
                              <w:marLeft w:val="0"/>
                              <w:marRight w:val="0"/>
                              <w:marTop w:val="0"/>
                              <w:marBottom w:val="360"/>
                              <w:divBdr>
                                <w:top w:val="none" w:sz="0" w:space="0" w:color="auto"/>
                                <w:left w:val="none" w:sz="0" w:space="0" w:color="auto"/>
                                <w:bottom w:val="none" w:sz="0" w:space="0" w:color="auto"/>
                                <w:right w:val="none" w:sz="0" w:space="0" w:color="auto"/>
                              </w:divBdr>
                              <w:divsChild>
                                <w:div w:id="1775632625">
                                  <w:marLeft w:val="0"/>
                                  <w:marRight w:val="0"/>
                                  <w:marTop w:val="0"/>
                                  <w:marBottom w:val="0"/>
                                  <w:divBdr>
                                    <w:top w:val="none" w:sz="0" w:space="0" w:color="auto"/>
                                    <w:left w:val="none" w:sz="0" w:space="0" w:color="auto"/>
                                    <w:bottom w:val="none" w:sz="0" w:space="0" w:color="auto"/>
                                    <w:right w:val="none" w:sz="0" w:space="0" w:color="auto"/>
                                  </w:divBdr>
                                  <w:divsChild>
                                    <w:div w:id="180677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748212">
      <w:bodyDiv w:val="1"/>
      <w:marLeft w:val="0"/>
      <w:marRight w:val="0"/>
      <w:marTop w:val="0"/>
      <w:marBottom w:val="0"/>
      <w:divBdr>
        <w:top w:val="none" w:sz="0" w:space="0" w:color="auto"/>
        <w:left w:val="none" w:sz="0" w:space="0" w:color="auto"/>
        <w:bottom w:val="none" w:sz="0" w:space="0" w:color="auto"/>
        <w:right w:val="none" w:sz="0" w:space="0" w:color="auto"/>
      </w:divBdr>
      <w:divsChild>
        <w:div w:id="1359620382">
          <w:marLeft w:val="0"/>
          <w:marRight w:val="0"/>
          <w:marTop w:val="0"/>
          <w:marBottom w:val="0"/>
          <w:divBdr>
            <w:top w:val="none" w:sz="0" w:space="0" w:color="auto"/>
            <w:left w:val="none" w:sz="0" w:space="0" w:color="auto"/>
            <w:bottom w:val="none" w:sz="0" w:space="0" w:color="auto"/>
            <w:right w:val="none" w:sz="0" w:space="0" w:color="auto"/>
          </w:divBdr>
          <w:divsChild>
            <w:div w:id="867253758">
              <w:marLeft w:val="0"/>
              <w:marRight w:val="0"/>
              <w:marTop w:val="0"/>
              <w:marBottom w:val="0"/>
              <w:divBdr>
                <w:top w:val="none" w:sz="0" w:space="0" w:color="auto"/>
                <w:left w:val="none" w:sz="0" w:space="0" w:color="auto"/>
                <w:bottom w:val="none" w:sz="0" w:space="0" w:color="auto"/>
                <w:right w:val="none" w:sz="0" w:space="0" w:color="auto"/>
              </w:divBdr>
              <w:divsChild>
                <w:div w:id="1898584687">
                  <w:marLeft w:val="0"/>
                  <w:marRight w:val="0"/>
                  <w:marTop w:val="0"/>
                  <w:marBottom w:val="0"/>
                  <w:divBdr>
                    <w:top w:val="none" w:sz="0" w:space="0" w:color="auto"/>
                    <w:left w:val="none" w:sz="0" w:space="0" w:color="auto"/>
                    <w:bottom w:val="none" w:sz="0" w:space="0" w:color="auto"/>
                    <w:right w:val="none" w:sz="0" w:space="0" w:color="auto"/>
                  </w:divBdr>
                  <w:divsChild>
                    <w:div w:id="1671103104">
                      <w:marLeft w:val="1"/>
                      <w:marRight w:val="1"/>
                      <w:marTop w:val="0"/>
                      <w:marBottom w:val="0"/>
                      <w:divBdr>
                        <w:top w:val="none" w:sz="0" w:space="0" w:color="auto"/>
                        <w:left w:val="none" w:sz="0" w:space="0" w:color="auto"/>
                        <w:bottom w:val="none" w:sz="0" w:space="0" w:color="auto"/>
                        <w:right w:val="none" w:sz="0" w:space="0" w:color="auto"/>
                      </w:divBdr>
                      <w:divsChild>
                        <w:div w:id="978650485">
                          <w:marLeft w:val="0"/>
                          <w:marRight w:val="0"/>
                          <w:marTop w:val="0"/>
                          <w:marBottom w:val="0"/>
                          <w:divBdr>
                            <w:top w:val="none" w:sz="0" w:space="0" w:color="auto"/>
                            <w:left w:val="none" w:sz="0" w:space="0" w:color="auto"/>
                            <w:bottom w:val="none" w:sz="0" w:space="0" w:color="auto"/>
                            <w:right w:val="none" w:sz="0" w:space="0" w:color="auto"/>
                          </w:divBdr>
                          <w:divsChild>
                            <w:div w:id="1166625305">
                              <w:marLeft w:val="0"/>
                              <w:marRight w:val="0"/>
                              <w:marTop w:val="0"/>
                              <w:marBottom w:val="360"/>
                              <w:divBdr>
                                <w:top w:val="none" w:sz="0" w:space="0" w:color="auto"/>
                                <w:left w:val="none" w:sz="0" w:space="0" w:color="auto"/>
                                <w:bottom w:val="none" w:sz="0" w:space="0" w:color="auto"/>
                                <w:right w:val="none" w:sz="0" w:space="0" w:color="auto"/>
                              </w:divBdr>
                              <w:divsChild>
                                <w:div w:id="64105764">
                                  <w:marLeft w:val="0"/>
                                  <w:marRight w:val="0"/>
                                  <w:marTop w:val="0"/>
                                  <w:marBottom w:val="0"/>
                                  <w:divBdr>
                                    <w:top w:val="none" w:sz="0" w:space="0" w:color="auto"/>
                                    <w:left w:val="none" w:sz="0" w:space="0" w:color="auto"/>
                                    <w:bottom w:val="none" w:sz="0" w:space="0" w:color="auto"/>
                                    <w:right w:val="none" w:sz="0" w:space="0" w:color="auto"/>
                                  </w:divBdr>
                                  <w:divsChild>
                                    <w:div w:id="15040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A5C0D-1702-4F1C-859E-FEA654E7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556</Words>
  <Characters>2958</Characters>
  <Application>Microsoft Office Word</Application>
  <DocSecurity>0</DocSecurity>
  <Lines>77</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2015-11-19T13:47:00Z</dcterms:created>
  <dcterms:modified xsi:type="dcterms:W3CDTF">2015-12-14T11:16:00Z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