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AB93447402F4F96A2E6A3AB050952CD" style="width:450.75pt;height:44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2013/0136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на първо четене с оглед на приемането на регламент на Европейския парламент и на Съвета относно заразните болести по животните (законодателство в областта на здравеопазването на животните)</w:t>
      </w:r>
    </w:p>
    <w:p>
      <w:pPr>
        <w:pStyle w:val="IntrtEEE"/>
        <w:rPr>
          <w:noProof/>
        </w:rPr>
      </w:pPr>
      <w:r>
        <w:rPr>
          <w:noProof/>
        </w:rPr>
        <w:t>(текст от значение за ЕИП)</w:t>
      </w:r>
    </w:p>
    <w:p>
      <w:pPr>
        <w:pStyle w:val="ManualHeading1"/>
        <w:rPr>
          <w:noProof/>
          <w:sz w:val="22"/>
        </w:rPr>
      </w:pPr>
      <w:r>
        <w:rPr>
          <w:noProof/>
        </w:rPr>
        <w:t>1.</w:t>
      </w:r>
      <w:r>
        <w:rPr>
          <w:noProof/>
        </w:rPr>
        <w:tab/>
        <w:t>История на досието</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Дата на предаване на предложението на Европейския парламент и на Съвета </w:t>
            </w:r>
          </w:p>
          <w:p>
            <w:pPr>
              <w:spacing w:before="0"/>
              <w:jc w:val="left"/>
              <w:rPr>
                <w:noProof/>
              </w:rPr>
            </w:pPr>
            <w:r>
              <w:rPr>
                <w:noProof/>
              </w:rPr>
              <w:t>(документ COM(2013) 260 final — 2013/0136 (COD):</w:t>
            </w:r>
          </w:p>
        </w:tc>
        <w:tc>
          <w:tcPr>
            <w:tcW w:w="2483" w:type="dxa"/>
          </w:tcPr>
          <w:p>
            <w:pPr>
              <w:jc w:val="left"/>
              <w:rPr>
                <w:noProof/>
              </w:rPr>
            </w:pPr>
            <w:r>
              <w:rPr>
                <w:noProof/>
              </w:rPr>
              <w:t>6 май 2013 г.</w:t>
            </w:r>
          </w:p>
        </w:tc>
      </w:tr>
      <w:tr>
        <w:tc>
          <w:tcPr>
            <w:tcW w:w="680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10 декември 2013 г.</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15 април 2014 г.</w:t>
            </w:r>
          </w:p>
        </w:tc>
      </w:tr>
      <w:tr>
        <w:tc>
          <w:tcPr>
            <w:tcW w:w="6804" w:type="dxa"/>
          </w:tcPr>
          <w:p>
            <w:pPr>
              <w:rPr>
                <w:noProof/>
              </w:rPr>
            </w:pPr>
            <w:r>
              <w:rPr>
                <w:noProof/>
              </w:rPr>
              <w:t>Дата на предаване на измененото предложение:</w:t>
            </w:r>
          </w:p>
        </w:tc>
        <w:tc>
          <w:tcPr>
            <w:tcW w:w="2483" w:type="dxa"/>
          </w:tcPr>
          <w:p>
            <w:pPr>
              <w:jc w:val="left"/>
              <w:rPr>
                <w:noProof/>
              </w:rPr>
            </w:pPr>
            <w:r>
              <w:rPr>
                <w:noProof/>
              </w:rPr>
              <w:t>[*].</w:t>
            </w:r>
          </w:p>
        </w:tc>
      </w:tr>
      <w:tr>
        <w:tc>
          <w:tcPr>
            <w:tcW w:w="6804" w:type="dxa"/>
          </w:tcPr>
          <w:p>
            <w:pPr>
              <w:rPr>
                <w:noProof/>
              </w:rPr>
            </w:pPr>
            <w:r>
              <w:rPr>
                <w:noProof/>
              </w:rPr>
              <w:t>Дата на приемане на позицията на Съвета:</w:t>
            </w:r>
          </w:p>
        </w:tc>
        <w:tc>
          <w:tcPr>
            <w:tcW w:w="2483" w:type="dxa"/>
          </w:tcPr>
          <w:p>
            <w:pPr>
              <w:jc w:val="left"/>
              <w:rPr>
                <w:i/>
                <w:noProof/>
              </w:rPr>
            </w:pPr>
            <w:r>
              <w:rPr>
                <w:noProof/>
                <w:lang w:val="en-US"/>
              </w:rPr>
              <w:t xml:space="preserve">14 </w:t>
            </w:r>
            <w:r>
              <w:rPr>
                <w:noProof/>
              </w:rPr>
              <w:t>декември 2015 г.</w:t>
            </w:r>
          </w:p>
        </w:tc>
      </w:tr>
      <w:tr>
        <w:tc>
          <w:tcPr>
            <w:tcW w:w="6804" w:type="dxa"/>
          </w:tcPr>
          <w:p>
            <w:pPr>
              <w:pStyle w:val="Point0"/>
              <w:rPr>
                <w:b/>
                <w:i/>
                <w:noProof/>
              </w:rPr>
            </w:pPr>
            <w:r>
              <w:rPr>
                <w:noProof/>
              </w:rPr>
              <w:t>*</w:t>
            </w:r>
            <w:r>
              <w:rPr>
                <w:noProof/>
              </w:rPr>
              <w:tab/>
              <w:t>Предвид тенденциите в неофициалните дискусии между Съвета и Европейския парламент след първото четене в Европейския парламент Комисията не изготви преработено предложение, а изрази становището си относно внесените от Парламента изменения в „</w:t>
            </w:r>
            <w:r>
              <w:rPr>
                <w:i/>
                <w:noProof/>
              </w:rPr>
              <w:t>Communication de la Commission sur les suites données aux avis et résolutions adoptés par le Parlement eropéen lors de la session d'avril I et II 2014</w:t>
            </w:r>
            <w:r>
              <w:rPr>
                <w:noProof/>
              </w:rPr>
              <w:t>“ [Съобщение на Комисията относно мерките във връзка със становищата и резолюциите, приети от Европейския парламент по време на сесии І и ІІ през април 2014 г.] (документ SP(2014) 471 от 9 юли 2014 г.)</w:t>
            </w:r>
          </w:p>
        </w:tc>
        <w:tc>
          <w:tcPr>
            <w:tcW w:w="2483" w:type="dxa"/>
          </w:tcPr>
          <w:p>
            <w:pPr>
              <w:jc w:val="left"/>
              <w:rPr>
                <w:noProof/>
              </w:rPr>
            </w:pPr>
          </w:p>
        </w:tc>
      </w:tr>
    </w:tbl>
    <w:p>
      <w:pPr>
        <w:pStyle w:val="ManualHeading1"/>
        <w:ind w:left="851" w:hanging="851"/>
        <w:rPr>
          <w:noProof/>
        </w:rPr>
      </w:pPr>
      <w:r>
        <w:rPr>
          <w:noProof/>
        </w:rPr>
        <w:t>2.</w:t>
      </w:r>
      <w:r>
        <w:rPr>
          <w:noProof/>
        </w:rPr>
        <w:tab/>
        <w:t>Цел на предложението на Комисията</w:t>
      </w:r>
    </w:p>
    <w:p>
      <w:pPr>
        <w:spacing w:before="100" w:beforeAutospacing="1"/>
        <w:rPr>
          <w:noProof/>
        </w:rPr>
      </w:pPr>
      <w:r>
        <w:rPr>
          <w:noProof/>
        </w:rPr>
        <w:t xml:space="preserve">Целта на предложението на Комисията е да въведе един-единствен законодателен акт, уреждащ въпросите относно здравеопазването на животните в Съюза въз основа на </w:t>
      </w:r>
      <w:r>
        <w:rPr>
          <w:noProof/>
        </w:rPr>
        <w:lastRenderedPageBreak/>
        <w:t>принципа „По-добре превенция, отколкото лечение“. Предложението има за цел да се подобрят стандартите и да се осигури обща система за по-ефективно откриване и борба с болестите, както и за справяне по координиран начин с рисковете за здравето и за безопасността на храните и фуражите.</w:t>
      </w:r>
    </w:p>
    <w:p>
      <w:pPr>
        <w:spacing w:before="100" w:beforeAutospacing="1"/>
        <w:rPr>
          <w:noProof/>
        </w:rPr>
      </w:pPr>
      <w:r>
        <w:rPr>
          <w:noProof/>
        </w:rPr>
        <w:t xml:space="preserve">Тази усъвършенствана система ще даде на операторите, които работят в хранителната верига — например земеделските производители и ветеринарните лекари — възможност да реагират бързо и да ограничат разпространението на дадена болест, както и да сведат до минимум въздействието ѝ върху животните и потребителите. </w:t>
      </w:r>
    </w:p>
    <w:p>
      <w:pPr>
        <w:spacing w:before="100" w:beforeAutospacing="1"/>
        <w:rPr>
          <w:noProof/>
        </w:rPr>
      </w:pPr>
      <w:r>
        <w:rPr>
          <w:noProof/>
        </w:rPr>
        <w:t>Освен това в предложението се въвеждат категоризация, подреждане по приоритет и установяване на списък на болестите, за които се налага намеса на равнището на Съюза, което ще даде възможност за подход, основан в по-голяма степен на оценката на риска, както и целесъобразно използване на ресурсите.</w:t>
      </w:r>
    </w:p>
    <w:p>
      <w:pPr>
        <w:spacing w:before="100" w:beforeAutospacing="1"/>
        <w:rPr>
          <w:noProof/>
        </w:rPr>
      </w:pPr>
      <w:r>
        <w:rPr>
          <w:noProof/>
        </w:rPr>
        <w:t>Предоставя се достатъчна гъвкавост за адаптиране на мерките относно здравеопазването на животните съобразно различните животновъдни обекти и местните обстоятелства, по-специално по отношение на изискванията за регистрация и одобряване на животновъдните обекти и за отглеждане на животни и съхраняване на продукти.</w:t>
      </w:r>
    </w:p>
    <w:p>
      <w:pPr>
        <w:spacing w:before="100" w:beforeAutospacing="1"/>
        <w:rPr>
          <w:noProof/>
        </w:rPr>
      </w:pPr>
      <w:r>
        <w:rPr>
          <w:noProof/>
        </w:rPr>
        <w:t>В по-широк мащаб Съюзът като цяло работи за постигане на целите на стратегията „Европа 2020“. В предложението относно здравеопазването на животните се оказва подкрепа на тези изключително важни общи цели чрез намаляване на риска от отрицателно икономическо, социално и екологично въздействие на недоброто здраве на животните или на появата на болести по животните, както и чрез подкрепа на икономическата сигурност и успеха на животновъдите, особено на земеделските производители, като по този начин ще допринесат за интелигентния, приобщаващ и устойчив растеж.</w:t>
      </w:r>
    </w:p>
    <w:p>
      <w:pPr>
        <w:spacing w:before="100" w:beforeAutospacing="1" w:after="100" w:afterAutospacing="1"/>
        <w:rPr>
          <w:noProof/>
        </w:rPr>
      </w:pPr>
      <w:r>
        <w:rPr>
          <w:noProof/>
        </w:rPr>
        <w:t>И не на последно място, необходимо е правната рамка да бъде гъвкава, но достатъчно солидна, за да може Съюзът да реагира ефективно при съществени изменения на климата и нови и неизвестни нововъзникващи рискове, както и да дава възможност за бързо приспособяване към научните достижения и новите международни стандарти.</w:t>
      </w:r>
    </w:p>
    <w:p>
      <w:pPr>
        <w:pStyle w:val="ManualHeading1"/>
        <w:rPr>
          <w:noProof/>
        </w:rPr>
      </w:pPr>
      <w:r>
        <w:rPr>
          <w:noProof/>
        </w:rPr>
        <w:t>3.</w:t>
      </w:r>
      <w:r>
        <w:rPr>
          <w:noProof/>
        </w:rPr>
        <w:tab/>
        <w:t>Коментари относно позицията на Съвета</w:t>
      </w:r>
    </w:p>
    <w:p>
      <w:pPr>
        <w:pStyle w:val="Point0"/>
        <w:ind w:left="851" w:hanging="851"/>
        <w:rPr>
          <w:b/>
          <w:noProof/>
        </w:rPr>
      </w:pPr>
      <w:r>
        <w:rPr>
          <w:b/>
          <w:smallCaps/>
          <w:noProof/>
        </w:rPr>
        <w:t>3.1</w:t>
      </w:r>
      <w:r>
        <w:rPr>
          <w:noProof/>
        </w:rPr>
        <w:tab/>
      </w:r>
      <w:r>
        <w:rPr>
          <w:b/>
          <w:noProof/>
        </w:rPr>
        <w:t>Общи бележки</w:t>
      </w:r>
    </w:p>
    <w:p>
      <w:pPr>
        <w:spacing w:after="240"/>
        <w:rPr>
          <w:rFonts w:eastAsia="Times New Roman"/>
          <w:noProof/>
          <w:szCs w:val="24"/>
        </w:rPr>
      </w:pPr>
      <w:r>
        <w:rPr>
          <w:noProof/>
        </w:rPr>
        <w:t xml:space="preserve">На 6 май 2013 г. предложението на Комисията бе предадено на Европейския парламент и на Съвета. На 15 април 2014 г. Европейският парламент прие позицията си на първо четене и подкрепи основните цели на предложението на Комисията. По-специално, Европейският парламент изрази подкрепата си за принципа, че превенцията е по-добра от лечението, и приветства опита да се обединят действащите разпокъсани актове в областта на здравеопазването на животните в един общ набор от принципи. Той също така призна приложното поле на предложения акт, което е относно заразните болести по животните, и приветства подхода „Едно здраве“, който установява ясна връзка между хуманното отношение към животните и здравеопазването на животните и общественото здраве. Освен това Европейският парламент призова за баланс между </w:t>
      </w:r>
      <w:r>
        <w:rPr>
          <w:noProof/>
        </w:rPr>
        <w:lastRenderedPageBreak/>
        <w:t xml:space="preserve">предвидимост и гъвкавост. В позицията на Европейския парламент бяха включени 331 изменения на първоначалното предложение на Комисията. </w:t>
      </w:r>
    </w:p>
    <w:p>
      <w:pPr>
        <w:spacing w:before="0" w:after="240"/>
        <w:rPr>
          <w:rFonts w:eastAsia="Times New Roman"/>
          <w:noProof/>
          <w:szCs w:val="24"/>
        </w:rPr>
      </w:pPr>
      <w:r>
        <w:rPr>
          <w:noProof/>
        </w:rPr>
        <w:t>Изменено предложение на Комисията не бе изготвено. В съобщението си до Европейския парламент Комисията посочи, че би могла да приеме изцяло, частично, по принцип или при условие че бъдат преформулирани 106 от 331 изменения, тъй като те поясняват или подобряват предложението на Комисията и са съвместими с неговите общи цели. Поради липсата на позиция на Съвета към онзи момент и за да не предопределя ролята на Комисията за улесняване на постигането на съгласие между двата законодателни органа на по-късен етап, позицията на Комисията относно измененията, внесени от Парламента, остана сравнително консервативна и клони към защита на предложението на Комисията.</w:t>
      </w:r>
    </w:p>
    <w:p>
      <w:pPr>
        <w:spacing w:before="0" w:after="240"/>
        <w:rPr>
          <w:rFonts w:eastAsia="Times New Roman"/>
          <w:noProof/>
          <w:szCs w:val="24"/>
        </w:rPr>
      </w:pPr>
      <w:r>
        <w:rPr>
          <w:noProof/>
        </w:rPr>
        <w:t xml:space="preserve">След приемането на първо четене на позицията на Европейския парламент неофициалните обсъждания между Европейският парламент, председателството на Съвета и Комисията продължиха с оглед на това да бъде сключено споразумение на етап обща позиция („предварително споразумение на второ четене“). </w:t>
      </w:r>
    </w:p>
    <w:p>
      <w:pPr>
        <w:spacing w:before="100" w:beforeAutospacing="1" w:after="240"/>
        <w:rPr>
          <w:rFonts w:eastAsia="Times New Roman"/>
          <w:noProof/>
          <w:szCs w:val="24"/>
        </w:rPr>
      </w:pPr>
      <w:r>
        <w:rPr>
          <w:noProof/>
        </w:rPr>
        <w:t xml:space="preserve">Тези дискусии завършиха с успех и са отразени в общата позиция на Съвета, приета с квалифицирано мнозинство на 14 декември 2015 г. </w:t>
      </w:r>
    </w:p>
    <w:p>
      <w:pPr>
        <w:pStyle w:val="Point0"/>
        <w:rPr>
          <w:b/>
          <w:noProof/>
        </w:rPr>
      </w:pPr>
      <w:r>
        <w:rPr>
          <w:b/>
          <w:smallCaps/>
          <w:noProof/>
        </w:rPr>
        <w:t>3.2</w:t>
      </w:r>
      <w:r>
        <w:rPr>
          <w:noProof/>
        </w:rPr>
        <w:tab/>
      </w:r>
      <w:r>
        <w:rPr>
          <w:b/>
          <w:noProof/>
        </w:rPr>
        <w:t>Изменения, внесени от Европейския парламент и приети от Комисията, включени изцяло, частично или по принцип в позицията на Съвета на първо четене</w:t>
      </w:r>
    </w:p>
    <w:p>
      <w:pPr>
        <w:spacing w:after="240"/>
        <w:rPr>
          <w:rFonts w:eastAsia="Times New Roman"/>
          <w:noProof/>
          <w:szCs w:val="24"/>
        </w:rPr>
      </w:pPr>
      <w:r>
        <w:rPr>
          <w:b/>
          <w:noProof/>
        </w:rPr>
        <w:t xml:space="preserve">Заглавие на предложението: </w:t>
      </w:r>
      <w:r>
        <w:rPr>
          <w:noProof/>
        </w:rPr>
        <w:t xml:space="preserve">Европейският парламент предложи ново заглавие на предложението, което описва по-добре акцента върху заразните болести по животните. В позицията си Съветът се съгласи и предложи незначителна промяна на формулировката. Поради значението на новото заглавие за съответната политика и факта, че с предложението действително се акцентира върху заразните болести по животните, Комисията приема промяната. </w:t>
      </w:r>
    </w:p>
    <w:p>
      <w:pPr>
        <w:spacing w:after="240"/>
        <w:rPr>
          <w:rFonts w:eastAsia="Times New Roman"/>
          <w:b/>
          <w:noProof/>
          <w:szCs w:val="24"/>
        </w:rPr>
      </w:pPr>
      <w:r>
        <w:rPr>
          <w:b/>
          <w:noProof/>
        </w:rPr>
        <w:t xml:space="preserve">Категоризация на болестите по животните и нововъзникващите болести: </w:t>
      </w:r>
      <w:r>
        <w:rPr>
          <w:noProof/>
        </w:rPr>
        <w:t>Европейският парламент предложи в изменения 83—87 нова формулировка, която пояснява групите категории болести по животните, предвидени в член 8 от предложението на Комисията. Съветът включи тези изменения в позицията си след известно преформулиране. Това пояснение е приемливо за Комисията.</w:t>
      </w:r>
    </w:p>
    <w:p>
      <w:pPr>
        <w:spacing w:after="240"/>
        <w:rPr>
          <w:rFonts w:eastAsia="Times New Roman"/>
          <w:noProof/>
          <w:szCs w:val="24"/>
        </w:rPr>
      </w:pPr>
      <w:r>
        <w:rPr>
          <w:noProof/>
        </w:rPr>
        <w:t xml:space="preserve">По отношение на нововъзникващите болести Европейския парламент изисква в изменения 176 и 177 да се предприемат повече и по-ясни мерки. Посочените изменения обаче не са на най-подходящото място в текста. Съветът споделя опасенията на Европейския парламент относно яснотата на мерките по отношение на нововъзникващите болести и предложи нов член. За Комисията е приемлив този компромис, с който се преодоляват опасенията на двата законодателни органа, тъй като се предвиждат по-ясни правила за справяне с нововъзникващите болести. </w:t>
      </w:r>
    </w:p>
    <w:p>
      <w:pPr>
        <w:spacing w:after="240"/>
        <w:rPr>
          <w:rFonts w:eastAsia="Calibri"/>
          <w:noProof/>
        </w:rPr>
      </w:pPr>
      <w:r>
        <w:rPr>
          <w:b/>
          <w:noProof/>
        </w:rPr>
        <w:t>Отмяна на Регламент (ЕО) № 1760/2000 за идентификацията на едър рогат добитък и етикетирането на говеждо месо:</w:t>
      </w:r>
      <w:r>
        <w:rPr>
          <w:noProof/>
        </w:rPr>
        <w:t xml:space="preserve"> Европейският парламент предложи в изменения 38, 324 и 328 запазване на Регламент (ЕО) № 1760/2000 за идентификацията на едър рогат добитък и етикетирането на говеждо месо, който съгласно предложението </w:t>
      </w:r>
      <w:r>
        <w:rPr>
          <w:noProof/>
        </w:rPr>
        <w:lastRenderedPageBreak/>
        <w:t xml:space="preserve">относно здравеопазването на животните трябваше да бъде отменен. Комисията поясни, че макар в предложението да се е предвиждала отмяна на целия Регламент (ЕО) № 1760/2000, намерението на Комисията не е било да се отменят частите, които се отнасят до етикетирането на говеждо месо и продукти от говеждо месо. Този въпрос беше също така обсъден в Съвета, който предложи изменение на предложението, което да го отрази. Комисията е съгласна с позицията на Съвета и поради това приема запазването на дял II от Регламент (ЕО) № 1760/2000, който се отнася до етикетирането на говеждо месо и продукти от говеждо месо и е извън приложното поле на предложението относно здравеопазването на животните. </w:t>
      </w:r>
    </w:p>
    <w:p>
      <w:pPr>
        <w:spacing w:after="240"/>
        <w:rPr>
          <w:noProof/>
        </w:rPr>
      </w:pPr>
      <w:r>
        <w:rPr>
          <w:noProof/>
        </w:rPr>
        <w:t xml:space="preserve">Освен това Европейският парламент посочи, че в наскоро изменения член 22 от Регламент (ЕО) № 1760/2000 се предвижда определена честота на проверките във връзка с идентификацията и регистрацията на говедата. Комисията счита, че такива описателни разпоредби са излишни, тъй като те са предвидени в предложението на Комисията за регламент относно официалния контрол (COM (2013) 265, 2013/0140/COD). Въпреки това, Европейският парламент поиска да получи уверения, че в бъдеще ще бъде поддържано еднакво ниво на контрол за говеда, което е отразено в ново съображение. </w:t>
      </w:r>
    </w:p>
    <w:p>
      <w:pPr>
        <w:spacing w:after="240"/>
        <w:rPr>
          <w:noProof/>
        </w:rPr>
      </w:pPr>
      <w:r>
        <w:rPr>
          <w:b/>
          <w:noProof/>
        </w:rPr>
        <w:t xml:space="preserve">Хуманно отношение към животните: </w:t>
      </w:r>
      <w:r>
        <w:rPr>
          <w:noProof/>
        </w:rPr>
        <w:t>Европейският парламент изисква в изменения 5, 99 и 202 хуманното отношение към животните да се взима предвид при обмисляне или предприемане на мерки за здравето на животните. В предложението на Комисията вече се предвиждаше хуманното отношение към животните системно да се взема под внимание, когато се разглежда въздействието на болестите и мерките за борба с болести. Измененията на Европейския парламент, които подчертават това намерение, бяха счетени за приемливи от Комисията и бяха подкрепени от Съвета.</w:t>
      </w:r>
    </w:p>
    <w:p>
      <w:pPr>
        <w:pStyle w:val="Point0"/>
        <w:rPr>
          <w:b/>
          <w:noProof/>
        </w:rPr>
      </w:pPr>
      <w:r>
        <w:rPr>
          <w:b/>
          <w:noProof/>
        </w:rPr>
        <w:t>3.3</w:t>
      </w:r>
      <w:r>
        <w:rPr>
          <w:noProof/>
        </w:rPr>
        <w:tab/>
      </w:r>
      <w:r>
        <w:rPr>
          <w:b/>
          <w:noProof/>
        </w:rPr>
        <w:t>Изменения, внесени от Европейския парламент и отхвърлени от Комисията, които са включени изцяло, частично или по принцип в позицията на Съвета на първо четене</w:t>
      </w:r>
    </w:p>
    <w:p>
      <w:pPr>
        <w:rPr>
          <w:noProof/>
        </w:rPr>
      </w:pPr>
      <w:r>
        <w:rPr>
          <w:b/>
          <w:noProof/>
        </w:rPr>
        <w:t xml:space="preserve">Списък на болести по животните: </w:t>
      </w:r>
      <w:r>
        <w:rPr>
          <w:noProof/>
        </w:rPr>
        <w:t>Европейският парламент предложи в редица изменения (по-специално изменения 13, 14, 65—67, 70—72, 76, 77, 80—82, 88—90) да се отменят изпълнителните правомощия на Комисията съгласно членове 5, 7 и 8, които предвиждат установяването на списък на болестите по животните и видовете, за които се прилагат правилата на регламента, както и категоризацията на болестите в различни групи според това кои мерки са подходящи за тях. Европейският парламент предложи списъкът на болестите да се включи в приложение към регламента, а на Комисията да се предоставят делегирани правомощия за изменение или допълнение на този списък (изменение 331).</w:t>
      </w:r>
    </w:p>
    <w:p>
      <w:pPr>
        <w:spacing w:before="0"/>
        <w:rPr>
          <w:b/>
          <w:noProof/>
        </w:rPr>
      </w:pPr>
      <w:r>
        <w:rPr>
          <w:noProof/>
        </w:rPr>
        <w:t>Съветът предложи в постановителната част на регламента да се включи кратък списък на пет значителни болести, а изготвянето на списъците на останалите болести, както и категоризирането на всички болести в списъка и списъкът на видовете да се извършва чрез актове за изпълнение. Съветът също така добави допълнителни критерии за изготвяне на списъци и категоризация на болестите по животните (във връзка съответно с членове 5 и 8), които според тях прибавят липсващите съществени елементи към постановителната част от предложението на Комисията.</w:t>
      </w:r>
    </w:p>
    <w:p>
      <w:pPr>
        <w:rPr>
          <w:rFonts w:eastAsia="Calibri"/>
          <w:noProof/>
        </w:rPr>
      </w:pPr>
      <w:r>
        <w:rPr>
          <w:noProof/>
        </w:rPr>
        <w:t xml:space="preserve">Парламентът призна значението на тези допълнителни съществени елементи, които предоставят по-подробни критерии за изготвяне на списъци на болести и </w:t>
      </w:r>
      <w:r>
        <w:rPr>
          <w:noProof/>
        </w:rPr>
        <w:lastRenderedPageBreak/>
        <w:t>категоризация. Парламентът също така се съгласи с предложения списък с пет болести в член 5 и с евентуалното включване на други болести в приложение, което може да бъде изменяно чрез делегиран акт, а изпълнителните правомощия да се запазят за категоризацията на болестите по животните (съгласно член 8).</w:t>
      </w:r>
    </w:p>
    <w:p>
      <w:pPr>
        <w:rPr>
          <w:noProof/>
        </w:rPr>
      </w:pPr>
      <w:r>
        <w:rPr>
          <w:noProof/>
        </w:rPr>
        <w:t>Макар първоначално Комисията да отхвърли посочените по-горе изменения на Европейския парламент, тя прие окончателната позиция на Съвета и на Парламента като компромис, който запазва необходимата ефикасност, гъвкавост и правна сигурност по отношение на изготвянето на списъци и категоризацията на болестите и изготвянето на списък на видовете.</w:t>
      </w:r>
    </w:p>
    <w:p>
      <w:pPr>
        <w:rPr>
          <w:rFonts w:eastAsia="Times New Roman"/>
          <w:b/>
          <w:noProof/>
          <w:szCs w:val="24"/>
        </w:rPr>
      </w:pPr>
      <w:r>
        <w:rPr>
          <w:b/>
          <w:noProof/>
        </w:rPr>
        <w:t xml:space="preserve">Консултация със заинтересованите страни и учените: </w:t>
      </w:r>
      <w:r>
        <w:rPr>
          <w:noProof/>
        </w:rPr>
        <w:t>Европейският парламент, в изменения 41, 66, 75, 77, 82, 157, 260 и 322, поиска някои видове специфични консултации при изготвянето на делегираните актове. Противно на разпоредбите на член 290, параграф 2 от ДФЕС, някои от тези изменения съдържат правно обвързващо задължение за Комисията да проведе посочените консултации.</w:t>
      </w:r>
    </w:p>
    <w:p>
      <w:pPr>
        <w:rPr>
          <w:rFonts w:eastAsia="Calibri"/>
          <w:noProof/>
        </w:rPr>
      </w:pPr>
      <w:r>
        <w:rPr>
          <w:noProof/>
        </w:rPr>
        <w:t>В своята позиция Съветът пожела да признае значението на консултациите на Комисията с експерти, включително експерти на държавите членки, и съответно измени предложението. Съветът също така подкрепи и Парламента относно участието на заинтересованите страни в консултациите.</w:t>
      </w:r>
    </w:p>
    <w:p>
      <w:pPr>
        <w:spacing w:after="100" w:afterAutospacing="1"/>
        <w:rPr>
          <w:rFonts w:eastAsia="Calibri"/>
          <w:noProof/>
        </w:rPr>
      </w:pPr>
      <w:r>
        <w:rPr>
          <w:noProof/>
        </w:rPr>
        <w:t>Комисията не може да приеме измененията на Европейския парламент, които противоречат на член 290, параграф 2 от ДФЕС. Тя обаче може да приеме формулировката в позицията на Съвета, в която Комисията се консултира с експерти, заинтересовани страни и Европейския орган за безопасност на храните, и взема участие в по-широки обществени консултации, когато и доколкото е целесъобразно.</w:t>
      </w:r>
    </w:p>
    <w:p>
      <w:pPr>
        <w:rPr>
          <w:rFonts w:eastAsia="Times New Roman"/>
          <w:noProof/>
          <w:szCs w:val="24"/>
        </w:rPr>
      </w:pPr>
      <w:r>
        <w:rPr>
          <w:b/>
          <w:noProof/>
        </w:rPr>
        <w:t>Клауза за преразглеждане (доклад на Комисията):</w:t>
      </w:r>
      <w:r>
        <w:rPr>
          <w:noProof/>
        </w:rPr>
        <w:t xml:space="preserve"> В изменение 330 Европейския парламент поиска, в отделен член, най-късно до 31 декември 2019 г. Комисията да представи доклад за въздействието на регламента. Съветът също поиска в съображенията или в постановителната част да се включи задължение за докладване, като се избягва всяка излишна административна тежест.</w:t>
      </w:r>
    </w:p>
    <w:p>
      <w:pPr>
        <w:spacing w:after="240"/>
        <w:rPr>
          <w:noProof/>
        </w:rPr>
      </w:pPr>
      <w:r>
        <w:rPr>
          <w:noProof/>
        </w:rPr>
        <w:t>Комисията първоначално не прие това допълнително задължение за докладване, тъй като съществуват други инструменти, като например проверки за пригодност и оценки, които оценяват въздействието на законодателството на ЕС. Освен това първоначалният срок е твърде кратък. Като част от общия компромис Комисията може да приеме изменението, предложено от Европейския парламент, при условие че бъде преформулирано съгласно позицията на Съвета.</w:t>
      </w:r>
    </w:p>
    <w:p>
      <w:pPr>
        <w:rPr>
          <w:rFonts w:eastAsia="Times New Roman"/>
          <w:b/>
          <w:noProof/>
          <w:szCs w:val="24"/>
        </w:rPr>
      </w:pPr>
      <w:r>
        <w:rPr>
          <w:b/>
          <w:noProof/>
        </w:rPr>
        <w:t>Хуманно отношение към животните:</w:t>
      </w:r>
      <w:r>
        <w:rPr>
          <w:rFonts w:ascii="Times New Roman Bold" w:hAnsi="Times New Roman Bold"/>
          <w:b/>
          <w:noProof/>
        </w:rPr>
        <w:t xml:space="preserve"> </w:t>
      </w:r>
      <w:r>
        <w:rPr>
          <w:noProof/>
        </w:rPr>
        <w:t xml:space="preserve">Първоначално Европейският парламент поиска да бъдат направени редица изменения относно хуманното отношение към животните. Някои от тях бяха приети от Съвета (вж. точка 3.2), докато с други (например изменения 173, 180, 194 и 257) бе разширен обхватът на правилата за хуманно отношение към животните, като по този начин се оказа намеса в съществуващото законодателство за хуманно отношение към животните, което евентуално би попречило на изпълнението на мерките за контрол на болести в извънредни ситуации. Съветът заема твърда позиция относно разделението между здравеопазването на животните и хуманното отношение към животните и се противопоставя на тези изменения, като споделя в общи линии становището на Комисията. Също така, всички изменения, които </w:t>
      </w:r>
      <w:r>
        <w:rPr>
          <w:noProof/>
        </w:rPr>
        <w:lastRenderedPageBreak/>
        <w:t>се припокриват или са несъвместими със съществуващите изисквания — или излагат на риск здравето на животните и общественото здраве — не бяха включени в позицията на Съвета. Комисията подкрепя тази позиция.</w:t>
      </w:r>
    </w:p>
    <w:p>
      <w:pPr>
        <w:rPr>
          <w:noProof/>
        </w:rPr>
      </w:pPr>
      <w:r>
        <w:rPr>
          <w:noProof/>
        </w:rPr>
        <w:t>Европейския парламент би могъл да премахне или измени редица свои изменения, но поиска от Комисията да се ангажира да предприеме бъдещи действия за защита на животните чрез изявление за хуманното отношение към животните. Като част от цялостното споразумение Комисията по изключение се съгласи да направи изявление.</w:t>
      </w:r>
    </w:p>
    <w:p>
      <w:pPr>
        <w:rPr>
          <w:rFonts w:eastAsia="Calibri"/>
          <w:noProof/>
        </w:rPr>
      </w:pPr>
      <w:r>
        <w:rPr>
          <w:b/>
          <w:noProof/>
        </w:rPr>
        <w:t xml:space="preserve">Антимикробна резистентност: </w:t>
      </w:r>
      <w:r>
        <w:rPr>
          <w:noProof/>
        </w:rPr>
        <w:t>Европейският парламент прие редица изменения относно антимикробната резистентност. Антимикробната резистентност вече е обхваната от предложението на Комисията чрез разпоредбите за резистентност към леченията и за профила на болестта. Приемливи са измененията, които задължават участниците да вземат предвид рисковете от антимикробната резистентност, или да повишат осведомеността за тях (изменения 73, 101), но не могат да бъдат подкрепени измененията, с които се оказва намеса в законодателството относно ветеринарните лекарства, тъй като те излизат извън приложното поле на предложението.</w:t>
      </w:r>
    </w:p>
    <w:p>
      <w:pPr>
        <w:spacing w:after="240"/>
        <w:rPr>
          <w:rFonts w:eastAsia="Calibri"/>
          <w:noProof/>
        </w:rPr>
      </w:pPr>
      <w:r>
        <w:rPr>
          <w:noProof/>
        </w:rPr>
        <w:t>Европейският парламент също така настоя за корекция на член 9 (изменение 94) за вменяване на отговорност на операторите за отговорно използване на ветеринарните лекарства, тъй като според тях това ясно задължение е необходимо в законодателството на ЕС, за да се установи връзка с предложението относно ветеринарномедицинските продукти (COM(2014) 558, 2014/0257 (COD)). В крайна сметка, Европейският парламент беше готов да се откаже от другите изменения относно антимикробната резистентност и ветеринарномедицинските продукти, но поиска в замяна да се включи съвместно изявление на Европейския парламент, Съвета и Комисията относно антимикробната резистентност, както и изявление на Комисията за редовно докладване относно използването на антимикробни лекарствени продукти при животни в Съюза.</w:t>
      </w:r>
    </w:p>
    <w:p>
      <w:pPr>
        <w:rPr>
          <w:noProof/>
        </w:rPr>
      </w:pPr>
      <w:r>
        <w:rPr>
          <w:noProof/>
        </w:rPr>
        <w:t>Съветът прие по принцип изменение 94 и изрази подкрепа за съвместното изявление. Комисията може да приеме изменение 94, както е преформулирано в позицията на Съвета, да подкрепи съвместното изявление относно антимикробната резистентност и като компромис да направи изявление относно редовното докладване за използването на антимикробни ветеринарномедицински продукти.</w:t>
      </w:r>
    </w:p>
    <w:p>
      <w:pPr>
        <w:rPr>
          <w:b/>
          <w:noProof/>
        </w:rPr>
      </w:pPr>
      <w:r>
        <w:rPr>
          <w:b/>
          <w:noProof/>
        </w:rPr>
        <w:t>Други специалисти и професионални организации, изпълняващи определени задачи от името на компетентния орган:</w:t>
      </w:r>
      <w:r>
        <w:rPr>
          <w:noProof/>
        </w:rPr>
        <w:t xml:space="preserve"> Европейският парламент поиска някои специалисти, като например специалистите в областта на здравеопазването на пчелите, да се признават на същото основание като ветеринарните лекари (изменения 103 и 110), както и да бъде разрешено на някои други квалифицирани лица или професионални организации да извършват определени задачи (изменения 19 и 109). </w:t>
      </w:r>
    </w:p>
    <w:p>
      <w:pPr>
        <w:spacing w:before="100" w:beforeAutospacing="1" w:after="100" w:afterAutospacing="1"/>
        <w:rPr>
          <w:rFonts w:eastAsia="Calibri"/>
          <w:noProof/>
        </w:rPr>
      </w:pPr>
      <w:r>
        <w:rPr>
          <w:noProof/>
        </w:rPr>
        <w:t xml:space="preserve">Съветът разгледа същите въпроси, като даде възможност на държавите членки да оправомощават други специалисти да извършват определени задачи, като взе предвид принципа на субсидиарност, който позволява на държавите членки да вземат собствени решения относно оправомощаването въз основа на съществуващите национални структури. Това е в съответствие със становището на Комисията, че задачи могат да бъдат делегирани на други специалисти, при условие че това е в съответствие с международните стандарти и се спазват принципите на субсидиарност и пропорционалност. </w:t>
      </w:r>
    </w:p>
    <w:p>
      <w:pPr>
        <w:rPr>
          <w:b/>
          <w:noProof/>
        </w:rPr>
      </w:pPr>
      <w:r>
        <w:rPr>
          <w:b/>
          <w:noProof/>
        </w:rPr>
        <w:lastRenderedPageBreak/>
        <w:t>Лаборатории в сектора на здравеопазване на животните:</w:t>
      </w:r>
      <w:r>
        <w:rPr>
          <w:b/>
          <w:i/>
          <w:noProof/>
        </w:rPr>
        <w:t xml:space="preserve"> </w:t>
      </w:r>
      <w:r>
        <w:rPr>
          <w:noProof/>
        </w:rPr>
        <w:t>Европейският парламент предвиди (изменения 150 — 155) изисквания за официалните лаборатории в сектора на здравеопазването на животните, включително разпоредби за лабораторната мрежа и изискванията относно официалните лаборатории, както и националните референтни лаборатории и референтните лаборатории на Съюза. Комисията не може да приеме тези изменения, тъй като задачите и отговорностите на тези лаборатории са включени в предложението за регламент относно официалния контрол.</w:t>
      </w:r>
    </w:p>
    <w:p>
      <w:pPr>
        <w:spacing w:after="100" w:afterAutospacing="1"/>
        <w:rPr>
          <w:rFonts w:eastAsia="Calibri"/>
          <w:noProof/>
        </w:rPr>
      </w:pPr>
      <w:r>
        <w:rPr>
          <w:noProof/>
        </w:rPr>
        <w:t>В общи линии Съветът сподели становището на Комисията и като компромис предложи нов член, в който се предвижда връзка между изискванията за лабораториите в предложението относно здравеопазването на животните и предложението относно официалния контрол. Като компромис това решение е приемливо за Комисията.</w:t>
      </w:r>
    </w:p>
    <w:p>
      <w:pPr>
        <w:pStyle w:val="Point0"/>
        <w:rPr>
          <w:b/>
          <w:noProof/>
        </w:rPr>
      </w:pPr>
      <w:r>
        <w:rPr>
          <w:b/>
          <w:noProof/>
        </w:rPr>
        <w:t>3.4</w:t>
      </w:r>
      <w:r>
        <w:rPr>
          <w:noProof/>
        </w:rPr>
        <w:tab/>
      </w:r>
      <w:r>
        <w:rPr>
          <w:b/>
          <w:noProof/>
        </w:rPr>
        <w:t>Изменения, внесени от Европейския парламент и приети от Комисията изцяло, частично или по принцип, които не са включени в позицията на Съвета на първо четене</w:t>
      </w:r>
    </w:p>
    <w:p>
      <w:pPr>
        <w:rPr>
          <w:rFonts w:eastAsia="Times New Roman"/>
          <w:noProof/>
          <w:szCs w:val="24"/>
        </w:rPr>
      </w:pPr>
      <w:r>
        <w:rPr>
          <w:noProof/>
        </w:rPr>
        <w:t>Някои по-незначителни въпроси бяха приети частично от Комисията, но не бяха изрично включени в окончателната позиция на Съвета, тъй като по време на преговорите те вече са станали излишни или вече са обяснени на друго място, или се съдържат по подразбиране в предложението (например изменения 4, 8, 26, 45, 156, 222 и 277).</w:t>
      </w:r>
    </w:p>
    <w:p>
      <w:pPr>
        <w:pStyle w:val="Point0"/>
        <w:rPr>
          <w:b/>
          <w:noProof/>
        </w:rPr>
      </w:pPr>
      <w:r>
        <w:rPr>
          <w:b/>
          <w:noProof/>
        </w:rPr>
        <w:t>3.5</w:t>
      </w:r>
      <w:r>
        <w:rPr>
          <w:noProof/>
        </w:rPr>
        <w:tab/>
      </w:r>
      <w:r>
        <w:rPr>
          <w:b/>
          <w:noProof/>
        </w:rPr>
        <w:t>Изменения, внесени от Европейския парламент и отхвърлени от Комисията, които не са включени в позицията на Съвета на първо четене</w:t>
      </w:r>
    </w:p>
    <w:p>
      <w:pPr>
        <w:rPr>
          <w:rFonts w:ascii="Times New Roman Bold" w:eastAsia="Times New Roman" w:hAnsi="Times New Roman Bold"/>
          <w:noProof/>
          <w:szCs w:val="24"/>
        </w:rPr>
      </w:pPr>
      <w:r>
        <w:rPr>
          <w:b/>
          <w:noProof/>
        </w:rPr>
        <w:t>Стратегически мерки на държавите членки по отношение на болести извън списъка:</w:t>
      </w:r>
      <w:r>
        <w:rPr>
          <w:rFonts w:ascii="Times New Roman Bold" w:hAnsi="Times New Roman Bold"/>
          <w:noProof/>
        </w:rPr>
        <w:t xml:space="preserve"> </w:t>
      </w:r>
      <w:r>
        <w:rPr>
          <w:noProof/>
        </w:rPr>
        <w:t>Европейският парламент поиска (изменения 29 и 107) стратегическите мерки, предприети от държавите членки по отношение на болестите, в това число и болестите, за които се счита, че не са от значение за Съюза и поради това не са включени в списъка, предвиден за намеса на Съюза.</w:t>
      </w:r>
    </w:p>
    <w:p>
      <w:pPr>
        <w:spacing w:after="240"/>
        <w:rPr>
          <w:rFonts w:eastAsia="Calibri"/>
          <w:noProof/>
          <w:szCs w:val="24"/>
        </w:rPr>
      </w:pPr>
      <w:r>
        <w:rPr>
          <w:noProof/>
        </w:rPr>
        <w:t>Съветът не включи изменението на Европейския парламент, тъй като тази разпоредба излиза извън приложното поле на предложението и би създала неоправдана административна и финансова тежест за държавите членки. Комисията подкрепя позицията на Съвета, тъй като стратегическите мерки по отношение на болести извън списъка са въпрос на субсидиарност.</w:t>
      </w:r>
    </w:p>
    <w:p>
      <w:pPr>
        <w:spacing w:before="0"/>
        <w:rPr>
          <w:rFonts w:eastAsia="Calibri"/>
          <w:noProof/>
          <w:szCs w:val="24"/>
        </w:rPr>
      </w:pPr>
      <w:r>
        <w:rPr>
          <w:b/>
          <w:noProof/>
        </w:rPr>
        <w:t>Ветеринарномедицински продукти:</w:t>
      </w:r>
      <w:r>
        <w:rPr>
          <w:noProof/>
        </w:rPr>
        <w:t xml:space="preserve"> В направените от Европейския парламент изменения 94, 159, 160, 162 и 163 — 165 се урежда използването на ветеринарномедицински продукти в Съюза по начин, който влияе върху съществуващото законодателство по отношение на ветеринарномедицински продукти и води до значителни припокривания с предложението на Комисията относно ветеринарномедицински продукти. Поради това Съветът не прие тези изменения. Комисията споделя позицията на Съвета.</w:t>
      </w:r>
    </w:p>
    <w:p>
      <w:pPr>
        <w:rPr>
          <w:rFonts w:eastAsia="Calibri"/>
          <w:noProof/>
        </w:rPr>
      </w:pPr>
      <w:r>
        <w:rPr>
          <w:b/>
          <w:noProof/>
        </w:rPr>
        <w:t xml:space="preserve">Национални мерки: </w:t>
      </w:r>
      <w:r>
        <w:rPr>
          <w:noProof/>
        </w:rPr>
        <w:t xml:space="preserve">Европейският парламент предложи изменения 37, 268 и 323, които позволяват на дадена държава членка да ограничи движението на животни или продукти, ако самата държава членка прецени, че това е научно обосновано и необходимо, за да се предотврати въвеждането или разпространението на болести. Така се излиза от рамката на настоящата система на „допълнителни гаранции“, запазена в предложението на Комисията, съгласно която за ограничен брой болести Комисията </w:t>
      </w:r>
      <w:r>
        <w:rPr>
          <w:noProof/>
        </w:rPr>
        <w:lastRenderedPageBreak/>
        <w:t>одобрява допълнителните гаранции за вътресъюзна търговия, поискани от държава членка, която е взела решение за ликвидиране на незадължителна основа на една или повече от посочените болести.</w:t>
      </w:r>
    </w:p>
    <w:p>
      <w:pPr>
        <w:rPr>
          <w:rFonts w:eastAsia="Calibri"/>
          <w:b/>
          <w:noProof/>
        </w:rPr>
      </w:pPr>
      <w:r>
        <w:rPr>
          <w:noProof/>
        </w:rPr>
        <w:t>Съветът предложи изменения, които поясняват тези „допълнителни гаранции“ и дават възможност на държавите членки да предприемат собствени мерки за профилактика и контрол на болестите. Комисията счита, че позицията на Съвета е подходящ компромис, тъй като тя отразява до известна степен загрижеността на Европейския парламент, като същевременно запазва принципите на единния пазар.</w:t>
      </w:r>
    </w:p>
    <w:p>
      <w:pPr>
        <w:rPr>
          <w:i/>
          <w:noProof/>
        </w:rPr>
      </w:pPr>
      <w:r>
        <w:rPr>
          <w:b/>
          <w:noProof/>
        </w:rPr>
        <w:t xml:space="preserve">„Неотглеждани“, безстопанствени и диви животни: </w:t>
      </w:r>
      <w:r>
        <w:rPr>
          <w:noProof/>
        </w:rPr>
        <w:t>Редица изменения на Европейския парламент (изменения 49, 51, 53, 74, 198 — 201, 203, 211 — 215, 218) имаха за цел да дадат определение за безстопанствени, диви или „неотглеждани“ животни като различни категории от „диви“ животни. Загрижеността на Парламента бе, че тези категории животни не следва да бъдат изключвани от законодателството на Съюза.</w:t>
      </w:r>
    </w:p>
    <w:p>
      <w:pPr>
        <w:autoSpaceDE w:val="0"/>
        <w:autoSpaceDN w:val="0"/>
        <w:adjustRightInd w:val="0"/>
        <w:spacing w:after="0"/>
        <w:rPr>
          <w:rFonts w:eastAsia="Calibri"/>
          <w:noProof/>
          <w:szCs w:val="24"/>
        </w:rPr>
      </w:pPr>
      <w:r>
        <w:rPr>
          <w:noProof/>
        </w:rPr>
        <w:t>Предложението на Комисията прави ясно разграничение между „отглеждани животни“ и „диви животни“ и правилата за профилактика и борба с болестите по животните, които могат да бъдат прилагани за животни, отглеждани под контрола на човека, и тези, прилагани за животни, които не са под контрола на човека. В този контекст, безстопанствени и диви животни, включително тези от видове, които обичайно се одомашняват, се считат за „диви животни“. Определянето на тези животни като отделна категория би могло да доведе до объркване, правна несигурност и потенциално ограничаване на мерките, които могат да се предприемат по отношение на тях.</w:t>
      </w:r>
    </w:p>
    <w:p>
      <w:pPr>
        <w:autoSpaceDE w:val="0"/>
        <w:autoSpaceDN w:val="0"/>
        <w:adjustRightInd w:val="0"/>
        <w:spacing w:after="0"/>
        <w:rPr>
          <w:rFonts w:eastAsia="Calibri"/>
          <w:noProof/>
          <w:szCs w:val="24"/>
        </w:rPr>
      </w:pPr>
      <w:r>
        <w:rPr>
          <w:noProof/>
        </w:rPr>
        <w:t>Съветът прие логиката на предложението на Комисията и добави някои разяснения, в това число една цяла част, относно движението с нетърговска цел на домашни любимци, в която се прави разграничение между движението на животни, отглеждани като домашни любимци, и движението на безстопанствени и други животни. Комисията подкрепя тези решения, които следват линията на нейното предложение и внасят допълнителна яснота.</w:t>
      </w:r>
    </w:p>
    <w:p>
      <w:pPr>
        <w:autoSpaceDE w:val="0"/>
        <w:autoSpaceDN w:val="0"/>
        <w:adjustRightInd w:val="0"/>
        <w:rPr>
          <w:rFonts w:eastAsia="Calibri"/>
          <w:noProof/>
        </w:rPr>
      </w:pPr>
      <w:r>
        <w:rPr>
          <w:b/>
          <w:noProof/>
        </w:rPr>
        <w:t>Идентификация и регистрация на кучета:</w:t>
      </w:r>
      <w:r>
        <w:rPr>
          <w:noProof/>
        </w:rPr>
        <w:t xml:space="preserve"> Европейският парламент поиска, в изменение 236, всички държави членки да въведат задължителна регистрация на всички кучета и когато е целесъобразно, да създадат съответната база данни. В предложението на Комисията се предвиждаше правно основание за евентуално бъдещо въвеждане на изисквания за идентификация и регистрация на различни животински видове, в това число евентуално кучета. Съветът подкрепи предложението на Комисията, тъй като изискването всички държави членки да създадат такава система, без подходяща оценка на въздействието, може да е несъразмерно спрямо риска за здравето на животните и би могло да доведе до финансова и административна тежест за сметка на неясни ползи.</w:t>
      </w:r>
    </w:p>
    <w:p>
      <w:pPr>
        <w:spacing w:before="0"/>
        <w:rPr>
          <w:b/>
          <w:noProof/>
        </w:rPr>
      </w:pPr>
      <w:r>
        <w:rPr>
          <w:b/>
          <w:noProof/>
        </w:rPr>
        <w:t xml:space="preserve">Движение с нетърговска цел на домашни любимци: </w:t>
      </w:r>
      <w:r>
        <w:rPr>
          <w:noProof/>
        </w:rPr>
        <w:t>Редица изменения на Европейския парламент (изменения 36, 39, 40, 54, 239 — 244, 246 — 247, 263 — 267 и 325) водят до запазване на Регламент (ЕС) № 576/2013 относно движението с нетърговска цел на домашни любимци („регламент за домашните любимци“), който трябваше да бъде отменен с предложението относно здравеопазването на животните.</w:t>
      </w:r>
    </w:p>
    <w:p>
      <w:pPr>
        <w:rPr>
          <w:rFonts w:eastAsia="Calibri"/>
          <w:noProof/>
        </w:rPr>
      </w:pPr>
      <w:r>
        <w:rPr>
          <w:noProof/>
        </w:rPr>
        <w:t xml:space="preserve">Целта на предложението на Комисията е да се обединят в единен набор от правила всички разпоредби в областта на здравеопазването на животните по отношение на всички животински видове и категории. Това ще гарантира, че животни като кучетата и </w:t>
      </w:r>
      <w:r>
        <w:rPr>
          <w:noProof/>
        </w:rPr>
        <w:lastRenderedPageBreak/>
        <w:t>котките могат да се разглеждат по съгласуван начин от гледна точка на здравето на животните, независимо дали са отглеждани или безстопанствени, и дали се предлагат с търговска цел или се придвижват с нетърговска цел като домашни любимци.</w:t>
      </w:r>
    </w:p>
    <w:p>
      <w:pPr>
        <w:rPr>
          <w:noProof/>
        </w:rPr>
      </w:pPr>
      <w:r>
        <w:rPr>
          <w:noProof/>
        </w:rPr>
        <w:t>Както Съветът, така и Европейският парламент изразиха резерви относно отмяната на регламента за домашните любимци толкова скоро след приемането му. Становището на Парламента беше, че регламентът за домашните любимци следва да продължава да е в сила. Позицията на Съвета е, че движението с нетърговска цел на домашни любимци логично попада в рамката на здравеопазването на животните, но че регламентът за домашните любимци не следва да се подлага на поправки толкова скоро след приемането му. Поради това Съветът предложи 10-годишен срок на прилагане на регламента за домашните любимци, заедно с набор от правила в предложението за регламент за здравеопазването на животните, съответстващ на установените правила в регламента за домашни любимци, които ще бъдат заменени след изтичането на 10-годишния срок на прилагането им .</w:t>
      </w:r>
    </w:p>
    <w:p>
      <w:pPr>
        <w:rPr>
          <w:noProof/>
        </w:rPr>
      </w:pPr>
      <w:r>
        <w:rPr>
          <w:noProof/>
        </w:rPr>
        <w:t>Позицията на Съвета е добър компромис в посока на позицията на Европейския парламент и следователно Комисията може да я подкрепи.</w:t>
      </w:r>
    </w:p>
    <w:p>
      <w:pPr>
        <w:rPr>
          <w:b/>
          <w:noProof/>
        </w:rPr>
      </w:pPr>
      <w:r>
        <w:rPr>
          <w:b/>
          <w:noProof/>
        </w:rPr>
        <w:t xml:space="preserve">Запазване на законодателния текст относно идентификацията и регистрацията на прасета и на животни от рода на овцете и козите: </w:t>
      </w:r>
      <w:r>
        <w:rPr>
          <w:noProof/>
        </w:rPr>
        <w:t>Европейският парламент, в своите изменения 238, 326 и 327, поиска да се запази Регламент (ЕО) № 21/2004 относно идентификацията и регистрацията на овцете и козите, както и Директива 2008/71/ЕО относно идентификацията и регистрацията на прасета.</w:t>
      </w:r>
    </w:p>
    <w:p>
      <w:pPr>
        <w:rPr>
          <w:rFonts w:eastAsia="Calibri"/>
          <w:noProof/>
        </w:rPr>
      </w:pPr>
      <w:r>
        <w:rPr>
          <w:noProof/>
        </w:rPr>
        <w:t>Комисията предложи да се отмени действащото законодателство за идентификация и регистрация, така че всички въпроси, свързани със здравеопазването на животните, да се обединят в един набор от общи принципи. Намерението на Комисията беше да запази духа и подробностите на тези законодателни актове и да осигури стабилност на държавите членки и на операторите, като същевременно даде възможност за повече гъвкавост при възприемането на нови технологии, приспособяване към нови предизвикателства и предоставянето на дерогации в нискорискови случаи. Съветът подкрепи предложението на Комисията в позицията си.</w:t>
      </w:r>
    </w:p>
    <w:p>
      <w:pPr>
        <w:rPr>
          <w:b/>
          <w:noProof/>
        </w:rPr>
      </w:pPr>
      <w:r>
        <w:rPr>
          <w:b/>
          <w:noProof/>
        </w:rPr>
        <w:t xml:space="preserve">Водни животни, промени в определенията, свързани с аквакултури: </w:t>
      </w:r>
      <w:r>
        <w:rPr>
          <w:noProof/>
        </w:rPr>
        <w:t>Европейският парламент предложи изменения 50, 291 — 296, 300 — 304, 306 и 307, с които се въвежда нова категория „отглеждани водни животни“, като по този начин се разграничава „аквакултура“от други „отглеждани водни животни.“ В предложението на Комисията се прави разграничение между „отглеждани животни“ и „диви животни“, в които аквакултурните животни се считат за „отглеждани водни животни“. Съветът се опита да отговори на загрижеността на Парламента, без да повлияе отрицателно на първоначалното намерение на предложението на Комисията, като поясни определението за аквакултурни животни и изясни кои правила за профилактика и борба с болестите се прилагат за аквакултурите и кои — за „дивите водни животни“. Поради това Комисията може да подкрепи предложените решения на Съвета.</w:t>
      </w:r>
    </w:p>
    <w:p>
      <w:pPr>
        <w:pStyle w:val="Point0"/>
        <w:rPr>
          <w:b/>
          <w:noProof/>
        </w:rPr>
      </w:pPr>
      <w:r>
        <w:rPr>
          <w:b/>
          <w:noProof/>
        </w:rPr>
        <w:t>3.6</w:t>
      </w:r>
      <w:r>
        <w:rPr>
          <w:noProof/>
        </w:rPr>
        <w:tab/>
      </w:r>
      <w:r>
        <w:rPr>
          <w:b/>
          <w:noProof/>
        </w:rPr>
        <w:t>Нови разпоредби, въведени от Съвета</w:t>
      </w:r>
    </w:p>
    <w:p>
      <w:pPr>
        <w:rPr>
          <w:noProof/>
        </w:rPr>
      </w:pPr>
      <w:r>
        <w:rPr>
          <w:b/>
          <w:noProof/>
        </w:rPr>
        <w:t xml:space="preserve">Преходни периоди: </w:t>
      </w:r>
      <w:r>
        <w:rPr>
          <w:noProof/>
        </w:rPr>
        <w:t xml:space="preserve">Съветът изрази загриженост относно броя на законодателните актове, които ще бъдат отменени и заменени с новата рамка за здравето на животните. За да има възможност за повече време за прилагане на законодателството, Съветът предложи общ преходен период от 60 месеца вместо 36, както беше предложила </w:t>
      </w:r>
      <w:r>
        <w:rPr>
          <w:noProof/>
        </w:rPr>
        <w:lastRenderedPageBreak/>
        <w:t>Комисията. Той също така поиска допълнителни преходни мерки, като например тези, които задължават Комисията да приеме някои основни делегирани актове най-малко 24 месеца преди датата на прилагане на регламента, а за останалите делегирани актове и актове за изпълнение да се определи срок от най-малко шест месеца между приемането на първоначалния набор от тези актове и тяхното прилагане.</w:t>
      </w:r>
    </w:p>
    <w:p>
      <w:pPr>
        <w:tabs>
          <w:tab w:val="left" w:pos="2160"/>
        </w:tabs>
        <w:rPr>
          <w:noProof/>
          <w:szCs w:val="20"/>
        </w:rPr>
      </w:pPr>
      <w:r>
        <w:rPr>
          <w:noProof/>
        </w:rPr>
        <w:t>Позицията на Съвета е приемлива за Комисията като общ компромис и също така предвид необходимото време за изготвянето на съпътстващите делегирани актове и актове за изпълнение. Европейският парламент не се противопостави на това изискване.</w:t>
      </w:r>
    </w:p>
    <w:p>
      <w:pPr>
        <w:rPr>
          <w:noProof/>
        </w:rPr>
      </w:pPr>
      <w:r>
        <w:rPr>
          <w:b/>
          <w:noProof/>
        </w:rPr>
        <w:t>Преходни мерки (признаване на придобити права):</w:t>
      </w:r>
      <w:r>
        <w:rPr>
          <w:noProof/>
        </w:rPr>
        <w:t xml:space="preserve"> Съветът въведе нови членове, с които на операторите и държавите членки се дава възможност да признават права по отношение на одобрението или регистрацията на съществуващи оператори и животновъдни обекти, одобрените статути на свободни от болести и специалните разпоредби за салмонела. Тези допълнения са приемливи за Комисията, тъй като те гарантират, че съществуващите права са пренесени автоматично към новата правна рамка, което ще спомогне да се избегне излишната административна тежест и разходи за операторите и компетентните органи и ще осигури правна сигурност по време на преходния период. Европейският парламент подкрепи тези промени.</w:t>
      </w:r>
    </w:p>
    <w:p>
      <w:pPr>
        <w:rPr>
          <w:rFonts w:eastAsia="Times New Roman"/>
          <w:noProof/>
          <w:szCs w:val="24"/>
        </w:rPr>
      </w:pPr>
      <w:r>
        <w:rPr>
          <w:b/>
          <w:noProof/>
        </w:rPr>
        <w:t xml:space="preserve">Изпълнение на задължението за регистрация на някои оператори, извършващи операции по събиране: </w:t>
      </w:r>
      <w:r>
        <w:rPr>
          <w:noProof/>
        </w:rPr>
        <w:t>В своята позиция Съветът добави разпоредби във връзка със задължението за регистрация на някои оператори, без животновъдните обекти, които извършват сделки с животни, които могат да окажат въздействие върху проследимостта на тези животни. Комисията прие тези допълнения, тъй като те допринасят за общата проследимост и са съгласувани с изискванията на действащото законодателство в областта на здравето на животните. Европейският парламент подкрепи тези промени.</w:t>
      </w:r>
    </w:p>
    <w:p>
      <w:pPr>
        <w:pStyle w:val="ManualHeading1"/>
        <w:rPr>
          <w:noProof/>
        </w:rPr>
      </w:pPr>
      <w:r>
        <w:rPr>
          <w:noProof/>
        </w:rPr>
        <w:t>4.</w:t>
      </w:r>
      <w:r>
        <w:rPr>
          <w:noProof/>
        </w:rPr>
        <w:tab/>
        <w:t>Заключение</w:t>
      </w:r>
    </w:p>
    <w:p>
      <w:pPr>
        <w:autoSpaceDE w:val="0"/>
        <w:autoSpaceDN w:val="0"/>
        <w:adjustRightInd w:val="0"/>
        <w:spacing w:before="0" w:after="240"/>
        <w:rPr>
          <w:rFonts w:eastAsia="Times New Roman"/>
          <w:noProof/>
          <w:szCs w:val="24"/>
        </w:rPr>
      </w:pPr>
      <w:r>
        <w:rPr>
          <w:noProof/>
        </w:rPr>
        <w:t>Комисията е на мнение, че в общата позиция, приета от Съвета с квалифицирано мнозинство, са отразени първоначалните цели на нейното предложение и са отчетени много от забележките на Европейския парламент. Въпреки че по отношение на някои елементи общата позиция се различава от нейното първоначално предложение, Комисията е на мнение, че тя представлява добре балансиран компромис и е удовлетворена, че в тази обща позиция са включени всички въпроси, които е определила като съществени при приемането на предложението.</w:t>
      </w:r>
    </w:p>
    <w:p>
      <w:pPr>
        <w:pStyle w:val="ManualHeading1"/>
        <w:rPr>
          <w:noProof/>
        </w:rPr>
      </w:pPr>
      <w:r>
        <w:rPr>
          <w:noProof/>
        </w:rPr>
        <w:t>5.</w:t>
      </w:r>
      <w:r>
        <w:rPr>
          <w:noProof/>
        </w:rPr>
        <w:tab/>
        <w:t xml:space="preserve">Изявления </w:t>
      </w:r>
    </w:p>
    <w:p>
      <w:pPr>
        <w:pStyle w:val="Point0"/>
        <w:rPr>
          <w:b/>
          <w:noProof/>
        </w:rPr>
      </w:pPr>
      <w:r>
        <w:rPr>
          <w:b/>
          <w:noProof/>
        </w:rPr>
        <w:t>5.1</w:t>
      </w:r>
      <w:r>
        <w:rPr>
          <w:noProof/>
        </w:rPr>
        <w:tab/>
      </w:r>
      <w:r>
        <w:rPr>
          <w:b/>
          <w:noProof/>
        </w:rPr>
        <w:t>Изявление на Комисията относно хуманното отношение към животните</w:t>
      </w:r>
    </w:p>
    <w:p>
      <w:pPr>
        <w:autoSpaceDE w:val="0"/>
        <w:autoSpaceDN w:val="0"/>
        <w:adjustRightInd w:val="0"/>
        <w:spacing w:before="0" w:after="240"/>
        <w:rPr>
          <w:noProof/>
        </w:rPr>
      </w:pPr>
      <w:r>
        <w:rPr>
          <w:noProof/>
        </w:rPr>
        <w:t xml:space="preserve">С посочения регламент се установяват правила за профилактика и контрол на болестите по животните, които се предават на животните или на хората. Регламентът не съдържа разпоредби, с които изрично се уреждат въпросите за хуманното отношение към животните, независимо от връзката между здравеопазването на животните и хуманното отношение към тях. Съюзът разполага с добре развита нормативна уредба в областта на хуманното отношение към животните, която обхваща различни животински видове (бройлери, кокошки носачки, свине, телета) и дейности (селскостопанска дейност, транспорт, клане, научни изследвания и т.н.). Това законодателство относно хуманното </w:t>
      </w:r>
      <w:r>
        <w:rPr>
          <w:noProof/>
        </w:rPr>
        <w:lastRenderedPageBreak/>
        <w:t>отношение към животните ще продължи да е необходимо да се прилага. Комисията е поела твърд ангажимент да зачита изцяло хуманното отношение към животните в съответствие с член 13 от Договора и съобразно установените в него граници, в т.ч. да гарантира цялостното изпълнение и разработването по целесъобразност на законодателството в тази област.</w:t>
      </w:r>
    </w:p>
    <w:p>
      <w:pPr>
        <w:pStyle w:val="Point0"/>
        <w:rPr>
          <w:b/>
          <w:noProof/>
        </w:rPr>
      </w:pPr>
      <w:r>
        <w:rPr>
          <w:b/>
          <w:noProof/>
        </w:rPr>
        <w:t>5.2</w:t>
      </w:r>
      <w:r>
        <w:rPr>
          <w:noProof/>
        </w:rPr>
        <w:tab/>
      </w:r>
      <w:r>
        <w:rPr>
          <w:b/>
          <w:noProof/>
        </w:rPr>
        <w:t>Съвместно изявление на Европейския парламент, Съвета и Комисията относно антимикробната резистентност и употребата на ветеринарномедицински продукти</w:t>
      </w:r>
    </w:p>
    <w:p>
      <w:pPr>
        <w:autoSpaceDE w:val="0"/>
        <w:autoSpaceDN w:val="0"/>
        <w:adjustRightInd w:val="0"/>
        <w:spacing w:before="0" w:after="240"/>
        <w:rPr>
          <w:rFonts w:eastAsia="Calibri"/>
          <w:noProof/>
        </w:rPr>
      </w:pPr>
      <w:r>
        <w:rPr>
          <w:noProof/>
        </w:rPr>
        <w:t>В Съобщението на Комисията до Европейския парламент и до Съвета — План за действие срещу нарастващите опасности от антимикробна резистентност</w:t>
      </w:r>
      <w:r>
        <w:rPr>
          <w:rStyle w:val="FootnoteReference"/>
          <w:noProof/>
        </w:rPr>
        <w:footnoteReference w:id="1"/>
      </w:r>
      <w:r>
        <w:rPr>
          <w:noProof/>
        </w:rPr>
        <w:t xml:space="preserve"> — се подчертава превантивната роля на регламента относно заразните болести по животните („законодателство относно здравеопазването на животните“) и очакваното вследствие на това намаляване на използването на антибиотици при животните. В допълнение към изискванията на посочения регламент държавите членки се приканват да поемат ангажимент за събирането на значими, съпоставими и достатъчно подробни данни за действителното използване на антимикробни лекарствени продукти при животните и да изпращат тези данни на Комисията, така че да се гарантира по-разумно използване на антимикробни лекарствени продукти при животните, което ще допринесе за намаляване на риска от развиване на антимикробна резистентност.</w:t>
      </w:r>
    </w:p>
    <w:p>
      <w:pPr>
        <w:pStyle w:val="Point0"/>
        <w:rPr>
          <w:b/>
          <w:noProof/>
        </w:rPr>
      </w:pPr>
      <w:r>
        <w:rPr>
          <w:b/>
          <w:noProof/>
        </w:rPr>
        <w:t>5.3</w:t>
      </w:r>
      <w:r>
        <w:rPr>
          <w:noProof/>
        </w:rPr>
        <w:tab/>
      </w:r>
      <w:r>
        <w:rPr>
          <w:b/>
          <w:noProof/>
        </w:rPr>
        <w:t xml:space="preserve">Изявление на Комисията относно редовното докладване за използването на антимикробни лекарствени продукти при животните в Съюза </w:t>
      </w:r>
    </w:p>
    <w:p>
      <w:pPr>
        <w:autoSpaceDE w:val="0"/>
        <w:autoSpaceDN w:val="0"/>
        <w:adjustRightInd w:val="0"/>
        <w:spacing w:before="0" w:after="240"/>
        <w:rPr>
          <w:noProof/>
        </w:rPr>
      </w:pPr>
      <w:r>
        <w:rPr>
          <w:noProof/>
        </w:rPr>
        <w:t>Комисията поема ангажимент да публикува редовно доклад относно използването на антимикробни лекарствени продукти при животните в ЕС въз основа на данните, предоставени от държавите членки.</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59"/>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COM(2011) 748.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5651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221F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48D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0FABE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7082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B033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8404F4"/>
    <w:lvl w:ilvl="0">
      <w:start w:val="1"/>
      <w:numFmt w:val="decimal"/>
      <w:pStyle w:val="ListNumber"/>
      <w:lvlText w:val="%1."/>
      <w:lvlJc w:val="left"/>
      <w:pPr>
        <w:tabs>
          <w:tab w:val="num" w:pos="360"/>
        </w:tabs>
        <w:ind w:left="360" w:hanging="360"/>
      </w:pPr>
    </w:lvl>
  </w:abstractNum>
  <w:abstractNum w:abstractNumId="7">
    <w:nsid w:val="FFFFFF89"/>
    <w:multiLevelType w:val="singleLevel"/>
    <w:tmpl w:val="231EAF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num>
  <w:num w:numId="6">
    <w:abstractNumId w:val="6"/>
  </w:num>
  <w:num w:numId="7">
    <w:abstractNumId w:val="2"/>
  </w:num>
  <w:num w:numId="8">
    <w:abstractNumId w:val="1"/>
  </w:num>
  <w:num w:numId="9">
    <w:abstractNumId w:val="0"/>
  </w:num>
  <w:num w:numId="10">
    <w:abstractNumId w:val="18"/>
  </w:num>
  <w:num w:numId="11">
    <w:abstractNumId w:val="12"/>
  </w:num>
  <w:num w:numId="12">
    <w:abstractNumId w:val="21"/>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6 11:21: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AB93447402F4F96A2E6A3AB050952CD"/>
    <w:docVar w:name="LW_CROSSREFERENCE" w:val="&lt;UNUSED&gt;"/>
    <w:docVar w:name="LW_DocType" w:val="COM"/>
    <w:docVar w:name="LW_EMISSION" w:val="15.12.2015"/>
    <w:docVar w:name="LW_EMISSION_ISODATE" w:val="2015-12-15"/>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6"/>
    <w:docVar w:name="LW_REF.II.NEW.CP_YEAR" w:val="2013"/>
    <w:docVar w:name="LW_REF.INST.NEW" w:val="COM"/>
    <w:docVar w:name="LW_REF.INST.NEW_ADOPTED" w:val="final"/>
    <w:docVar w:name="LW_REF.INST.NEW_TEXT" w:val="(2015) 638"/>
    <w:docVar w:name="LW_REF.INTERNE" w:val="&lt;UNUSED&gt;"/>
    <w:docVar w:name="LW_SOUS.TITRE.OBJ.CP" w:val="&lt;UNUSED&gt;"/>
    <w:docVar w:name="LW_SUPERTITRE" w:val="&lt;UNUSED&gt;"/>
    <w:docVar w:name="LW_TITRE.OBJ.CP" w:val="\u1087?\u1086?\u1079?\u1080?\u1094?\u1080?\u1103?\u1090?\u1072? \u1085?\u1072? \u1057?\u1098?\u1074?\u1077?\u1090?\u1072? \u1085?\u1072? \u1087?\u1098?\u1088?\u1074?\u1086? \u1095?\u1077?\u1090?\u1077?\u1085?\u1077? \u1089? \u1086?\u1075?\u1083?\u1077?\u1076? \u1085?\u1072? \u1087?\u1088?\u1080?\u1077?\u1084?\u1072?\u1085?\u1077?\u1090?\u1086? \u1085?\u1072? \u1088?\u1077?\u1075?\u1083?\u1072?\u1084?\u1077?\u1085?\u1090? \u1085?\u1072? \u1045?\u1074?\u1088?\u1086?\u1087?\u1077?\u1081?\u1089?\u1082?\u1080?\u1103? \u1087?\u1072?\u1088?\u1083?\u1072?\u1084?\u1077?\u1085?\u1090? \u1080? \u1085?\u1072? \u1057?\u1098?\u1074?\u1077?\u1090?\u1072? \u1086?\u1090?\u1085?\u1086?\u1089?\u1085?\u1086? \u1079?\u1072?\u1088?\u1072?\u1079?\u1085?\u1080?\u1090?\u1077? \u1073?\u1086?\u1083?\u1077?\u1089?\u1090?\u1080? \u1087?\u1086? \u1078?\u1080?\u1074?\u1086?\u1090?\u1085?\u1080?\u1090?\u1077? (\u1079?\u1072?\u1082?\u1086?\u1085?\u1086?\u1076?\u1072?\u1090?\u1077?\u1083?\u1089?\u1090?\u1074?\u1086? \u1074? \u1086?\u1073?\u1083?\u1072?\u1089?\u1090?\u1090?\u1072? \u1085?\u1072? \u1079?\u1076?\u1088?\u1072?\u1074?\u1077?\u1086?\u1087?\u1072?\u1079?\u1074?\u1072?\u1085?\u1077?\u1090?\u1086? \u1085?\u1072? \u1078?\u1080?\u1074?\u1086?\u1090?\u1085?\u1080?\u1090?\u1077?)"/>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2">
    <w:name w:val="List Dash 2"/>
    <w:basedOn w:val="Text2"/>
    <w:pPr>
      <w:numPr>
        <w:numId w:val="5"/>
      </w:numPr>
      <w:spacing w:before="0" w:after="0"/>
      <w:jc w:val="left"/>
    </w:pPr>
    <w:rPr>
      <w:rFonts w:eastAsia="Times New Roman"/>
      <w:szCs w:val="24"/>
    </w:rPr>
  </w:style>
  <w:style w:type="character" w:styleId="Hyperlink">
    <w:name w:val="Hyperlink"/>
    <w:uiPriority w:val="99"/>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2">
    <w:name w:val="List Dash 2"/>
    <w:basedOn w:val="Text2"/>
    <w:pPr>
      <w:numPr>
        <w:numId w:val="5"/>
      </w:numPr>
      <w:spacing w:before="0" w:after="0"/>
      <w:jc w:val="left"/>
    </w:pPr>
    <w:rPr>
      <w:rFonts w:eastAsia="Times New Roman"/>
      <w:szCs w:val="24"/>
    </w:rPr>
  </w:style>
  <w:style w:type="character" w:styleId="Hyperlink">
    <w:name w:val="Hyperlink"/>
    <w:uiPriority w:val="99"/>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CD252-EEB2-4738-8DB9-5AFF6325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4570</Words>
  <Characters>27563</Characters>
  <Application>Microsoft Office Word</Application>
  <DocSecurity>0</DocSecurity>
  <Lines>467</Lines>
  <Paragraphs>103</Paragraphs>
  <ScaleCrop>false</ScaleCrop>
  <HeadingPairs>
    <vt:vector size="2" baseType="variant">
      <vt:variant>
        <vt:lpstr>Title</vt:lpstr>
      </vt:variant>
      <vt:variant>
        <vt:i4>1</vt:i4>
      </vt:variant>
    </vt:vector>
  </HeadingPairs>
  <TitlesOfParts>
    <vt:vector size="1" baseType="lpstr">
      <vt:lpstr>SANTE/7109/2015-EN Rev. 1 </vt:lpstr>
    </vt:vector>
  </TitlesOfParts>
  <Manager/>
  <Company/>
  <LinksUpToDate>false</LinksUpToDate>
  <CharactersWithSpaces>32030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SANTE/7109/2015-EN Rev. 1 </dc:title>
  <dc:subject>Communication C to EP</dc:subject>
  <dc:creator/>
  <cp:keywords>7109</cp:keywords>
  <dc:description>OUTLOOK - 3.11.2015</dc:description>
  <cp:lastModifiedBy>DIGIT/A3</cp:lastModifiedBy>
  <cp:revision>29</cp:revision>
  <cp:lastPrinted>2015-10-13T06:33:00Z</cp:lastPrinted>
  <dcterms:created xsi:type="dcterms:W3CDTF">2015-11-27T09:40:00Z</dcterms:created>
  <dcterms:modified xsi:type="dcterms:W3CDTF">2015-12-16T10:21:00Z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