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9E3CDE8F8538498F9E976D686F3E834B" style="width:450.75pt;height:393.7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Calibri"/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>С присъединяването на Република Хърватия Европейският съюз разшири своя митнически съюз. Съответно според правилата на Световната търговска организация (СТО) (член XXIV, параграф 6 от ГАТТ от 1994 г.) Европейският съюз трябваше да започне преговори с членовете на СТО, разполагащи с пълномощия за водене на преговори, по списъка с ангажименти на Хърватия, с оглед постигане на компенсираща договореност. Подобна договореност е необходима, ако вследствие на приемането на външния тарифен режим на ЕС митата се увеличат над нивото, за което присъединяващата се държава е поела задължение в рамките на СТО.</w:t>
      </w:r>
    </w:p>
    <w:p>
      <w:pPr>
        <w:rPr>
          <w:noProof/>
        </w:rPr>
      </w:pPr>
      <w:r>
        <w:rPr>
          <w:noProof/>
        </w:rPr>
        <w:t xml:space="preserve">На 15 юли 2013 г. Съветът упълномощи Комисията да започне преговори съгласно член XXIV, параграф 6 от ГАТТ от 1994 г. Комисията проведе преговори с членовете на СТО, които разполагат с пълномощия за преговаряне по отношение на оттеглянето на конкретни отстъпки, във връзка с оттеглянето на списъка на Република Хърватия в хода на присъединяването ѝ към Европейския съюз. </w:t>
      </w:r>
    </w:p>
    <w:p>
      <w:pPr>
        <w:rPr>
          <w:noProof/>
        </w:rPr>
      </w:pPr>
      <w:r>
        <w:rPr>
          <w:noProof/>
        </w:rPr>
        <w:t>В резултат на преговорите с Китайската народна република беше изготвен проект на споразумение под формата на размяна на писма, който бе парафиран на 7 октомври 2015 г. в Брюксел (споразумението). Съответно в настоящото предложение се иска от Съвета да приеме решение за сключването на споразумението под формата на размяна на писма с Китайската народна република. Едновременно с това е представено и отделно предложение за подписването на това споразумение.</w:t>
      </w:r>
    </w:p>
    <w:p>
      <w:pPr>
        <w:rPr>
          <w:rFonts w:eastAsia="Arial Unicode MS"/>
          <w:b/>
          <w:noProof/>
          <w:color w:val="000000"/>
          <w:u w:color="000000"/>
          <w:bdr w:val="nil"/>
        </w:rPr>
      </w:pPr>
      <w:r>
        <w:rPr>
          <w:b/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b/>
          <w:noProof/>
        </w:rPr>
        <w:t>Съгласуваност със съществуващите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е в съответствие с практиката, към която ЕС се придържаше при предишните си разширявания.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t>•</w:t>
      </w:r>
      <w:r>
        <w:rPr>
          <w:noProof/>
        </w:rPr>
        <w:tab/>
        <w:t>Съгласуваност с другите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е съобразено с практиката на ЕС, която е в съответствие с политиката на ЕС в областта на външната дейност и с неговата индустриална и селскостопанска политика.</w:t>
      </w:r>
    </w:p>
    <w:p>
      <w:pPr>
        <w:pStyle w:val="ManualHeading1"/>
        <w:rPr>
          <w:rFonts w:eastAsia="Calibri"/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Член 207 от Договора за функционирането на Европейския съюз (ДФЕС), във връзка с член 218, параграф 5 от ДФЕС, що се отнася до подписването на международни споразумения.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rPr>
          <w:rFonts w:eastAsia="Arial Unicode MS"/>
          <w:b/>
          <w:noProof/>
          <w:u w:color="000000"/>
          <w:bdr w:val="nil"/>
        </w:rPr>
      </w:pPr>
      <w:r>
        <w:rPr>
          <w:noProof/>
        </w:rPr>
        <w:t>Предложението е от изключителната компетентност на Съюза, в съответствие с член 3, параграф 1, буква д) от Договора за функционирането на Европейския съюз. Поради това принципът на субсидиарност не се прилага.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lastRenderedPageBreak/>
        <w:t>•</w:t>
      </w:r>
      <w:r>
        <w:rPr>
          <w:noProof/>
        </w:rPr>
        <w:tab/>
        <w:t>Пропорционалност</w:t>
      </w:r>
    </w:p>
    <w:p>
      <w:pPr>
        <w:rPr>
          <w:rFonts w:eastAsia="Arial Unicode MS"/>
          <w:noProof/>
        </w:rPr>
      </w:pPr>
      <w:r>
        <w:rPr>
          <w:noProof/>
        </w:rPr>
        <w:t>Китайската народна република беше засегната от оттеглянето на отстъпките на Хърватия. Компенсиращите договорености не надхвърлят правата на Китай в това отношение. Предложението е в съответствие с принципа на пропорционалност.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rPr>
          <w:rFonts w:eastAsia="Arial Unicode MS"/>
          <w:noProof/>
        </w:rPr>
      </w:pPr>
      <w:r>
        <w:rPr>
          <w:noProof/>
        </w:rPr>
        <w:t>По силата на член 218, параграф 5 от ДФЕС се изисква решение на Съвета за сключване на споразумението.</w:t>
      </w:r>
    </w:p>
    <w:p>
      <w:pPr>
        <w:pStyle w:val="ManualHeading1"/>
        <w:rPr>
          <w:rFonts w:eastAsia="Calibri"/>
          <w:noProof/>
        </w:rPr>
      </w:pPr>
      <w:r>
        <w:rPr>
          <w:noProof/>
        </w:rPr>
        <w:t>3.</w:t>
      </w:r>
      <w:r>
        <w:rPr>
          <w:noProof/>
        </w:rPr>
        <w:tab/>
        <w:t>РЕЗУЛТАТИТЕ ОТ ПОСЛЕДВАЩИТЕ ОЦЕНКИ, КОНСУЛТАЦИИ СЪС ЗАИНТЕРЕСОВАНИТЕ СТРАНИ И ОЦЕНКИ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Редовно бяха провеждани консултации със Съвета (комитет „Търговска политика“) във връзка със съдържанието и напредъка по преговорите. Европейският парламент (Комисията по международна търговия) беше уведомен.</w:t>
      </w:r>
    </w:p>
    <w:p>
      <w:pPr>
        <w:pStyle w:val="ManualHeading1"/>
        <w:rPr>
          <w:rFonts w:eastAsia="Calibri"/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Вж. финансовата обосновка.</w:t>
      </w:r>
    </w:p>
    <w:p>
      <w:pPr>
        <w:pStyle w:val="ManualHeading1"/>
        <w:rPr>
          <w:rFonts w:eastAsia="Calibri"/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механизъм за наблюдение,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настоящото предложение се иска от Съвета да приеме решение за сключването на споразумението под формата на размяна на писма с Китайската народна република. Едновременно с това е представено и отделно предложение за подписването на това споразумение.</w:t>
      </w:r>
    </w:p>
    <w:p>
      <w:pPr>
        <w:rPr>
          <w:rFonts w:eastAsia="Arial Unicode MS"/>
          <w:noProof/>
        </w:rPr>
      </w:pPr>
      <w:r>
        <w:rPr>
          <w:noProof/>
        </w:rPr>
        <w:t>Резултатите от споразумението ще трябва да бъдат инкорпорирани, за промишлените стоки, в приложение I към Регламент (ЕИО) № 2658/87 на Съвета от 23 юли 1987 г. относно тарифната и статистическа номенклатура и Общата митническа тарифа посредством регламент за изпълнение на Комисията за изменение на посоченото приложение, на основание член 9 от регламента, с оглед намаляване на конвенционалната тарифна ставка, определена в Общата митническа тарифа, както следва:</w:t>
      </w:r>
    </w:p>
    <w:p>
      <w:pPr>
        <w:pStyle w:val="Tiret0"/>
        <w:numPr>
          <w:ilvl w:val="0"/>
          <w:numId w:val="10"/>
        </w:numPr>
        <w:rPr>
          <w:noProof/>
        </w:rPr>
      </w:pPr>
      <w:r>
        <w:rPr>
          <w:noProof/>
        </w:rPr>
        <w:t>по тарифна линия 6404 19 90 (обувки с външни ходила от каучук или от пластмаси — други) — намаляване на сегашното обвързано мито на ЕС от 17 % на 16,9 %;</w:t>
      </w:r>
    </w:p>
    <w:p>
      <w:pPr>
        <w:pStyle w:val="Tiret0"/>
        <w:rPr>
          <w:rFonts w:eastAsia="Times New Roman"/>
          <w:noProof/>
        </w:rPr>
      </w:pPr>
      <w:r>
        <w:rPr>
          <w:noProof/>
        </w:rPr>
        <w:t>по тарифна линия 8415 10 90 (машини и апарати за кондициониране на въздуха, стенни или за прозорци, от вида „split-system“) — намаляване на досегашното обвързано мито на ЕС от 2,7 % на 2,5 %.</w:t>
      </w:r>
    </w:p>
    <w:p>
      <w:pPr>
        <w:rPr>
          <w:rFonts w:eastAsia="Arial Unicode MS"/>
          <w:noProof/>
        </w:rPr>
      </w:pPr>
      <w:r>
        <w:rPr>
          <w:noProof/>
        </w:rPr>
        <w:t>С цел увеличаване на селскостопанските квоти Комисията ще приеме регламент за изпълнение във връзка с откриването и управлението на следните квоти, съгласно член 187, буква а) от Регламента за общата организация на пазара (ООП) (Регламент (ЕС) № 1308/2013):</w:t>
      </w:r>
    </w:p>
    <w:p>
      <w:pPr>
        <w:pStyle w:val="Tiret0"/>
        <w:rPr>
          <w:noProof/>
        </w:rPr>
      </w:pPr>
      <w:r>
        <w:rPr>
          <w:noProof/>
        </w:rPr>
        <w:lastRenderedPageBreak/>
        <w:t>добавяне на 2150 тона към тарифна линия 0703 20 00 към разпределението за Китайската народна република по тарифната квота на ЕС за чесън, като се запазва досегашната ставка в рамките на квотата от 9,6 %;</w:t>
      </w:r>
    </w:p>
    <w:p>
      <w:pPr>
        <w:pStyle w:val="Tiret0"/>
        <w:rPr>
          <w:noProof/>
        </w:rPr>
      </w:pPr>
      <w:r>
        <w:rPr>
          <w:noProof/>
        </w:rPr>
        <w:t xml:space="preserve">добавяне на 650 тона към разпределението за Китайската народна република по тарифната квота на ЕС за гъби от рода </w:t>
      </w:r>
      <w:r>
        <w:rPr>
          <w:i/>
          <w:noProof/>
        </w:rPr>
        <w:t>Agaricus</w:t>
      </w:r>
      <w:r>
        <w:rPr>
          <w:noProof/>
        </w:rPr>
        <w:t>, приготвени, консервирани или временно консервирани, като се запазва досегашната ставка в рамките на квотата.</w:t>
      </w:r>
    </w:p>
    <w:p>
      <w:pPr>
        <w:rPr>
          <w:rFonts w:eastAsia="Arial Unicode MS"/>
          <w:noProof/>
        </w:rPr>
      </w:pPr>
      <w:r>
        <w:rPr>
          <w:noProof/>
        </w:rPr>
        <w:t>Тези мерки по прилагането са в процес на изготвяне успоредно с настоящото предложение.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2015/0298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сключване на споразумение под формата на размяна на писма между Европейския съюз и Китайската народна република в съответствие с член XXIV, параграф 6 и член XXVIII от Общото споразумение за митата и търговията (ГАТТ) от 1994 г. във връзка с изменението на отстъпките в списъка на Република Хърватия в процеса на присъединяването ѝ към Европейския съюз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параграф 4, първа алинея, във връзка с член 218, параграф 6, буква а), подточка v)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съгласието на Европейския парламент</w:t>
      </w:r>
      <w:r>
        <w:rPr>
          <w:rStyle w:val="FootnoteReference"/>
          <w:noProof/>
        </w:rPr>
        <w:footnoteReference w:id="1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На 15 юли 2013 г. Съветът упълномощи Комисията да започне преговори с някои други членове на Световната търговска организация съгласно член XXIV, параграф 6 от Общото споразумение за митата и търговията (ГАТТ) от 1994 г. в процеса на присъединяването на Република Хърватия към Европейския съюз.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Комисията проведе преговорите в рамките на приетите от Съвета указания за водене на преговори.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Преговорите приключиха и на 7 октомври 2015 г. бе парафирано Споразумение под формата на размяна на писма между Европейския съюз и Китайската народна република в съответствие с член XXIV, параграф 6 и член XXVIII от Общото споразумение за митата и търговията (ГАТТ) от 1994 г. във връзка с изменението на отстъпките в списъка на Република Хърватия в процеса на присъединяването ѝ към Европейския съюз.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Споразумението бе подписано от името на Европейския съюз на […], при условиe за сключването му на по-късна дата, в съответствие с Решение […] на Съвета.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Споразумението следва да бъде сключено,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 xml:space="preserve">С настоящото се сключва Споразумението под формата на размяна на писма между Европейския съюз и Китайската народна република в съответствие с член XXIV, </w:t>
      </w:r>
      <w:r>
        <w:rPr>
          <w:noProof/>
        </w:rPr>
        <w:lastRenderedPageBreak/>
        <w:t>параграф 6 и член XXVIII от Общото споразумение за митата и търговията (ГАТТ) от 1994 г. във връзка с изменението на отстъпките в списъка на Република Хърватия в процеса на присъединяването ѝ към Европейския съюз.</w:t>
      </w:r>
    </w:p>
    <w:p>
      <w:pPr>
        <w:rPr>
          <w:noProof/>
        </w:rPr>
      </w:pPr>
      <w:r>
        <w:rPr>
          <w:noProof/>
        </w:rPr>
        <w:t>Текстът на споразумението е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Председателят на Съвета посочва лицето, упълномощено да извърши, от името на Европейския съюз, предвидената в споразумението нотификация, за да се изрази съгласието на Европейския съюз да бъде обвързан със споразумението.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keepNext/>
        <w:keepLines/>
        <w:rPr>
          <w:noProof/>
        </w:rPr>
      </w:pPr>
      <w:r>
        <w:rPr>
          <w:noProof/>
        </w:rPr>
        <w:t xml:space="preserve">Настоящото решение влиза в сила в деня на приемането му. То се публикува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keepNext/>
        <w:keepLines/>
        <w:rPr>
          <w:noProof/>
        </w:rPr>
      </w:pPr>
      <w:r>
        <w:rPr>
          <w:noProof/>
        </w:rPr>
        <w:t>Датата на влизане в сила на споразумението се публикува</w:t>
      </w:r>
      <w:r>
        <w:rPr>
          <w:i/>
          <w:noProof/>
        </w:rPr>
        <w:t xml:space="preserve"> в Официален вестник на Европейския съюз.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Fichefinanciretitre"/>
        <w:rPr>
          <w:noProof/>
        </w:rPr>
      </w:pPr>
    </w:p>
    <w:tbl>
      <w:tblPr>
        <w:tblW w:w="0" w:type="auto"/>
        <w:tblInd w:w="-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0"/>
        <w:gridCol w:w="4155"/>
        <w:gridCol w:w="1559"/>
        <w:gridCol w:w="1134"/>
        <w:gridCol w:w="425"/>
        <w:gridCol w:w="425"/>
        <w:gridCol w:w="1134"/>
      </w:tblGrid>
      <w:tr>
        <w:tc>
          <w:tcPr>
            <w:tcW w:w="7448" w:type="dxa"/>
            <w:gridSpan w:val="4"/>
            <w:tcBorders>
              <w:bottom w:val="nil"/>
            </w:tcBorders>
          </w:tcPr>
          <w:p>
            <w:pPr>
              <w:pStyle w:val="Fichefinanciretitretable"/>
              <w:spacing w:before="240" w:after="0"/>
              <w:rPr>
                <w:noProof/>
              </w:rPr>
            </w:pPr>
            <w:r>
              <w:rPr>
                <w:noProof/>
              </w:rPr>
              <w:t>ФИНАНСОВА ОБОСНОВКА</w:t>
            </w:r>
          </w:p>
        </w:tc>
        <w:tc>
          <w:tcPr>
            <w:tcW w:w="1984" w:type="dxa"/>
            <w:gridSpan w:val="3"/>
          </w:tcPr>
          <w:p>
            <w:pPr>
              <w:pStyle w:val="Fichefinanciretextetable"/>
              <w:spacing w:after="60"/>
              <w:rPr>
                <w:noProof/>
                <w:highlight w:val="yellow"/>
              </w:rPr>
            </w:pPr>
          </w:p>
        </w:tc>
      </w:tr>
      <w:tr>
        <w:tc>
          <w:tcPr>
            <w:tcW w:w="7448" w:type="dxa"/>
            <w:gridSpan w:val="4"/>
            <w:tcBorders>
              <w:top w:val="nil"/>
            </w:tcBorders>
          </w:tcPr>
          <w:p>
            <w:pPr>
              <w:pStyle w:val="Fichefinanciretextetable"/>
              <w:rPr>
                <w:noProof/>
              </w:rPr>
            </w:pPr>
          </w:p>
        </w:tc>
        <w:tc>
          <w:tcPr>
            <w:tcW w:w="1984" w:type="dxa"/>
            <w:gridSpan w:val="3"/>
          </w:tcPr>
          <w:p>
            <w:pPr>
              <w:pStyle w:val="Fichefinanciretextetable"/>
              <w:spacing w:before="60" w:after="60"/>
              <w:rPr>
                <w:noProof/>
                <w:highlight w:val="yellow"/>
              </w:rPr>
            </w:pPr>
            <w:r>
              <w:rPr>
                <w:noProof/>
              </w:rPr>
              <w:t>ДАТА: 16/10/2015</w:t>
            </w:r>
          </w:p>
        </w:tc>
      </w:tr>
      <w:tr>
        <w:tc>
          <w:tcPr>
            <w:tcW w:w="600" w:type="dxa"/>
            <w:tcBorders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6848" w:type="dxa"/>
            <w:gridSpan w:val="3"/>
            <w:tcBorders>
              <w:left w:val="nil"/>
              <w:right w:val="nil"/>
            </w:tcBorders>
          </w:tcPr>
          <w:p>
            <w:pPr>
              <w:pStyle w:val="Fichefinanciretextetable"/>
              <w:spacing w:before="60"/>
              <w:rPr>
                <w:noProof/>
              </w:rPr>
            </w:pPr>
            <w:r>
              <w:rPr>
                <w:noProof/>
              </w:rPr>
              <w:t>БЮДЖЕТЕН РЕД:</w:t>
            </w:r>
          </w:p>
          <w:p>
            <w:pPr>
              <w:pStyle w:val="Fichefinanciretextetable"/>
              <w:spacing w:after="60"/>
              <w:rPr>
                <w:noProof/>
              </w:rPr>
            </w:pPr>
            <w:r>
              <w:rPr>
                <w:noProof/>
              </w:rPr>
              <w:t xml:space="preserve">Глава 12 — Мита и други задължения </w:t>
            </w:r>
          </w:p>
        </w:tc>
        <w:tc>
          <w:tcPr>
            <w:tcW w:w="1984" w:type="dxa"/>
            <w:gridSpan w:val="3"/>
            <w:tcBorders>
              <w:left w:val="nil"/>
            </w:tcBorders>
          </w:tcPr>
          <w:p>
            <w:pPr>
              <w:pStyle w:val="Fichefinanciretextetable"/>
              <w:rPr>
                <w:noProof/>
                <w:highlight w:val="yellow"/>
              </w:rPr>
            </w:pP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8832" w:type="dxa"/>
            <w:gridSpan w:val="6"/>
            <w:tcBorders>
              <w:left w:val="nil"/>
            </w:tcBorders>
          </w:tcPr>
          <w:p>
            <w:pPr>
              <w:pStyle w:val="Fichefinanciretextetable"/>
              <w:spacing w:before="60"/>
              <w:rPr>
                <w:noProof/>
              </w:rPr>
            </w:pPr>
            <w:r>
              <w:rPr>
                <w:noProof/>
              </w:rPr>
              <w:t>НАИМЕНОВАНИЕ:</w:t>
            </w:r>
          </w:p>
          <w:p>
            <w:pPr>
              <w:pStyle w:val="Fichefinanciretextetable"/>
              <w:spacing w:after="60"/>
              <w:ind w:right="136"/>
              <w:rPr>
                <w:noProof/>
              </w:rPr>
            </w:pPr>
            <w:r>
              <w:rPr>
                <w:noProof/>
              </w:rPr>
              <w:t>Предложение за Решение на Съвета за сключване на Споразумение под формата на размяна на писма между Европейския съюз и Китайската народна република в съответствие с член XXIV, параграф 6 и член XXVIII от Общото споразумение за митата и търговията (ГАТТ) от 1994 г. във връзка с изменението на отстъпките в списъка на Република Хърватия в процеса на присъединяването ѝ към Европейския съюз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8832" w:type="dxa"/>
            <w:gridSpan w:val="6"/>
            <w:tcBorders>
              <w:left w:val="nil"/>
            </w:tcBorders>
          </w:tcPr>
          <w:p>
            <w:pPr>
              <w:pStyle w:val="Fichefinanciretextetable"/>
              <w:spacing w:before="60"/>
              <w:rPr>
                <w:noProof/>
              </w:rPr>
            </w:pPr>
            <w:r>
              <w:rPr>
                <w:noProof/>
              </w:rPr>
              <w:t>ПРАВНО ОСНОВАНИЕ:</w:t>
            </w:r>
          </w:p>
          <w:p>
            <w:pPr>
              <w:pStyle w:val="Fichefinanciretextetable"/>
              <w:spacing w:after="60"/>
              <w:rPr>
                <w:noProof/>
              </w:rPr>
            </w:pPr>
            <w:r>
              <w:rPr>
                <w:noProof/>
              </w:rPr>
              <w:t>Договор за функционирането на Европейския съюз, и по-специално членове 207 и 218 от него.</w:t>
            </w:r>
          </w:p>
        </w:tc>
      </w:tr>
      <w:tr>
        <w:tc>
          <w:tcPr>
            <w:tcW w:w="600" w:type="dxa"/>
            <w:tcBorders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8832" w:type="dxa"/>
            <w:gridSpan w:val="6"/>
            <w:tcBorders>
              <w:left w:val="nil"/>
            </w:tcBorders>
          </w:tcPr>
          <w:p>
            <w:pPr>
              <w:pStyle w:val="Fichefinanciretextetable"/>
              <w:spacing w:before="60"/>
              <w:rPr>
                <w:noProof/>
              </w:rPr>
            </w:pPr>
            <w:r>
              <w:rPr>
                <w:noProof/>
              </w:rPr>
              <w:t>ЦЕЛИ:</w:t>
            </w:r>
          </w:p>
          <w:p>
            <w:pPr>
              <w:pStyle w:val="Fichefinanciretextetable"/>
              <w:spacing w:after="60"/>
              <w:ind w:right="136"/>
              <w:jc w:val="both"/>
              <w:rPr>
                <w:noProof/>
              </w:rPr>
            </w:pPr>
            <w:r>
              <w:rPr>
                <w:noProof/>
              </w:rPr>
              <w:t>Да се сключи Споразумението под формата на размяна на писма между Европейския съюз и Китайската народна република.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4155" w:type="dxa"/>
            <w:tcBorders>
              <w:lef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ФИНАНСОВО ОТРАЖЕНИЕ</w:t>
            </w:r>
          </w:p>
        </w:tc>
        <w:tc>
          <w:tcPr>
            <w:tcW w:w="1559" w:type="dxa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 xml:space="preserve">ТЕКУЩА ФИНАНСОВА ГОДИНА 2015 </w:t>
            </w:r>
            <w:r>
              <w:rPr>
                <w:noProof/>
              </w:rPr>
              <w:br/>
              <w:t>(в млн. евро)</w:t>
            </w:r>
          </w:p>
        </w:tc>
        <w:tc>
          <w:tcPr>
            <w:tcW w:w="1559" w:type="dxa"/>
            <w:gridSpan w:val="2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 xml:space="preserve">СЛЕДВАЩА ФИНАНСОВА ГОДИНА 2016 </w:t>
            </w:r>
          </w:p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(в млн. евро)</w:t>
            </w:r>
          </w:p>
        </w:tc>
        <w:tc>
          <w:tcPr>
            <w:tcW w:w="1559" w:type="dxa"/>
            <w:gridSpan w:val="2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 xml:space="preserve"> ФИНАНСОВА ГОДИНА 2017 </w:t>
            </w:r>
          </w:p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(в млн. евро)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5.0</w:t>
            </w:r>
          </w:p>
        </w:tc>
        <w:tc>
          <w:tcPr>
            <w:tcW w:w="4155" w:type="dxa"/>
            <w:tcBorders>
              <w:lef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РАЗХОДИ</w:t>
            </w:r>
          </w:p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ЗА СМЕТКА НА БЮДЖЕТА НА ЕС</w:t>
            </w:r>
            <w:r>
              <w:rPr>
                <w:noProof/>
              </w:rPr>
              <w:br/>
              <w:t>(ВЪЗСТАНОВЯВАНИЯ/ИНТЕРВЕНЦИИ)</w:t>
            </w:r>
          </w:p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НА НАЦИОНАЛНИТЕ ОРГАНИ</w:t>
            </w:r>
          </w:p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НА ДРУГИ СЕКТОРИ</w:t>
            </w:r>
          </w:p>
        </w:tc>
        <w:tc>
          <w:tcPr>
            <w:tcW w:w="1559" w:type="dxa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  <w:t>-</w:t>
            </w:r>
          </w:p>
        </w:tc>
        <w:tc>
          <w:tcPr>
            <w:tcW w:w="1559" w:type="dxa"/>
            <w:gridSpan w:val="2"/>
          </w:tcPr>
          <w:p>
            <w:pPr>
              <w:pStyle w:val="Fichefinanciretextetable"/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  <w:t>-</w:t>
            </w:r>
          </w:p>
        </w:tc>
        <w:tc>
          <w:tcPr>
            <w:tcW w:w="1559" w:type="dxa"/>
            <w:gridSpan w:val="2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  <w:t>-</w:t>
            </w:r>
          </w:p>
        </w:tc>
      </w:tr>
      <w:tr>
        <w:tc>
          <w:tcPr>
            <w:tcW w:w="600" w:type="dxa"/>
            <w:tcBorders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5.1</w:t>
            </w:r>
          </w:p>
        </w:tc>
        <w:tc>
          <w:tcPr>
            <w:tcW w:w="4155" w:type="dxa"/>
            <w:tcBorders>
              <w:lef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ПРИХОДИ</w:t>
            </w:r>
          </w:p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СОБСТВЕНИ РЕСУРСИ НА ЕС</w:t>
            </w:r>
            <w:r>
              <w:rPr>
                <w:noProof/>
              </w:rPr>
              <w:br/>
              <w:t>(НАЛОЗИ/МИТА)</w:t>
            </w:r>
          </w:p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НАЦИОНАЛНИ</w:t>
            </w:r>
          </w:p>
        </w:tc>
        <w:tc>
          <w:tcPr>
            <w:tcW w:w="1559" w:type="dxa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br/>
              <w:t xml:space="preserve">- </w:t>
            </w:r>
          </w:p>
        </w:tc>
        <w:tc>
          <w:tcPr>
            <w:tcW w:w="1559" w:type="dxa"/>
            <w:gridSpan w:val="2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br/>
              <w:t>- 2,45</w:t>
            </w:r>
          </w:p>
        </w:tc>
        <w:tc>
          <w:tcPr>
            <w:tcW w:w="1559" w:type="dxa"/>
            <w:gridSpan w:val="2"/>
          </w:tcPr>
          <w:p>
            <w:pPr>
              <w:pStyle w:val="Fichefinanciretextetable"/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t>- 4,9</w:t>
            </w:r>
          </w:p>
        </w:tc>
      </w:tr>
      <w:tr>
        <w:tc>
          <w:tcPr>
            <w:tcW w:w="600" w:type="dxa"/>
            <w:tcBorders>
              <w:top w:val="nil"/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5.0.1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ОЧАКВАНИ РАЗХОДИ</w:t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</w:p>
        </w:tc>
      </w:tr>
      <w:tr>
        <w:tc>
          <w:tcPr>
            <w:tcW w:w="600" w:type="dxa"/>
            <w:tcBorders>
              <w:top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5.1.1</w:t>
            </w:r>
          </w:p>
        </w:tc>
        <w:tc>
          <w:tcPr>
            <w:tcW w:w="4155" w:type="dxa"/>
            <w:tcBorders>
              <w:top w:val="nil"/>
              <w:left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ОЧАКВАНИ ПРИХОДИ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600" w:type="dxa"/>
            <w:tcBorders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5.2</w:t>
            </w:r>
          </w:p>
        </w:tc>
        <w:tc>
          <w:tcPr>
            <w:tcW w:w="8832" w:type="dxa"/>
            <w:gridSpan w:val="6"/>
            <w:tcBorders>
              <w:left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МЕТОД НА ИЗЧИСЛЕНИЕ: -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6.0</w:t>
            </w:r>
          </w:p>
        </w:tc>
        <w:tc>
          <w:tcPr>
            <w:tcW w:w="7698" w:type="dxa"/>
            <w:gridSpan w:val="5"/>
            <w:tcBorders>
              <w:left w:val="nil"/>
              <w:right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МОЖЕ ЛИ ПРОЕКТЪТ ДА БЪДЕ ФИНАНСИРАН ОТ БЮДЖЕТНИ КРЕДИТИ, ВПИСАНИ В СЪОТВЕТНАТА ГЛАВА НА ТЕКУЩИЯ БЮДЖЕТ?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6.1</w:t>
            </w:r>
          </w:p>
        </w:tc>
        <w:tc>
          <w:tcPr>
            <w:tcW w:w="7698" w:type="dxa"/>
            <w:gridSpan w:val="5"/>
            <w:tcBorders>
              <w:left w:val="nil"/>
              <w:right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МОЖЕ ЛИ ПРОЕКТЪТ ДА БЪДЕ ФИНАНСИРАН ЧРЕЗ ПРЕХВЪРЛЯНЕ МЕЖДУ ГЛАВИ ОТ ТЕКУЩИЯ БЮДЖЕТ?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6.2</w:t>
            </w:r>
          </w:p>
        </w:tc>
        <w:tc>
          <w:tcPr>
            <w:tcW w:w="7698" w:type="dxa"/>
            <w:gridSpan w:val="5"/>
            <w:tcBorders>
              <w:left w:val="nil"/>
              <w:right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ЩЕ БЪДЕ ЛИ НЕОБХОДИМ ДОПЪЛНИТЕЛЕН БЮДЖЕТ?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</w:tr>
      <w:tr>
        <w:tc>
          <w:tcPr>
            <w:tcW w:w="600" w:type="dxa"/>
            <w:tcBorders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6.3</w:t>
            </w:r>
          </w:p>
        </w:tc>
        <w:tc>
          <w:tcPr>
            <w:tcW w:w="7698" w:type="dxa"/>
            <w:gridSpan w:val="5"/>
            <w:tcBorders>
              <w:left w:val="nil"/>
              <w:right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ЩЕ БЪДЕ ЛИ НЕОБХОДИМО ВПИСВАНЕТО НА БЮДЖЕТНИ КРЕДИТИ В БЪДЕЩИ БЮДЖЕТИ?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</w:tr>
      <w:tr>
        <w:tc>
          <w:tcPr>
            <w:tcW w:w="9432" w:type="dxa"/>
            <w:gridSpan w:val="7"/>
          </w:tcPr>
          <w:p>
            <w:pPr>
              <w:pStyle w:val="Fichefinanciretextetable"/>
              <w:spacing w:before="60"/>
              <w:rPr>
                <w:noProof/>
              </w:rPr>
            </w:pPr>
            <w:r>
              <w:rPr>
                <w:noProof/>
              </w:rPr>
              <w:t>ЗАБЕЛЕЖКИ:</w:t>
            </w:r>
          </w:p>
          <w:p>
            <w:pPr>
              <w:spacing w:before="60" w:after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След присъединяването на Република Хърватия Европейският съюз разшири своя митнически съюз. Съответно според правилата на СТО (член XXIV, параграф 6 от ГАТТ от 1994 г.) Европейският съюз трябваше да започне преговори с членовете на СТО, разполагащи с пълномощия за водене на преговори, по списъците с ангажименти на всеки от присъединяващите се членове, с оглед постигане на компенсираща договореност. В резултат на преговорите с Китайската народна република беше изготвено настоящото споразумение, съдържащо следните елементи:</w:t>
            </w:r>
          </w:p>
          <w:p>
            <w:pPr>
              <w:spacing w:before="6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br/>
            </w:r>
            <w:r>
              <w:rPr>
                <w:noProof/>
                <w:sz w:val="20"/>
              </w:rPr>
              <w:lastRenderedPageBreak/>
              <w:t>- увеличение на обема на съществуващите квоти, отпуснати на Китай, за чесън и гъби;</w:t>
            </w:r>
            <w:r>
              <w:rPr>
                <w:noProof/>
                <w:sz w:val="20"/>
              </w:rPr>
              <w:br/>
              <w:t>- намаление с -0,1 % на митото на ЕС за обувки, класирани в тарифна линия 6404 19 90;</w:t>
            </w:r>
            <w:r>
              <w:rPr>
                <w:noProof/>
                <w:sz w:val="20"/>
              </w:rPr>
              <w:br/>
              <w:t>- намаление с -0,2 % на митото на ЕС за машини и апарати за кондициониране на въздуха, класирани в тарифна линия 8415 10 90.</w:t>
            </w:r>
            <w:r>
              <w:rPr>
                <w:noProof/>
                <w:sz w:val="20"/>
              </w:rPr>
              <w:br/>
              <w:t>Предвижда се тези мерки да породят действие от втората половина на 2016 г.</w:t>
            </w:r>
          </w:p>
        </w:tc>
      </w:tr>
    </w:tbl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OВ C […], […], стр. […].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16604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15187F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3403F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482D7C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1FEE7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B525D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E7A24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6BCEB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21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12-09 16:20:0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9E3CDE8F8538498F9E976D686F3E834B"/>
    <w:docVar w:name="LW_CROSSREFERENCE" w:val="&lt;UNUSED&gt;"/>
    <w:docVar w:name="LW_DocType" w:val="COM"/>
    <w:docVar w:name="LW_EMISSION" w:val="16.12.2015"/>
    <w:docVar w:name="LW_EMISSION_ISODATE" w:val="2015-12-16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98"/>
    <w:docVar w:name="LW_REF.II.NEW.CP_YEAR" w:val="2015"/>
    <w:docVar w:name="LW_REF.INST.NEW" w:val="COM"/>
    <w:docVar w:name="LW_REF.INST.NEW_ADOPTED" w:val="final"/>
    <w:docVar w:name="LW_REF.INST.NEW_TEXT" w:val="(2015) 654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 \u1085?\u1072? \u1089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0?\u1090?\u1072?\u1081?\u1089?\u1082?\u1072?\u1090?\u1072? \u1085?\u1072?\u1088?\u1086?\u1076?\u1085?\u1072? \u1088?\u1077?\u1087?\u1091?\u1073?\u1083?\u1080?\u1082?\u1072? \u1074? \u1089?\u1098?\u1086?\u1090?\u1074?\u1077?\u1090?\u1089?\u1090?\u1074?\u1080?\u1077? \u1089? \u1095?\u1083?\u1077?\u1085? XXIV, \u1087?\u1072?\u1088?\u1072?\u1075?\u1088?\u1072?\u1092? 6 \u1080? \u1095?\u1083?\u1077?\u1085? XXVIII \u1086?\u1090? \u1054?\u1073?\u1097?\u1086?\u1090?\u1086? \u1089?\u1087?\u1086?\u1088?\u1072?\u1079?\u1091?\u1084?\u1077?\u1085?\u1080?\u1077? \u1079?\u1072? \u1084?\u1080?\u1090?\u1072?\u1090?\u1072? \u1080? \u1090?\u1098?\u1088?\u1075?\u1086?\u1074?\u1080?\u1103?\u1090?\u1072? (\u1043?\u1040?\u1058?\u1058?) \u1086?\u1090? 1994 \u1075?. \u1074?\u1098?\u1074? \u1074?\u1088?\u1098?\u1079?\u1082?\u1072? \u1089? \u1080?\u1079?\u1084?\u1077?\u1085?\u1077?\u1085?\u1080?\u1077?\u1090?\u1086? \u1085?\u1072? \u1086?\u1090?\u1089?\u1090?\u1098?\u1087?\u1082?\u1080?\u1090?\u1077? \u1074? \u1089?\u1087?\u1080?\u1089?\u1098?\u1082?\u1072? \u1085?\u1072? \u1056?\u1077?\u1087?\u1091?\u1073?\u1083?\u1080?\u1082?\u1072? \u1061?\u1098?\u1088?\u1074?\u1072?\u1090?\u1080?\u1103? \u1074? \u1087?\u1088?\u1086?\u1094?\u1077?\u1089?\u1072? \u1085?\u1072? \u1087?\u1088?\u1080?\u1089?\u1098?\u1077?\u1076?\u1080?\u1085?\u1103?\u1074?\u1072?\u1085?\u1077?\u1090?\u1086? \u1117? \u1082?\u1098?\u1084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uiPriority w:val="99"/>
    <w:pPr>
      <w:numPr>
        <w:numId w:val="1"/>
      </w:numPr>
      <w:contextualSpacing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Fichefinanciretextetable">
    <w:name w:val="Fiche financière texte (table)"/>
    <w:basedOn w:val="Normal"/>
    <w:pPr>
      <w:spacing w:before="0" w:after="0"/>
      <w:jc w:val="left"/>
    </w:pPr>
    <w:rPr>
      <w:rFonts w:eastAsia="Times New Roman"/>
      <w:sz w:val="20"/>
      <w:szCs w:val="20"/>
    </w:rPr>
  </w:style>
  <w:style w:type="paragraph" w:customStyle="1" w:styleId="Fichefinanciretitretable">
    <w:name w:val="Fiche financière titre (table)"/>
    <w:basedOn w:val="Normal"/>
    <w:pPr>
      <w:jc w:val="center"/>
    </w:pPr>
    <w:rPr>
      <w:rFonts w:eastAsia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uiPriority w:val="99"/>
    <w:pPr>
      <w:numPr>
        <w:numId w:val="1"/>
      </w:numPr>
      <w:contextualSpacing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Fichefinanciretextetable">
    <w:name w:val="Fiche financière texte (table)"/>
    <w:basedOn w:val="Normal"/>
    <w:pPr>
      <w:spacing w:before="0" w:after="0"/>
      <w:jc w:val="left"/>
    </w:pPr>
    <w:rPr>
      <w:rFonts w:eastAsia="Times New Roman"/>
      <w:sz w:val="20"/>
      <w:szCs w:val="20"/>
    </w:rPr>
  </w:style>
  <w:style w:type="paragraph" w:customStyle="1" w:styleId="Fichefinanciretitretable">
    <w:name w:val="Fiche financière titre (table)"/>
    <w:basedOn w:val="Normal"/>
    <w:pPr>
      <w:jc w:val="center"/>
    </w:pPr>
    <w:rPr>
      <w:rFonts w:eastAsia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55073-CD96-423E-989C-9FAD2588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8</Pages>
  <Words>1565</Words>
  <Characters>8735</Characters>
  <Application>Microsoft Office Word</Application>
  <DocSecurity>0</DocSecurity>
  <Lines>249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2015-11-03T13:07:00Z</cp:lastPrinted>
  <dcterms:created xsi:type="dcterms:W3CDTF">2015-12-07T14:20:00Z</dcterms:created>
  <dcterms:modified xsi:type="dcterms:W3CDTF">2015-12-09T15:20:00Z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